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bacheloroppgaven er skrevet som avsluttende arbeid i studiet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tre kategorier: OVERFØR_HVFS, BEHOLD_LOKALT eller VURDER_NÆRMERE.</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og 284 sendes til manuell vurdering. Det estimerte besparelsespotensialet er kr 451 515 per år i base case (realiseringsgrad g = 75 % av teoretisk totalkostnavvik \sum \Delta TC_i), med et pessimistisk scenario på kr 301 010 og et optimistisk på kr 602 020.</w:t>
      </w:r>
    </w:p>
    <w:p>
      <w:pPr>
        <w:pStyle w:val="Normal"/>
        <w:spacing w:line="360" w:lineRule="auto"/>
      </w:pPr>
      <w:r>
        <w:rPr>
          <w:rFonts w:ascii="Times New Roman" w:hAnsi="Times New Roman"/>
          <w:sz w:val="24"/>
        </w:rPr>
        <w:t xml:space="preserve">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VURDER NÆRMERE-gruppen for å realisere det estimerte besparelsespotensialet.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0. Konseptuelt rammeverk – fra SAP-data til HVFS-anbefaling</w:t>
      </w:r>
    </w:p>
    <w:p>
      <w:pPr>
        <w:spacing w:line="360" w:lineRule="auto"/>
      </w:pPr>
      <w:r>
        <w:rPr>
          <w:rFonts w:ascii="Times New Roman" w:hAnsi="Times New Roman" w:cs="Times New Roman"/>
          <w:sz w:val="24"/>
        </w:rPr>
        <w:t>Figur 1. Lagerstruktur – Helse Vest forsyningskjede (forenklet)</w:t>
      </w:r>
    </w:p>
    <w:p>
      <w:pPr>
        <w:spacing w:line="360" w:lineRule="auto"/>
      </w:pPr>
      <w:r>
        <w:rPr>
          <w:rFonts w:ascii="Times New Roman" w:hAnsi="Times New Roman" w:cs="Times New Roman"/>
          <w:sz w:val="24"/>
        </w:rPr>
        <w:t>Figur 2. Analysepipeline: fra SAP-rådata til HVFS-anbefaling</w:t>
      </w:r>
    </w:p>
    <w:p>
      <w:pPr>
        <w:spacing w:line="360" w:lineRule="auto"/>
      </w:pPr>
      <w:r>
        <w:rPr>
          <w:rFonts w:ascii="Times New Roman" w:hAnsi="Times New Roman" w:cs="Times New Roman"/>
          <w:sz w:val="24"/>
        </w:rPr>
        <w:t>Figur 3. Regelmotor: sekvensiell beslutningsflyt for HVFS-anbefaling (R1–R8)</w:t>
      </w:r>
    </w:p>
    <w:p>
      <w:pPr>
        <w:spacing w:line="360" w:lineRule="auto"/>
      </w:pPr>
      <w:r>
        <w:rPr>
          <w:rFonts w:ascii="Times New Roman" w:hAnsi="Times New Roman" w:cs="Times New Roman"/>
          <w:sz w:val="24"/>
        </w:rPr>
        <w:t>Figur 4. Dataoversikt: fordeling av nøkkelvariablar for 709 artiklar</w:t>
      </w:r>
    </w:p>
    <w:p>
      <w:pPr>
        <w:spacing w:line="360" w:lineRule="auto"/>
      </w:pPr>
      <w:r>
        <w:rPr>
          <w:rFonts w:ascii="Times New Roman" w:hAnsi="Times New Roman" w:cs="Times New Roman"/>
          <w:sz w:val="24"/>
        </w:rPr>
        <w:t>Figur 5. ABC Pareto-kurve: kumulativ verdiandel for 709 artikler</w:t>
      </w:r>
    </w:p>
    <w:p>
      <w:pPr>
        <w:spacing w:line="360" w:lineRule="auto"/>
      </w:pPr>
      <w:r>
        <w:rPr>
          <w:rFonts w:ascii="Times New Roman" w:hAnsi="Times New Roman" w:cs="Times New Roman"/>
          <w:sz w:val="24"/>
        </w:rPr>
        <w:t>Figur 6. ABC/XYZ-kryssmatrise: antall artikler per kombinasjon</w:t>
      </w:r>
    </w:p>
    <w:p>
      <w:pPr>
        <w:spacing w:line="360" w:lineRule="auto"/>
      </w:pPr>
      <w:r>
        <w:rPr>
          <w:rFonts w:ascii="Times New Roman" w:hAnsi="Times New Roman" w:cs="Times New Roman"/>
          <w:sz w:val="24"/>
        </w:rPr>
        <w:t>Figur 7. EOQ-avvik: relativ frekvensavvik med terskel ved τ_f = 1,5</w:t>
      </w:r>
    </w:p>
    <w:p>
      <w:pPr>
        <w:spacing w:line="360" w:lineRule="auto"/>
      </w:pPr>
      <w:r>
        <w:rPr>
          <w:rFonts w:ascii="Times New Roman" w:hAnsi="Times New Roman" w:cs="Times New Roman"/>
          <w:sz w:val="24"/>
        </w:rPr>
        <w:t>Figur 8. Silhouette-score for K = 2–7 (treningsdata, n = 389)</w:t>
      </w:r>
    </w:p>
    <w:p>
      <w:pPr>
        <w:spacing w:line="360" w:lineRule="auto"/>
      </w:pPr>
      <w:r>
        <w:rPr>
          <w:rFonts w:ascii="Times New Roman" w:hAnsi="Times New Roman" w:cs="Times New Roman"/>
          <w:sz w:val="24"/>
        </w:rPr>
        <w:t>Figur 9. K-means klyngeresultat (K = 3): forbruksstabilitet vs verdi og kostnadsavvik</w:t>
      </w:r>
    </w:p>
    <w:p>
      <w:pPr>
        <w:spacing w:line="360" w:lineRule="auto"/>
      </w:pPr>
      <w:r>
        <w:rPr>
          <w:rFonts w:ascii="Times New Roman" w:hAnsi="Times New Roman" w:cs="Times New Roman"/>
          <w:sz w:val="24"/>
        </w:rPr>
        <w:t>Figur 10. Klyngeprofiler for K-means (K = 3): gjennomsnittlig z-score per feature</w:t>
      </w:r>
    </w:p>
    <w:p>
      <w:pPr>
        <w:spacing w:line="360" w:lineRule="auto"/>
      </w:pPr>
      <w:r>
        <w:rPr>
          <w:rFonts w:ascii="Times New Roman" w:hAnsi="Times New Roman" w:cs="Times New Roman"/>
          <w:sz w:val="24"/>
        </w:rPr>
        <w:t>Figur 11.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0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0. Konseptuelt rammeverk – fra SAP-data til HVFS-anbefaling. Generert med støtte fra Claude (Anthropic, 2026).</w:t>
      </w:r>
    </w:p>
    <w:p>
      <w:pPr>
        <w:spacing w:line="360" w:lineRule="auto"/>
      </w:pPr>
      <w:r>
        <w:rPr>
          <w:rFonts w:ascii="Times New Roman" w:hAnsi="Times New Roman" w:cs="Times New Roman"/>
          <w:sz w:val="24"/>
        </w:rPr>
        <w:t>Figur 0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1.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1.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3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2.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Innkjøpsordrerhoder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4 gir en samlet oversikt over fordelingen av nøkkelvariablar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4. Dataoversikt: fordeling av nøkkelvariablar for 709 artiklar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2.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kapitalkostand,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basert på en kombinasjon av lav CV (stabilt forbruk), høy artikkelverdi og høyt positivt </w:t>
      </w:r>
      <m:oMath>
        <m:r>
          <m:t>ΔTC</m:t>
        </m:r>
      </m:oMath>
      <w:r>
        <w:rPr>
          <w:rFonts w:ascii="Times New Roman" w:hAnsi="Times New Roman" w:cs="Times New Roman"/>
          <w:sz w:val="24"/>
        </w:rPr>
        <w:t xml:space="preserve"> (mange unødvendige ordrer).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stabilt, men ikkje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moderat variasjon, ikkje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3.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5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5.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6. Matrisen gir et øyeblikksbilde av populasjonens sammensetning langs de to dimensjonene og danner inngangsdataene for regelmotoren i avsnitt 6.5. Fullstendige celleanntall er gjengitt i Figur 6; univariate XYZ-fordelingar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6.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6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7.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7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8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8.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kombinasjonen av lav CV (stabilt forbruksmønster), relativt høy artikkelverdi og høyt positivt </w:t>
      </w:r>
      <m:oMath>
        <m:d>
          <m:dPr>
            <m:begChr m:val="|"/>
            <m:sepChr m:val=""/>
            <m:endChr m:val="|"/>
          </m:dPr>
          <m:e>
            <m:r>
              <m:t>Δ</m:t>
            </m:r>
            <m:r>
              <m:t>T</m:t>
            </m:r>
            <m:r>
              <m:t>C</m:t>
            </m:r>
          </m:e>
        </m:d>
      </m:oMath>
      <w:r>
        <w:rPr>
          <w:rFonts w:ascii="Times New Roman" w:hAnsi="Times New Roman" w:cs="Times New Roman"/>
          <w:sz w:val="24"/>
        </w:rPr>
        <w:t xml:space="preserve"> (mange unødvendige ordrer). Figur 8 visualiserer klyngestrukturen i et to-dimensjonalt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9.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9 viser at de tre klyngene er rimelig separert i feature-rommet, særlig K\_OVERFØR-klyngen (grønn), som skiller seg fra de øvrige ved sin kombinasjon av lav CV og høy verdi. For å tolke innholdet i hver klynge viser Figur 10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10.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10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11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11.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11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144 artikler, R2 (CY) fanget 113, R3 (A/B + X + FOR\_MANGE) fanget 91, R4 (A/B + X + K\_OVERFØR) fanget 26, R5 (A/B + Y + K\_OVERFØR) fanget 28,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5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6 i kapittel 6; fullstendige celleanntall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realisable besparelsespotensialet, da kun artikler i OVERFØR\_HVFS-kategorien inngår i besparelsesberegningen (se avsnitt 7.6). Fordelingen av FREQ\_AVVIK er illustrert i Figur 7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9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11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ascii="Times New Roman" w:hAnsi="Times New Roman" w:cs="Times New Roman"/>
          <w:b/>
          <w:sz w:val="24"/>
        </w:rPr>
        <w:t>145 artikler</w:t>
      </w:r>
      <w:r>
        <w:rPr>
          <w:rFonts w:ascii="Times New Roman" w:hAnsi="Times New Roman" w:cs="Times New Roman"/>
          <w:sz w:val="24"/>
        </w:rPr>
        <w:t xml:space="preserve"> (20,5 %) overføres til HVFS. Disse artiklene kjennetegnes ved høy verdi (A- eller B-klasse), stabilt forbruksmønster (X- eller Y-klasse) og dokumentert overbestilling eller klyngetilhørighet som indikerer ineffektiv ordrepraksis.</w:t>
      </w:r>
    </w:p>
    <w:p>
      <w:pPr>
        <w:spacing w:line="360" w:lineRule="auto"/>
      </w:pPr>
      <w:r>
        <w:rPr>
          <w:rFonts w:ascii="Times New Roman" w:hAnsi="Times New Roman" w:cs="Times New Roman"/>
          <w:sz w:val="24"/>
        </w:rPr>
        <w:t xml:space="preserve">Det estimerte besparelsespotensialet for base case er </w:t>
      </w:r>
      <w:r>
        <w:rPr>
          <w:rFonts w:ascii="Times New Roman" w:hAnsi="Times New Roman" w:cs="Times New Roman"/>
          <w:b/>
          <w:sz w:val="24"/>
        </w:rPr>
        <w:t>kr 451 515 per år</w:t>
      </w:r>
      <w:r>
        <w:rPr>
          <w:rFonts w:ascii="Times New Roman" w:hAnsi="Times New Roman" w:cs="Times New Roman"/>
          <w:sz w:val="24"/>
        </w:rPr>
        <w:t xml:space="preserve"> (realiseringsgrad </w:t>
      </w:r>
      <m:oMath>
        <m:r>
          <m:t>g=75</m:t>
        </m:r>
      </m:oMath>
      <w:r>
        <w:rPr>
          <w:rFonts w:ascii="Times New Roman" w:hAnsi="Times New Roman" w:cs="Times New Roman"/>
          <w:sz w:val="24"/>
        </w:rPr>
        <w:t xml:space="preserve"> av teoretisk </w:t>
      </w:r>
      <m:oMath>
        <m:r>
          <m:t>∑ΔT</m:t>
        </m:r>
        <m:sSub>
          <m:e>
            <m:r>
              <m:t>C</m:t>
            </m:r>
          </m:e>
          <m:sub>
            <m:r>
              <m:t>i</m:t>
            </m:r>
          </m:sub>
        </m:sSub>
      </m:oMath>
      <w:r>
        <w:rPr>
          <w:rFonts w:ascii="Times New Roman" w:hAnsi="Times New Roman" w:cs="Times New Roman"/>
          <w:sz w:val="24"/>
        </w:rPr>
        <w:t>).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Disse estimatene er forankret i 117 artikler som oppfyller begge kriteriene OVERFØR\_HVFS og FOR\_MANGE\_ORDRER, og der det samlede teoretiske totalkostnavviket er kr 602 020 per år. Sensitivitetsanalysen over 27 parameterkombinasjoner — med variasjon i S, h og </w:t>
      </w:r>
      <m:oMath>
        <m:sSub>
          <m:e>
            <m:r>
              <m:t>τ</m:t>
            </m:r>
          </m:e>
          <m:sub>
            <m:r>
              <m:t>f</m:t>
            </m:r>
          </m:sub>
        </m:sSub>
      </m:oMath>
      <w:r>
        <w:rPr>
          <w:rFonts w:ascii="Times New Roman" w:hAnsi="Times New Roman" w:cs="Times New Roman"/>
          <w:sz w:val="24"/>
        </w:rPr>
        <w:t xml:space="preserve"> — viser at det samlede </w:t>
      </w:r>
      <m:oMath>
        <m:r>
          <m:t>ΔTC</m:t>
        </m:r>
      </m:oMath>
      <w:r>
        <w:rPr>
          <w:rFonts w:ascii="Times New Roman" w:hAnsi="Times New Roman" w:cs="Times New Roman"/>
          <w:sz w:val="24"/>
        </w:rPr>
        <w:t xml:space="preserve"> for hele populasjonen (487 artikler) varierer mellom kr 1 602 464 og kr 3 068 757 per år, og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Dette synliggjør at besparelsesestimatet er moderat sensitivt overfor forutsetningene om ordrekostnad og holdesats, men forblir positivt og vesentlig over alle 27 scenarier.</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Varegruppebeskriving</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artiklar, 21 kolonnar</w:t>
            </w:r>
          </w:p>
        </w:tc>
      </w:tr>
    </w:tbl>
    <w:p>
      <w:pPr>
        <w:spacing w:line="360" w:lineRule="auto"/>
      </w:pPr>
      <w:r>
        <w:rPr>
          <w:rFonts w:ascii="Times New Roman" w:hAnsi="Times New Roman" w:cs="Times New Roman"/>
          <w:sz w:val="24"/>
        </w:rPr>
        <w:t>Alle datavalgsbeslutningar (D-01 til D-08) er dokumenterte i Tabell 5 i hovudteksten.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hovudkomponentar:</w:t>
      </w:r>
    </w:p>
    <w:p>
      <w:pPr>
        <w:spacing w:line="360" w:lineRule="auto"/>
      </w:pPr>
      <w:r>
        <w:rPr>
          <w:rFonts w:ascii="Times New Roman" w:hAnsi="Times New Roman" w:cs="Times New Roman"/>
          <w:b/>
          <w:sz w:val="24"/>
        </w:rPr>
        <w:t>Hovudscript:</w:t>
      </w:r>
      <w:r>
        <w:rPr>
          <w:rFonts w:ascii="Times New Roman" w:hAnsi="Times New Roman" w:cs="Times New Roman"/>
          <w:sz w:val="24"/>
        </w:rPr>
        <w:t xml:space="preserve"> `LOG650_analyse_v2_7.py` — deterministisk analysepipeline som les MASTERFILE V1.xlsx og produserer alle klassifiseringar, K-means-modellen, regelmotoranbefalingar og besparelsesestimater. Outputformat: Excel (LOG650_Resultater.xlsx) med separate ark for kvart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figurane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(datastrukturar), scikit-learn 1.x (KMeans, StandardScaler, silhouette_score), matplotlib 3.x (visualisering), openpyxl (Excel I/O).</w:t>
      </w:r>
    </w:p>
    <w:p>
      <w:pPr>
        <w:spacing w:line="360" w:lineRule="auto"/>
      </w:pPr>
      <w:r>
        <w:rPr>
          <w:rFonts w:ascii="Times New Roman" w:hAnsi="Times New Roman" w:cs="Times New Roman"/>
          <w:b/>
          <w:sz w:val="24"/>
        </w:rPr>
        <w:t>Reproduserbarheit:</w:t>
      </w:r>
      <w:r>
        <w:rPr>
          <w:rFonts w:ascii="Times New Roman" w:hAnsi="Times New Roman" w:cs="Times New Roman"/>
          <w:sz w:val="24"/>
        </w:rPr>
        <w:t xml:space="preserve"> Alle scripts brukar `random_state=42` for deterministisk output. Gjentatt kjøring med same inputdata gir identiske resultat.</w:t>
      </w:r>
    </w:p>
    <w:p>
      <w:pPr>
        <w:spacing w:line="360" w:lineRule="auto"/>
      </w:pPr>
      <w:r>
        <w:rPr>
          <w:rFonts w:ascii="Times New Roman" w:hAnsi="Times New Roman" w:cs="Times New Roman"/>
          <w:sz w:val="24"/>
        </w:rPr>
        <w:t>Fullstendig kildekode er tilgjengeleg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oppgåva er KI-verktøyet Claude (Anthropic, 2026) brukt som støtteverktøy i tre delar av arbeidet, i samsvar med Høgskolen i Molde sine retningslinjer for bruk av KI på hjemmeeksamen.</w:t>
      </w:r>
    </w:p>
    <w:p>
      <w:pPr>
        <w:spacing w:line="360" w:lineRule="auto"/>
      </w:pPr>
      <w:r>
        <w:rPr>
          <w:rFonts w:ascii="Times New Roman" w:hAnsi="Times New Roman" w:cs="Times New Roman"/>
          <w:b/>
          <w:sz w:val="24"/>
        </w:rPr>
        <w:t>1. Kode og algoritmar.</w:t>
      </w:r>
      <w:r>
        <w:rPr>
          <w:rFonts w:ascii="Times New Roman" w:hAnsi="Times New Roman" w:cs="Times New Roman"/>
          <w:sz w:val="24"/>
        </w:rPr>
        <w:t xml:space="preserve"> Claude vart brukt til kodestøtte og feilsøking i Python-scriptet (`LOG650_analyse_v2_7.py`) som implementerer ABC-, XYZ-, EOQ- og K-means-analysen. Verktøyet vart brukt til å forstå kodelogikk, feilsøke syntaksfeil og generere foreløpige kodeutdrag som seinare vart tilpassa og integrert. All kode er gjennomgått, testa og modifisert av forfattaren for å sikre korrektheit. Den endelege implementasjonen, tolkinga av resultat og presentasjonen av numeriske verdiar er forfattarens ansvar. Alle scripts brukar `random_state=42` for deterministisk og reproduserbar output.</w:t>
      </w:r>
    </w:p>
    <w:p>
      <w:pPr>
        <w:spacing w:line="360" w:lineRule="auto"/>
      </w:pPr>
      <w:r>
        <w:rPr>
          <w:rFonts w:ascii="Times New Roman" w:hAnsi="Times New Roman" w:cs="Times New Roman"/>
          <w:b/>
          <w:sz w:val="24"/>
        </w:rPr>
        <w:t>2. Figurar og tabellar.</w:t>
      </w:r>
      <w:r>
        <w:rPr>
          <w:rFonts w:ascii="Times New Roman" w:hAnsi="Times New Roman" w:cs="Times New Roman"/>
          <w:sz w:val="24"/>
        </w:rPr>
        <w:t xml:space="preserve"> Alle 11 figurar (Fig00–Fig10) er genererte med matplotlib-scripts der Claude bidrog til utforming av layout, fargepalett og aksetitlar. Figurane er basert på analyseresultat produsert av Python-scriptet frå SAP-kildedata — KI-verktøyet har ikkje produsert eller modifisert nokon dataverdiar. Kvar figur er merka «Generert med støtte fra Claude (Anthropic, 2026)» i bildeteksten. Tabellar er formaterte med støtte frå Claude, men alle verdiar kjem direkte frå analysescriptet.</w:t>
      </w:r>
    </w:p>
    <w:p>
      <w:pPr>
        <w:spacing w:line="360" w:lineRule="auto"/>
      </w:pPr>
      <w:r>
        <w:rPr>
          <w:rFonts w:ascii="Times New Roman" w:hAnsi="Times New Roman" w:cs="Times New Roman"/>
          <w:b/>
          <w:sz w:val="24"/>
        </w:rPr>
        <w:t>3. Tekststrukturering og språkleg bearbeiding.</w:t>
      </w:r>
      <w:r>
        <w:rPr>
          <w:rFonts w:ascii="Times New Roman" w:hAnsi="Times New Roman" w:cs="Times New Roman"/>
          <w:sz w:val="24"/>
        </w:rPr>
        <w:t xml:space="preserve"> Claude vart brukt til å strukturere rapportteksten og forbetre språkleg klarheit. Verktøyet foreslo disposisjon, avsnittsinndeling og formuleringar som forfattaren vurderte kritisk og reviderte. Alle faglege påstandar, argument og konklusjonar er forfattarens eigne. Claude er ikkje brukt som fagkjelde og er ikkje sitert som belegg for faglege påstandar.</w:t>
      </w:r>
    </w:p>
    <w:p>
      <w:pPr>
        <w:spacing w:line="360" w:lineRule="auto"/>
      </w:pPr>
      <w:r>
        <w:rPr>
          <w:rFonts w:ascii="Times New Roman" w:hAnsi="Times New Roman" w:cs="Times New Roman"/>
          <w:b/>
          <w:sz w:val="24"/>
        </w:rPr>
        <w:t>Avgrensing.</w:t>
      </w:r>
      <w:r>
        <w:rPr>
          <w:rFonts w:ascii="Times New Roman" w:hAnsi="Times New Roman" w:cs="Times New Roman"/>
          <w:sz w:val="24"/>
        </w:rPr>
        <w:t xml:space="preserve"> Rådata frå SAP vart ikkje lagt inn i KI-verktøyet. Alle datatransformasjonar er dokumenterte i D-01–D-08 (avsnitt 4.3) og køyrde lokalt i Python. Ingen pasientdata eller personopplysningar er brukte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