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Fixture, not experiment results</w:t>
      </w:r>
    </w:p>
    <w:p>
      <w:pPr>
        <w:pStyle w:val="Heading1"/>
      </w:pPr>
      <w:r>
        <w:rPr>
          <w:rFonts w:ascii="SimSun" w:hAnsi="SimSun" w:eastAsia="SimSun" w:cs="SimSun"/>
        </w:rPr>
        <w:t>ML 训练记录</w:t>
      </w:r>
    </w:p>
    <w:p>
      <w:r>
        <w:rPr>
          <w:rFonts w:ascii="SimSun" w:hAnsi="SimSun" w:eastAsia="SimSun" w:cs="SimSun"/>
        </w:rPr>
        <w:t>正式 predictor 为每模型独立 HGB p50，18 维 batch/长度特征；不按独立测试误差选择 p50 或 L2。训练集合内先按每条 trace 用例随机划分 80%/20%作内部检查，再将全部训练行传给最终 fit；HGB 另取训练侧 15%作 early-stopping 验证，不使用正式测试请求。</w:t>
      </w:r>
    </w:p>
    <w:p>
      <w:r>
        <w:rPr>
          <w:rFonts w:ascii="SimSun" w:hAnsi="SimSun" w:eastAsia="SimSun" w:cs="SimSun"/>
        </w:rPr>
        <w:t>上游 data-tools 的 trainer 读取已采集的 batch 文件，不负责生成独立测试请求。其默认内部检查按每个用例随机分行，比例 50%/50%、seed=42、forward_modes=1；检查后保存的模型重新使用全部输入行拟合。这个划分没有按完整请求隔离，同一请求的多个 batch 可能落在两侧，不能作为跨请求或跨负载泛化结果。本轮正式测试另行采集完整请求，内部检查只用于核查拟合过程。上游训练脚本 (https://github.com/littlefatfat/sglang/blob/9cfddcedc9d1e00885c28db75a45513eddbb6271/tools/sglang-simulator/tools/train_latency_model.py)，上游验证说明 (https://github.com/littlefatfat/sglang/blob/9cfddcedc9d1e00885c28db75a45513eddbb6271/tools/sglang-simulator/README.md#train-an-ml-latency-predictor)。</w:t>
      </w:r>
    </w:p>
    <w:p>
      <w:r>
        <w:rPr>
          <w:rFonts w:ascii="SimSun" w:hAnsi="SimSun" w:eastAsia="SimSun" w:cs="SimSun"/>
        </w:rPr>
        <w:t>上游 serving 单测与上述训练验证是两件事：它使用 examples 中的 ML 配置，在 CPU 模拟器上发送 3 条 ShareGPT 请求，每条输出 4 token，断言完成数和指标有效性，没有真机误差对照。配套资产生成脚本仅以一行全零特征、0.001 秒标签构建固定 1 ms 的 DummyRegressor；它是功能示例，不是 GPU 校准结果。本轮不使用该示例预测器，而是每模型分别采集、训练并在独立请求上评价。上游 serving 单测 (https://github.com/littlefatfat/sglang/blob/9cfddcedc9d1e00885c28db75a45513eddbb6271/tools/sglang-simulator/test/test_simulation_sglang_serving.py)，ML 示例配置 (https://github.com/littlefatfat/sglang/blob/9cfddcedc9d1e00885c28db75a45513eddbb6271/tools/sglang-simulator/examples/sim_configs/ml.json)，示例资产生成脚本 (https://github.com/littlefatfat/sglang/blob/9cfddcedc9d1e00885c28db75a45513eddbb6271/tools/sglang-simulator/examples/build_example_assets.py)。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参数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loss / quantile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quantile / 0.5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max_iter / max_leaf_nodes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400 / 63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learning_rate / l2_regularization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0.04 / 0.1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early_stopping / validation_fraction / n_iter_no_change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True / 0.15 / 20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标签与过滤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iter_latency，秒；训练只保留有效 mode=1/2、非空 batch、0 &lt; latency ≤ 30 秒；正式评分保留所有有限正时延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最终 fit 输入行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训练 trace 用例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实际迭代数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30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20</w:t>
            </w:r>
          </w:p>
        </w:tc>
      </w:tr>
    </w:tbl>
    <w:p>
      <w:r>
        <w:rPr>
          <w:rFonts w:ascii="SimSun" w:hAnsi="SimSun" w:eastAsia="SimSun" w:cs="SimSun"/>
        </w:rPr>
        <w:t>全部特征名称、单调约束、random_state 和实际参数另存 training_parameters.csv；原始 bundle 和训练命令同时保留。</w:t>
      </w:r>
    </w:p>
    <w:p>
      <w:pPr>
        <w:pStyle w:val="Heading1"/>
      </w:pPr>
      <w:r>
        <w:rPr>
          <w:rFonts w:ascii="SimSun" w:hAnsi="SimSun" w:eastAsia="SimSun" w:cs="SimSun"/>
        </w:rPr>
        <w:t>同负载与跨负载测试</w:t>
      </w:r>
    </w:p>
    <w:p>
      <w:r>
        <w:rPr>
          <w:rFonts w:ascii="SimSun" w:hAnsi="SimSun" w:eastAsia="SimSun" w:cs="SimSun"/>
        </w:rPr>
        <w:t>前三类负载出现在训练数据中，但测试请求和 seed 独立；后两类负载不用于训练。跨负载不代表所有特征都在训练范围之外。以下按模型与负载列出实测值和预测值，避免把五类负载混成一个精度结论。</w:t>
      </w:r>
    </w:p>
    <w:p>
      <w:r>
        <w:rPr>
          <w:rFonts w:ascii="SimSun" w:hAnsi="SimSun" w:eastAsia="SimSun" w:cs="SimSun"/>
        </w:rPr>
        <w:t>总 token 吞吐采用 collector/trace 的实际输入+输出 token 数，除以原始 benchmark duration；原始输入计数和原报吞吐保留在 comparison.csv。随机 ID 解码成文本后再编码可能改变输入长度，此处统一 token 分子，不消除 client/模拟器时间窗差异。std 为五次重复的总体标准差（分母 n），不是置信区间。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用例名称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生成输入/输出长度上限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到达设置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每组请求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用于训练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latency_128x64_r1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128 / 64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 请求/秒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</w:tbl>
    <w:p>
      <w:r>
        <w:rPr>
          <w:rFonts w:ascii="SimSun" w:hAnsi="SimSun" w:eastAsia="SimSun" w:cs="SimSun"/>
        </w:rPr>
        <w:t>长度是随机生成上限，不是每个请求的固定长度；range_ratio=0 从 1 到上限采样。1536/384 长用例使用 --tokenize-prompt 直接发送随机 ID，避免文本再编码使输入+输出超出 2048 上下文；其他用例沿用随机 ID 解码成文本再发送，实际输入 ID 保存在 trace。长用例相对训练还改变了输入路径，不能将其差异只归因于长度。r1/r4 为平均到达率，有限速请求间隔为指数分布；inf 是突发提交，不是无限并发，服务最多同时运行 32 个请求。</w:t>
      </w:r>
    </w:p>
    <w:p>
      <w:pPr>
        <w:pStyle w:val="Heading2"/>
      </w:pPr>
      <w:r>
        <w:rPr>
          <w:rFonts w:ascii="SimSun" w:hAnsi="SimSun" w:eastAsia="SimSun" w:cs="SimSun"/>
        </w:rPr>
        <w:t>latency_128x64_r1（同负载独立测试）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</w:tbl>
    <w:p>
      <w:r>
        <w:rPr>
          <w:rFonts w:ascii="SimSun" w:hAnsi="SimSun" w:eastAsia="SimSun" w:cs="SimSun"/>
        </w:rPr>
        <w:t>ML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batch_workload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2e_workloa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batch_workload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e2e_workload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训练量递增对比</w:t>
      </w:r>
    </w:p>
    <w:p>
      <w:r>
        <w:rPr>
          <w:rFonts w:ascii="SimSun" w:hAnsi="SimSun" w:eastAsia="SimSun" w:cs="SimSun"/>
        </w:rPr>
        <w:t>测试集保持不变，以前 1、3、5 组训练 trace 分别拟合，训练请求数为 160、480、800；下面曲线按负载展示。增加样本是否有效以实测误差变化为准，不预设单调改善。</w:t>
      </w:r>
    </w:p>
    <w:p>
      <w:r>
        <w:rPr>
          <w:rFonts w:ascii="SimSun" w:hAnsi="SimSun" w:eastAsia="SimSun" w:cs="SimSun"/>
        </w:rPr>
        <w:t>模型 1–1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878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7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完整 prefill/decode、P95 APE、偏差与样本数见同目录 workload_batch_metrics.csv；全部 E2E、TTFT、TPOT、吞吐及实机标准差见 workload_end_to_end_metrics.csv。</w:t>
      </w:r>
    </w:p>
    <w:p>
      <w:pPr>
        <w:pStyle w:val="Heading1"/>
      </w:pPr>
      <w:r>
        <w:rPr>
          <w:rFonts w:ascii="SimSun" w:hAnsi="SimSun" w:eastAsia="SimSun" w:cs="SimSun"/>
        </w:rPr>
        <w:t>结果解释的边界</w:t>
      </w:r>
    </w:p>
    <w:p>
      <w:r>
        <w:rPr>
          <w:rFonts w:ascii="SimSun" w:hAnsi="SimSun" w:eastAsia="SimSun" w:cs="SimSun"/>
        </w:rPr>
        <w:t>同步墙钟单步时延包含 run_batch 内 CPU 发射、采样/拷贝和同步等待，AIC 算子 GPU 时延求和不包含全部这些开销。因此增加 AIC 算子点与提高端到端准确性不是同一件事。AWQ BF16 代理、dual-chunk attention 代理与 MoE 路由覆盖限制沿用前文单列说明。当前 GPU 其他进程及显存状态已记录；本轮不是无干扰的硬件性能标定。</w:t>
      </w:r>
    </w:p>
    <w:p>
      <w:r>
        <w:rPr>
          <w:rFonts w:ascii="SimSun" w:hAnsi="SimSun" w:eastAsia="SimSun" w:cs="SimSun"/>
        </w:rPr>
        <w:t>AIC 的 Silicon 模式也不是所有算子都查实测表：此版本将 RMSNorm、SwiGLU 等归为 ElementWise，并调用 query_mem_op 的带宽/固定延迟公式。当前配置为带宽 1.935 TB/s、经验缩放 0.8、固定延迟 3 μs；重新采集 attention/GEMM 不会更新这些项。这里保留标准 SDK 实现，解析项与本机实测表分别说明。源码：ElementWise (https://github.com/ai-dynamo/aiconfigurator/blob/c5f139662be28b177ca9f62f83543bbf10f133a0/src/aiconfigurator/sdk/operations/elementwise.py)、query_mem_op (https://github.com/ai-dynamo/aiconfigurator/blob/c5f139662be28b177ca9f62f83543bbf10f133a0/src/aiconfigurator/sdk/perf_database.py)。</w:t>
      </w:r>
    </w:p>
    <w:p>
      <w:r>
        <w:rPr>
          <w:rFonts w:ascii="SimSun" w:hAnsi="SimSun" w:eastAsia="SimSun" w:cs="SimSun"/>
        </w:rPr>
        <w:t>attention harness 在计时前调用 init_forward_metadata，测量时仅重复执行 RadixAttention，并先 warmup 三次；真机 run_batch 的同步墙钟标签包含相关元数据准备。两条路径都构造 TritonAttnBackend，KV-split 上限 8 不代表每个请求固定使用 8 个 split。元数据准备、首次 shape 编译和稳态 GPU 算子测量的边界应区分；尚无同配置逐项 profile，不能为这些开销分配具体误差比例。</w:t>
      </w:r>
    </w:p>
    <w:p>
      <w:r>
        <w:rPr>
          <w:rFonts w:ascii="SimSun" w:hAnsi="SimSun" w:eastAsia="SimSun" w:cs="SimSun"/>
        </w:rPr>
        <w:t>14B-1M 与普通 14B 都是 48 层、40 个 query heads，但原生 attention 路径不同。当前 1M 的非稀疏 prefill 按请求、按 head 循环，并包含 KV gather、长度回传及标量读取；单个非空序列按源码展开为 1,920 次子函数调用，这不是实测 GPU kernel 数或时延。其有效 chunk 长度为 253,952，本轮 context=2,048，decode 不进入 successor/inter 分支，但仍有缩放及 LSE 归并。AIC 普通 Triton/page1 表未对齐 dual-chunk/FA2/page256 的调用图，该模型只作后端代理比较，不据此解释其余普通 dense 模型的误差。实际配置、加载路径和源码校验和见结果目录 verification/qwen25_14b_1m_attention_route_20260929_0818.md。</w:t>
      </w:r>
    </w:p>
    <w:p>
      <w:r>
        <w:rPr>
          <w:rFonts w:ascii="SimSun" w:hAnsi="SimSun" w:eastAsia="SimSun" w:cs="SimSun"/>
        </w:rPr>
        <w:t>算子采样默认使用 CUDA Graph：benchmark_with_power 在 capture 前后分别预热，再用 CUDA event 计时重放；本轮真机则关闭 graph，测量完整 run_batch 的同步墙钟。GEMM harness 按显存预算建立 1–6 组独立矩阵，依次执行后按组数取平均；attention harness 重用一组层输入与 KV 池。计时循环内没有显式缓存驱逐步骤，但这不足以证明实际缓存命中率或它造成的误差，不能把所有 GEMM 采样概括为反复读取同一份权重，也不能据此给预测值补一个固定延迟。不同层权重、缓存和发射开销的影响仍需同配置 GPU profile 验证。依据：采样计时 (https://github.com/ai-dynamo/aiconfigurator/blob/c5f139662be28b177ca9f62f83543bbf10f133a0/collector/helper.py)、GEMM harness (https://github.com/ai-dynamo/aiconfigurator/blob/c5f139662be28b177ca9f62f83543bbf10f133a0/collector/sglang/collect_gemm.py)；实际 collector 修改与源码校验和已存入本轮 provenance。</w:t>
      </w:r>
    </w:p>
    <w:p>
      <w:r>
        <w:rPr>
          <w:rFonts w:ascii="SimSun" w:hAnsi="SimSun" w:eastAsia="SimSun" w:cs="SimSun"/>
        </w:rPr>
        <w:t>Qwen3 的 QK norm 还存在阶段差异：ContextAttention 用解析项附加其时延；GenerationAttention 虽保留 use_qk_norm 标志，query 中没有对应附加项。本机 attention harness 计时的是 RadixAttention 调用，不包含模型层前面的 QK norm/旋转位置编码调用，因此加密这张表不等于补采这些操作。CPU 调用核验在 B=1、S=128 和 B=8、S=1024 下，开关 QK norm 的 prefill 差值均为约 0.0264 ms/层，decode 差值为零；这是 SDK 公式/调用行为，不是 GPU 实测时延，也不用于修改预测值。没有当前逐项 profile 证据，不能据此量化它占总误差的比例。依据：attention 查询 (https://github.com/ai-dynamo/aiconfigurator/blob/c5f139662be28b177ca9f62f83543bbf10f133a0/src/aiconfigurator/sdk/operations/attention.py)、attention harness (https://github.com/ai-dynamo/aiconfigurator/blob/c5f139662be28b177ca9f62f83543bbf10f133a0/collector/sglang/collect_attn.py)；调用记录见 preflight/aic_attention_query_scope_20260928.json。</w:t>
      </w:r>
    </w:p>
    <w:p>
      <w:r>
        <w:rPr>
          <w:rFonts w:ascii="SimSun" w:hAnsi="SimSun" w:eastAsia="SimSun" w:cs="SimSun"/>
        </w:rPr>
        <w:t>AIC checkout 在本轮开始前已有三处 collector 修改：两份 attention YAML 增补 head=28，以及 collect_attn.py 的 runner 兼容字段和可选 Torch SDPA 路径。正式采集显式选择 Triton，不进入可选 SDPA 分支；这些原有修改未回滚，也未在本轮改写。provenance 同时保存 AIC dirty patch、collector/SDK 源文件及 SHA256，不能仅用 HEAD 表示实际采集代码。</w:t>
      </w:r>
    </w:p>
    <w:p>
      <w:pPr>
        <w:pStyle w:val="Heading1"/>
      </w:pPr>
      <w:r>
        <w:rPr>
          <w:rFonts w:ascii="SimSun" w:hAnsi="SimSun" w:eastAsia="SimSun" w:cs="SimSun"/>
        </w:rPr>
        <w:t>按负载等权的同负载/跨负载结果</w:t>
      </w:r>
    </w:p>
    <w:p>
      <w:r>
        <w:rPr>
          <w:rFonts w:ascii="SimSun" w:hAnsi="SimSun" w:eastAsia="SimSun" w:cs="SimSun"/>
        </w:rPr>
        <w:t>以下先分别计算每类负载的误差，再对负载等权平均，避免低到达率用例较多的单请求 decode 行主导总览。前三种是同负载独立请求，后两种是跨负载；这个划分不等同于严格的特征分布内/分布外。原始逐行加权结果仍在前文保留。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 E2E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 E2E MAPE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GPU 状态记录</w:t>
      </w:r>
    </w:p>
    <w:p>
      <w:r>
        <w:rPr>
          <w:rFonts w:ascii="SimSun" w:hAnsi="SimSun" w:eastAsia="SimSun" w:cs="SimSun"/>
        </w:rPr>
        <w:t>本轮没有连续 GPU 遥测文件；启动快照不足以排除运行期间干扰。</w:t>
      </w:r>
    </w:p>
    <w:sectPr w:rsidR="00FC693F" w:rsidRPr="0006063C" w:rsidSect="00034616">
      <w:headerReference w:type="default" r:id="rId14"/>
      <w:footerReference w:type="default" r:id="rId15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Fixture, not experiment results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