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LVDrive 论文精读笔记</w:t>
      </w:r>
    </w:p>
    <w:p>
      <w:pPr>
        <w:pStyle w:val="Subtitle"/>
      </w:pPr>
      <w:r>
        <w:t xml:space="preserve">Latent Future Visual Representation Learning for VLA Autonomous Driving</w:t>
      </w:r>
    </w:p>
    <w:p>
      <w:r>
        <w:t xml:space="preserve">本笔记基于论文正文与当前对话精读内容整理，重点覆盖方法机制、实验结论、消融解释和复现启发。</w:t>
      </w:r>
    </w:p>
    <w:p>
      <w:pPr>
        <w:pStyle w:val="Heading1"/>
      </w:pPr>
      <w:r>
        <w:t xml:space="preserve">一句话总结</w:t>
      </w:r>
    </w:p>
    <w:p>
      <w:r>
        <w:t xml:space="preserve">LVDrive 不直接生成未来 RGB 图像，而是在 latent space 中预测未来视觉语义表示，并通过两阶段轨迹解码让这些未来语义显式参与轨迹精修，从而提升 VLA 自动驾驶的 closed-loop planning performance。</w:t>
      </w:r>
    </w:p>
    <w:p>
      <w:pPr>
        <w:pStyle w:val="Heading1"/>
      </w:pPr>
      <w:r>
        <w:t xml:space="preserve">论文要解决的问题</w:t>
      </w:r>
    </w:p>
    <w:p>
      <w:pPr>
        <w:pStyle w:val="ListParagraph"/>
        <w:numPr>
          <w:ilvl w:val="0"/>
          <w:numId w:val="1"/>
        </w:numPr>
      </w:pPr>
      <w:r>
        <w:t xml:space="preserve">监督稀疏：标准 VLA 主要用 action / trajectory labels 训练，难以充分学习道路结构、目标交互和未来动态。</w:t>
      </w:r>
    </w:p>
    <w:p>
      <w:pPr>
        <w:pStyle w:val="ListParagraph"/>
        <w:numPr>
          <w:ilvl w:val="0"/>
          <w:numId w:val="1"/>
        </w:numPr>
      </w:pPr>
      <w:r>
        <w:t xml:space="preserve">像素重建偏离规划目标：高保真未来图像会消耗模型容量，规划更需要语义和动态关系。</w:t>
      </w:r>
    </w:p>
    <w:p>
      <w:pPr>
        <w:pStyle w:val="ListParagraph"/>
        <w:numPr>
          <w:ilvl w:val="0"/>
          <w:numId w:val="1"/>
        </w:numPr>
      </w:pPr>
      <w:r>
        <w:t xml:space="preserve">自回归生成太慢：逐 token 生成未来图像和动作会带来很高推理成本。</w:t>
      </w:r>
    </w:p>
    <w:p>
      <w:pPr>
        <w:pStyle w:val="ListParagraph"/>
        <w:numPr>
          <w:ilvl w:val="0"/>
          <w:numId w:val="1"/>
        </w:numPr>
      </w:pPr>
      <w:r>
        <w:t xml:space="preserve">未来视觉特征利用不足：已有方法常把未来视觉预测当辅助任务，而没有显式接入 trajectory decoding。</w:t>
      </w:r>
    </w:p>
    <w:p>
      <w:pPr>
        <w:pStyle w:val="Heading1"/>
      </w:pPr>
      <w:r>
        <w:t xml:space="preserve">方法概览</w:t>
      </w:r>
    </w:p>
    <w:p>
      <w:pPr>
        <w:pStyle w:val="Code"/>
      </w:pPr>
      <w:r>
        <w:t xml:space="preserve">多视角当前/历史图像 + 文本指令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Vision Encoder + LLM/VLA reasoning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future visual placeholder hidden states + planning token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coarse trajectory → future-aware trajectory refiner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final trajectory</w:t>
      </w:r>
    </w:p>
    <w:p>
      <w:pPr>
        <w:pStyle w:val="Heading1"/>
      </w:pPr>
      <w:r>
        <w:t xml:space="preserve">关键机制</w:t>
      </w:r>
    </w:p>
    <w:p>
      <w:pPr>
        <w:pStyle w:val="Heading2"/>
      </w:pPr>
      <w:r>
        <w:t xml:space="preserve">1. Latent Future Visual Representation Learning</w:t>
      </w:r>
    </w:p>
    <w:p>
      <w:r>
        <w:t xml:space="preserve">LVDrive 为未来帧设置 &lt;img_start&gt;、&lt;img_i&gt;、&lt;img_end&gt; 等 placeholder tokens。每个 &lt;img_i&gt; 在 LLM 最后一层有一个 hidden state；第 t+j 个未来帧的 N 个 hidden states 构成 H_{t+j} ∈ R^{N × D}。</w:t>
      </w:r>
    </w:p>
    <w:p>
      <w:r>
        <w:t xml:space="preserve">H_{t+j} 不是 frozen Vision Backbone 的输出，而是模型基于当前/历史图像和文本指令推理出的未来视觉表示。它经过 VISθ 解码为 V_{t+j}，再与真实未来帧经 frozen Vision Backbone 得到的 teacher feature 对齐。</w:t>
      </w:r>
    </w:p>
    <w:p>
      <w:pPr>
        <w:pStyle w:val="Heading2"/>
      </w:pPr>
      <w:r>
        <w:t xml:space="preserve">2. Lce 与 Lvis 的区别</w:t>
      </w:r>
    </w:p>
    <w:p>
      <w:r>
        <w:t xml:space="preserve">Lce 是特殊 placeholder tokens 的 cross-entropy loss，负责让 LLM 稳定输出正确格式；Lvis 是语义监督，负责让 placeholder hidden states 真正包含未来视觉语义。</w:t>
      </w:r>
    </w:p>
    <w:p>
      <w:pPr>
        <w:pStyle w:val="Code"/>
      </w:pPr>
      <w:r>
        <w:t xml:space="preserve">Lce：教模型画出表格栏位</w:t>
      </w:r>
    </w:p>
    <w:p>
      <w:pPr>
        <w:pStyle w:val="Code"/>
      </w:pPr>
      <w:r>
        <w:t xml:space="preserve">Lvis：教模型在栏位里填对内容</w:t>
      </w:r>
    </w:p>
    <w:p>
      <w:pPr>
        <w:pStyle w:val="Heading2"/>
      </w:pPr>
      <w:r>
        <w:t xml:space="preserve">3. Two-stage Trajectory Decoding</w:t>
      </w:r>
    </w:p>
    <w:p>
      <w:r>
        <w:t xml:space="preserve">第一阶段用 planning embedding 通过 VAE-based generative planner 生成 coarse trajectory；第二阶段用 trajectory refiner 让 ego motion queries 显式 cross-attend future visual embeddings，输出 fine-grained final trajectory。</w:t>
      </w:r>
    </w:p>
    <w:p>
      <w:pPr>
        <w:pStyle w:val="Heading1"/>
      </w:pPr>
      <w:r>
        <w:t xml:space="preserve">训练目标</w:t>
      </w:r>
    </w:p>
    <w:p>
      <w:pPr>
        <w:pStyle w:val="Code"/>
      </w:pPr>
      <w:r>
        <w:t xml:space="preserve">L = Lvis + Lplan + Lplan_r + Lqt + Lce</w:t>
      </w:r>
    </w:p>
    <w:p>
      <w:pPr>
        <w:pStyle w:val="ListParagraph"/>
        <w:numPr>
          <w:ilvl w:val="0"/>
          <w:numId w:val="1"/>
        </w:numPr>
      </w:pPr>
      <w:r>
        <w:t xml:space="preserve">Lvis：future visual feature prediction loss，由 cosine similarity 和 L1 loss 组成。</w:t>
      </w:r>
    </w:p>
    <w:p>
      <w:pPr>
        <w:pStyle w:val="ListParagraph"/>
        <w:numPr>
          <w:ilvl w:val="0"/>
          <w:numId w:val="1"/>
        </w:numPr>
      </w:pPr>
      <w:r>
        <w:t xml:space="preserve">Lplan：coarse trajectory 的规划损失，包括 MSE、boundary loss、collision loss。</w:t>
      </w:r>
    </w:p>
    <w:p>
      <w:pPr>
        <w:pStyle w:val="ListParagraph"/>
        <w:numPr>
          <w:ilvl w:val="0"/>
          <w:numId w:val="1"/>
        </w:numPr>
      </w:pPr>
      <w:r>
        <w:t xml:space="preserve">Lplan_r：final trajectory 的规划损失。</w:t>
      </w:r>
    </w:p>
    <w:p>
      <w:pPr>
        <w:pStyle w:val="ListParagraph"/>
        <w:numPr>
          <w:ilvl w:val="0"/>
          <w:numId w:val="1"/>
        </w:numPr>
      </w:pPr>
      <w:r>
        <w:t xml:space="preserve">Lqt：结构化多视角特征提取损失。</w:t>
      </w:r>
    </w:p>
    <w:p>
      <w:pPr>
        <w:pStyle w:val="ListParagraph"/>
        <w:numPr>
          <w:ilvl w:val="0"/>
          <w:numId w:val="1"/>
        </w:numPr>
      </w:pPr>
      <w:r>
        <w:t xml:space="preserve">Lce：特殊 placeholder tokens 的生成格式监督。</w:t>
      </w:r>
    </w:p>
    <w:p>
      <w:pPr>
        <w:pStyle w:val="Heading1"/>
      </w:pPr>
      <w:r>
        <w:t xml:space="preserve">主实验结果</w:t>
      </w:r>
    </w:p>
    <w:tbl>
      <w:tblPr>
        <w:tblStyle w:val="TableGrid"/>
        <w:tblW w:w="9360" w:type="dxa"/>
        <w:tblLook w:firstRow="1" w:noHBand="0" w:noVBand="1"/>
      </w:tblPr>
      <w:tblGrid>
        <w:gridCol w:w="3200"/>
        <w:gridCol w:w="1600"/>
        <w:gridCol w:w="1600"/>
        <w:gridCol w:w="1600"/>
      </w:tblGrid>
      <w:tr>
        <w:tc>
          <w:tcPr>
            <w:tcW w:w="3200" w:type="dxa"/>
            <w:shd w:fill="F2F4F7"/>
          </w:tcPr>
          <w:p>
            <w:r>
              <w:t xml:space="preserve">Method</w:t>
            </w:r>
          </w:p>
        </w:tc>
        <w:tc>
          <w:tcPr>
            <w:tcW w:w="1600" w:type="dxa"/>
            <w:shd w:fill="F2F4F7"/>
          </w:tcPr>
          <w:p>
            <w:r>
              <w:t xml:space="preserve">DS</w:t>
            </w:r>
          </w:p>
        </w:tc>
        <w:tc>
          <w:tcPr>
            <w:tcW w:w="1600" w:type="dxa"/>
            <w:shd w:fill="F2F4F7"/>
          </w:tcPr>
          <w:p>
            <w:r>
              <w:t xml:space="preserve">SR</w:t>
            </w:r>
          </w:p>
        </w:tc>
        <w:tc>
          <w:tcPr>
            <w:tcW w:w="1600" w:type="dxa"/>
            <w:shd w:fill="F2F4F7"/>
          </w:tcPr>
          <w:p>
            <w:r>
              <w:t xml:space="preserve">Avg. L2</w:t>
            </w:r>
          </w:p>
        </w:tc>
      </w:tr>
      <w:tr>
        <w:tc>
          <w:tcPr>
            <w:tcW w:w="3200" w:type="dxa"/>
          </w:tcPr>
          <w:p>
            <w:r>
              <w:t xml:space="preserve">ORION</w:t>
            </w:r>
          </w:p>
        </w:tc>
        <w:tc>
          <w:tcPr>
            <w:tcW w:w="1600" w:type="dxa"/>
          </w:tcPr>
          <w:p>
            <w:r>
              <w:t xml:space="preserve">77.74</w:t>
            </w:r>
          </w:p>
        </w:tc>
        <w:tc>
          <w:tcPr>
            <w:tcW w:w="1600" w:type="dxa"/>
          </w:tcPr>
          <w:p>
            <w:r>
              <w:t xml:space="preserve">54.62%</w:t>
            </w:r>
          </w:p>
        </w:tc>
        <w:tc>
          <w:tcPr>
            <w:tcW w:w="1600" w:type="dxa"/>
          </w:tcPr>
          <w:p>
            <w:r>
              <w:t xml:space="preserve">0.68</w:t>
            </w:r>
          </w:p>
        </w:tc>
      </w:tr>
      <w:tr>
        <w:tc>
          <w:tcPr>
            <w:tcW w:w="3200" w:type="dxa"/>
          </w:tcPr>
          <w:p>
            <w:r>
              <w:t xml:space="preserve">UniDrive-WM-AR</w:t>
            </w:r>
          </w:p>
        </w:tc>
        <w:tc>
          <w:tcPr>
            <w:tcW w:w="1600" w:type="dxa"/>
          </w:tcPr>
          <w:p>
            <w:r>
              <w:t xml:space="preserve">79.22</w:t>
            </w:r>
          </w:p>
        </w:tc>
        <w:tc>
          <w:tcPr>
            <w:tcW w:w="1600" w:type="dxa"/>
          </w:tcPr>
          <w:p>
            <w:r>
              <w:t xml:space="preserve">56.36%</w:t>
            </w:r>
          </w:p>
        </w:tc>
        <w:tc>
          <w:tcPr>
            <w:tcW w:w="1600" w:type="dxa"/>
          </w:tcPr>
          <w:p>
            <w:r>
              <w:t xml:space="preserve">0.64</w:t>
            </w:r>
          </w:p>
        </w:tc>
      </w:tr>
      <w:tr>
        <w:tc>
          <w:tcPr>
            <w:tcW w:w="3200" w:type="dxa"/>
          </w:tcPr>
          <w:p>
            <w:r>
              <w:t xml:space="preserve">UniDrive-WM-AR+Diff</w:t>
            </w:r>
          </w:p>
        </w:tc>
        <w:tc>
          <w:tcPr>
            <w:tcW w:w="1600" w:type="dxa"/>
          </w:tcPr>
          <w:p>
            <w:r>
              <w:t xml:space="preserve">79.31</w:t>
            </w:r>
          </w:p>
        </w:tc>
        <w:tc>
          <w:tcPr>
            <w:tcW w:w="1600" w:type="dxa"/>
          </w:tcPr>
          <w:p>
            <w:r>
              <w:t xml:space="preserve">56.42%</w:t>
            </w:r>
          </w:p>
        </w:tc>
        <w:tc>
          <w:tcPr>
            <w:tcW w:w="1600" w:type="dxa"/>
          </w:tcPr>
          <w:p>
            <w:r>
              <w:t xml:space="preserve">0.63</w:t>
            </w:r>
          </w:p>
        </w:tc>
      </w:tr>
      <w:tr>
        <w:tc>
          <w:tcPr>
            <w:tcW w:w="3200" w:type="dxa"/>
          </w:tcPr>
          <w:p>
            <w:r>
              <w:t xml:space="preserve">LVDrive</w:t>
            </w:r>
          </w:p>
        </w:tc>
        <w:tc>
          <w:tcPr>
            <w:tcW w:w="1600" w:type="dxa"/>
          </w:tcPr>
          <w:p>
            <w:r>
              <w:t xml:space="preserve">80.71</w:t>
            </w:r>
          </w:p>
        </w:tc>
        <w:tc>
          <w:tcPr>
            <w:tcW w:w="1600" w:type="dxa"/>
          </w:tcPr>
          <w:p>
            <w:r>
              <w:t xml:space="preserve">58.26%</w:t>
            </w:r>
          </w:p>
        </w:tc>
        <w:tc>
          <w:tcPr>
            <w:tcW w:w="1600" w:type="dxa"/>
          </w:tcPr>
          <w:p>
            <w:r>
              <w:t xml:space="preserve">0.63</w:t>
            </w:r>
          </w:p>
        </w:tc>
      </w:tr>
    </w:tbl>
    <w:p>
      <w:r>
        <w:t xml:space="preserve">LVDrive 在 Bench2Drive closed-loop evaluation 上取得最高 DS 和 SR。它的 open-loop L2 不是全表最低，因此应重点表述为 closed-loop 性能更强，而不是所有指标全面领先。</w:t>
      </w:r>
    </w:p>
    <w:p>
      <w:pPr>
        <w:pStyle w:val="Heading1"/>
      </w:pPr>
      <w:r>
        <w:t xml:space="preserve">Multi-Ability 结果</w:t>
      </w:r>
    </w:p>
    <w:tbl>
      <w:tblPr>
        <w:tblStyle w:val="TableGrid"/>
        <w:tblW w:w="9360" w:type="dxa"/>
        <w:tblLook w:firstRow="1" w:noHBand="0" w:noVBand="1"/>
      </w:tblPr>
      <w:tblGrid>
        <w:gridCol w:w="4200"/>
        <w:gridCol w:w="2600"/>
      </w:tblGrid>
      <w:tr>
        <w:tc>
          <w:tcPr>
            <w:tcW w:w="4200" w:type="dxa"/>
            <w:shd w:fill="F2F4F7"/>
          </w:tcPr>
          <w:p>
            <w:r>
              <w:t xml:space="preserve">Skill</w:t>
            </w:r>
          </w:p>
        </w:tc>
        <w:tc>
          <w:tcPr>
            <w:tcW w:w="2600" w:type="dxa"/>
            <w:shd w:fill="F2F4F7"/>
          </w:tcPr>
          <w:p>
            <w:r>
              <w:t xml:space="preserve">LVDrive</w:t>
            </w:r>
          </w:p>
        </w:tc>
      </w:tr>
      <w:tr>
        <w:tc>
          <w:tcPr>
            <w:tcW w:w="4200" w:type="dxa"/>
          </w:tcPr>
          <w:p>
            <w:r>
              <w:t xml:space="preserve">Merging</w:t>
            </w:r>
          </w:p>
        </w:tc>
        <w:tc>
          <w:tcPr>
            <w:tcW w:w="2600" w:type="dxa"/>
          </w:tcPr>
          <w:p>
            <w:r>
              <w:t xml:space="preserve">39.74</w:t>
            </w:r>
          </w:p>
        </w:tc>
      </w:tr>
      <w:tr>
        <w:tc>
          <w:tcPr>
            <w:tcW w:w="4200" w:type="dxa"/>
          </w:tcPr>
          <w:p>
            <w:r>
              <w:t xml:space="preserve">Overtaking</w:t>
            </w:r>
          </w:p>
        </w:tc>
        <w:tc>
          <w:tcPr>
            <w:tcW w:w="2600" w:type="dxa"/>
          </w:tcPr>
          <w:p>
            <w:r>
              <w:t xml:space="preserve">68.89</w:t>
            </w:r>
          </w:p>
        </w:tc>
      </w:tr>
      <w:tr>
        <w:tc>
          <w:tcPr>
            <w:tcW w:w="4200" w:type="dxa"/>
          </w:tcPr>
          <w:p>
            <w:r>
              <w:t xml:space="preserve">Emergency Brake</w:t>
            </w:r>
          </w:p>
        </w:tc>
        <w:tc>
          <w:tcPr>
            <w:tcW w:w="2600" w:type="dxa"/>
          </w:tcPr>
          <w:p>
            <w:r>
              <w:t xml:space="preserve">71.67</w:t>
            </w:r>
          </w:p>
        </w:tc>
      </w:tr>
      <w:tr>
        <w:tc>
          <w:tcPr>
            <w:tcW w:w="4200" w:type="dxa"/>
          </w:tcPr>
          <w:p>
            <w:r>
              <w:t xml:space="preserve">Give Way</w:t>
            </w:r>
          </w:p>
        </w:tc>
        <w:tc>
          <w:tcPr>
            <w:tcW w:w="2600" w:type="dxa"/>
          </w:tcPr>
          <w:p>
            <w:r>
              <w:t xml:space="preserve">20.00</w:t>
            </w:r>
          </w:p>
        </w:tc>
      </w:tr>
      <w:tr>
        <w:tc>
          <w:tcPr>
            <w:tcW w:w="4200" w:type="dxa"/>
          </w:tcPr>
          <w:p>
            <w:r>
              <w:t xml:space="preserve">Traffic Sign</w:t>
            </w:r>
          </w:p>
        </w:tc>
        <w:tc>
          <w:tcPr>
            <w:tcW w:w="2600" w:type="dxa"/>
          </w:tcPr>
          <w:p>
            <w:r>
              <w:t xml:space="preserve">74.21</w:t>
            </w:r>
          </w:p>
        </w:tc>
      </w:tr>
      <w:tr>
        <w:tc>
          <w:tcPr>
            <w:tcW w:w="4200" w:type="dxa"/>
          </w:tcPr>
          <w:p>
            <w:r>
              <w:t xml:space="preserve">Mean</w:t>
            </w:r>
          </w:p>
        </w:tc>
        <w:tc>
          <w:tcPr>
            <w:tcW w:w="2600" w:type="dxa"/>
          </w:tcPr>
          <w:p>
            <w:r>
              <w:t xml:space="preserve">54.90</w:t>
            </w:r>
          </w:p>
        </w:tc>
      </w:tr>
    </w:tbl>
    <w:p>
      <w:r>
        <w:t xml:space="preserve">Give Way 表现很弱。论文解释是该场景常需要对后方 emergency vehicle 让行，而 LVDrive 的 future prediction 主要面向 front-view，导致后方交互能力不足。</w:t>
      </w:r>
    </w:p>
    <w:p>
      <w:pPr>
        <w:pStyle w:val="Heading1"/>
      </w:pPr>
      <w:r>
        <w:t xml:space="preserve">消融实验</w:t>
      </w:r>
    </w:p>
    <w:tbl>
      <w:tblPr>
        <w:tblStyle w:val="TableGrid"/>
        <w:tblW w:w="9360" w:type="dxa"/>
        <w:tblLook w:firstRow="1" w:noHBand="0" w:noVBand="1"/>
      </w:tblPr>
      <w:tblGrid>
        <w:gridCol w:w="2200"/>
        <w:gridCol w:w="3600"/>
        <w:gridCol w:w="1200"/>
        <w:gridCol w:w="1200"/>
      </w:tblGrid>
      <w:tr>
        <w:tc>
          <w:tcPr>
            <w:tcW w:w="2200" w:type="dxa"/>
            <w:shd w:fill="F2F4F7"/>
          </w:tcPr>
          <w:p>
            <w:r>
              <w:t xml:space="preserve">Variant</w:t>
            </w:r>
          </w:p>
        </w:tc>
        <w:tc>
          <w:tcPr>
            <w:tcW w:w="3600" w:type="dxa"/>
            <w:shd w:fill="F2F4F7"/>
          </w:tcPr>
          <w:p>
            <w:r>
              <w:t xml:space="preserve">Design</w:t>
            </w:r>
          </w:p>
        </w:tc>
        <w:tc>
          <w:tcPr>
            <w:tcW w:w="1200" w:type="dxa"/>
            <w:shd w:fill="F2F4F7"/>
          </w:tcPr>
          <w:p>
            <w:r>
              <w:t xml:space="preserve">DS</w:t>
            </w:r>
          </w:p>
        </w:tc>
        <w:tc>
          <w:tcPr>
            <w:tcW w:w="1200" w:type="dxa"/>
            <w:shd w:fill="F2F4F7"/>
          </w:tcPr>
          <w:p>
            <w:r>
              <w:t xml:space="preserve">SR</w:t>
            </w:r>
          </w:p>
        </w:tc>
      </w:tr>
      <w:tr>
        <w:tc>
          <w:tcPr>
            <w:tcW w:w="2200" w:type="dxa"/>
          </w:tcPr>
          <w:p>
            <w:r>
              <w:t xml:space="preserve">Mbase</w:t>
            </w:r>
          </w:p>
        </w:tc>
        <w:tc>
          <w:tcPr>
            <w:tcW w:w="3600" w:type="dxa"/>
          </w:tcPr>
          <w:p>
            <w:r>
              <w:t xml:space="preserve">action-only baseline</w:t>
            </w:r>
          </w:p>
        </w:tc>
        <w:tc>
          <w:tcPr>
            <w:tcW w:w="1200" w:type="dxa"/>
          </w:tcPr>
          <w:p>
            <w:r>
              <w:t xml:space="preserve">65.25</w:t>
            </w:r>
          </w:p>
        </w:tc>
        <w:tc>
          <w:tcPr>
            <w:tcW w:w="1200" w:type="dxa"/>
          </w:tcPr>
          <w:p>
            <w:r>
              <w:t xml:space="preserve">4/10</w:t>
            </w:r>
          </w:p>
        </w:tc>
      </w:tr>
      <w:tr>
        <w:tc>
          <w:tcPr>
            <w:tcW w:w="2200" w:type="dxa"/>
          </w:tcPr>
          <w:p>
            <w:r>
              <w:t xml:space="preserve">Mvis</w:t>
            </w:r>
          </w:p>
        </w:tc>
        <w:tc>
          <w:tcPr>
            <w:tcW w:w="3600" w:type="dxa"/>
          </w:tcPr>
          <w:p>
            <w:r>
              <w:t xml:space="preserve">add latent future prediction</w:t>
            </w:r>
          </w:p>
        </w:tc>
        <w:tc>
          <w:tcPr>
            <w:tcW w:w="1200" w:type="dxa"/>
          </w:tcPr>
          <w:p>
            <w:r>
              <w:t xml:space="preserve">66.31</w:t>
            </w:r>
          </w:p>
        </w:tc>
        <w:tc>
          <w:tcPr>
            <w:tcW w:w="1200" w:type="dxa"/>
          </w:tcPr>
          <w:p>
            <w:r>
              <w:t xml:space="preserve">3/10</w:t>
            </w:r>
          </w:p>
        </w:tc>
      </w:tr>
      <w:tr>
        <w:tc>
          <w:tcPr>
            <w:tcW w:w="2200" w:type="dxa"/>
          </w:tcPr>
          <w:p>
            <w:r>
              <w:t xml:space="preserve">Mone</w:t>
            </w:r>
          </w:p>
        </w:tc>
        <w:tc>
          <w:tcPr>
            <w:tcW w:w="3600" w:type="dxa"/>
          </w:tcPr>
          <w:p>
            <w:r>
              <w:t xml:space="preserve">one-stage fusion</w:t>
            </w:r>
          </w:p>
        </w:tc>
        <w:tc>
          <w:tcPr>
            <w:tcW w:w="1200" w:type="dxa"/>
          </w:tcPr>
          <w:p>
            <w:r>
              <w:t xml:space="preserve">60.43</w:t>
            </w:r>
          </w:p>
        </w:tc>
        <w:tc>
          <w:tcPr>
            <w:tcW w:w="1200" w:type="dxa"/>
          </w:tcPr>
          <w:p>
            <w:r>
              <w:t xml:space="preserve">3/10</w:t>
            </w:r>
          </w:p>
        </w:tc>
      </w:tr>
      <w:tr>
        <w:tc>
          <w:tcPr>
            <w:tcW w:w="2200" w:type="dxa"/>
          </w:tcPr>
          <w:p>
            <w:r>
              <w:t xml:space="preserve">LVDrive</w:t>
            </w:r>
          </w:p>
        </w:tc>
        <w:tc>
          <w:tcPr>
            <w:tcW w:w="3600" w:type="dxa"/>
          </w:tcPr>
          <w:p>
            <w:r>
              <w:t xml:space="preserve">two-stage decoding</w:t>
            </w:r>
          </w:p>
        </w:tc>
        <w:tc>
          <w:tcPr>
            <w:tcW w:w="1200" w:type="dxa"/>
          </w:tcPr>
          <w:p>
            <w:r>
              <w:t xml:space="preserve">82.39</w:t>
            </w:r>
          </w:p>
        </w:tc>
        <w:tc>
          <w:tcPr>
            <w:tcW w:w="1200" w:type="dxa"/>
          </w:tcPr>
          <w:p>
            <w:r>
              <w:t xml:space="preserve">7/10</w:t>
            </w:r>
          </w:p>
        </w:tc>
      </w:tr>
    </w:tbl>
    <w:p>
      <w:r>
        <w:t xml:space="preserve">简单加入 latent future prediction 并不稳定；one-stage 直接融合会干扰 motion feature learning；two-stage decoding 先稳定动作特征，再用未来语义精修轨迹，因此提升最大。</w:t>
      </w:r>
    </w:p>
    <w:p>
      <w:pPr>
        <w:pStyle w:val="Heading2"/>
      </w:pPr>
      <w:r>
        <w:t xml:space="preserve">视觉监督 backbone 消融</w:t>
      </w:r>
    </w:p>
    <w:tbl>
      <w:tblPr>
        <w:tblStyle w:val="TableGrid"/>
        <w:tblW w:w="9360" w:type="dxa"/>
        <w:tblLook w:firstRow="1" w:noHBand="0" w:noVBand="1"/>
      </w:tblPr>
      <w:tblGrid>
        <w:gridCol w:w="1500"/>
        <w:gridCol w:w="3000"/>
        <w:gridCol w:w="1700"/>
        <w:gridCol w:w="1000"/>
        <w:gridCol w:w="1000"/>
      </w:tblGrid>
      <w:tr>
        <w:tc>
          <w:tcPr>
            <w:tcW w:w="1500" w:type="dxa"/>
            <w:shd w:fill="F2F4F7"/>
          </w:tcPr>
          <w:p>
            <w:r>
              <w:t xml:space="preserve">Variant</w:t>
            </w:r>
          </w:p>
        </w:tc>
        <w:tc>
          <w:tcPr>
            <w:tcW w:w="3000" w:type="dxa"/>
            <w:shd w:fill="F2F4F7"/>
          </w:tcPr>
          <w:p>
            <w:r>
              <w:t xml:space="preserve">Vision Supervision</w:t>
            </w:r>
          </w:p>
        </w:tc>
        <w:tc>
          <w:tcPr>
            <w:tcW w:w="1700" w:type="dxa"/>
            <w:shd w:fill="F2F4F7"/>
          </w:tcPr>
          <w:p>
            <w:r>
              <w:t xml:space="preserve">Feature Dim.</w:t>
            </w:r>
          </w:p>
        </w:tc>
        <w:tc>
          <w:tcPr>
            <w:tcW w:w="1000" w:type="dxa"/>
            <w:shd w:fill="F2F4F7"/>
          </w:tcPr>
          <w:p>
            <w:r>
              <w:t xml:space="preserve">DS</w:t>
            </w:r>
          </w:p>
        </w:tc>
        <w:tc>
          <w:tcPr>
            <w:tcW w:w="1000" w:type="dxa"/>
            <w:shd w:fill="F2F4F7"/>
          </w:tcPr>
          <w:p>
            <w:r>
              <w:t xml:space="preserve">SR</w:t>
            </w:r>
          </w:p>
        </w:tc>
      </w:tr>
      <w:tr>
        <w:tc>
          <w:tcPr>
            <w:tcW w:w="1500" w:type="dxa"/>
          </w:tcPr>
          <w:p>
            <w:r>
              <w:t xml:space="preserve">Mbase</w:t>
            </w:r>
          </w:p>
        </w:tc>
        <w:tc>
          <w:tcPr>
            <w:tcW w:w="3000" w:type="dxa"/>
          </w:tcPr>
          <w:p>
            <w:r>
              <w:t xml:space="preserve">-</w:t>
            </w:r>
          </w:p>
        </w:tc>
        <w:tc>
          <w:tcPr>
            <w:tcW w:w="1700" w:type="dxa"/>
          </w:tcPr>
          <w:p>
            <w:r>
              <w:t xml:space="preserve">-</w:t>
            </w:r>
          </w:p>
        </w:tc>
        <w:tc>
          <w:tcPr>
            <w:tcW w:w="1000" w:type="dxa"/>
          </w:tcPr>
          <w:p>
            <w:r>
              <w:t xml:space="preserve">65.25</w:t>
            </w:r>
          </w:p>
        </w:tc>
        <w:tc>
          <w:tcPr>
            <w:tcW w:w="1000" w:type="dxa"/>
          </w:tcPr>
          <w:p>
            <w:r>
              <w:t xml:space="preserve">4/10</w:t>
            </w:r>
          </w:p>
        </w:tc>
      </w:tr>
      <w:tr>
        <w:tc>
          <w:tcPr>
            <w:tcW w:w="1500" w:type="dxa"/>
          </w:tcPr>
          <w:p>
            <w:r>
              <w:t xml:space="preserve">M1</w:t>
            </w:r>
          </w:p>
        </w:tc>
        <w:tc>
          <w:tcPr>
            <w:tcW w:w="3000" w:type="dxa"/>
          </w:tcPr>
          <w:p>
            <w:r>
              <w:t xml:space="preserve">Internal Vision Enc.</w:t>
            </w:r>
          </w:p>
        </w:tc>
        <w:tc>
          <w:tcPr>
            <w:tcW w:w="1700" w:type="dxa"/>
          </w:tcPr>
          <w:p>
            <w:r>
              <w:t xml:space="preserve">1024</w:t>
            </w:r>
          </w:p>
        </w:tc>
        <w:tc>
          <w:tcPr>
            <w:tcW w:w="1000" w:type="dxa"/>
          </w:tcPr>
          <w:p>
            <w:r>
              <w:t xml:space="preserve">65.42</w:t>
            </w:r>
          </w:p>
        </w:tc>
        <w:tc>
          <w:tcPr>
            <w:tcW w:w="1000" w:type="dxa"/>
          </w:tcPr>
          <w:p>
            <w:r>
              <w:t xml:space="preserve">4/10</w:t>
            </w:r>
          </w:p>
        </w:tc>
      </w:tr>
      <w:tr>
        <w:tc>
          <w:tcPr>
            <w:tcW w:w="1500" w:type="dxa"/>
          </w:tcPr>
          <w:p>
            <w:r>
              <w:t xml:space="preserve">M2</w:t>
            </w:r>
          </w:p>
        </w:tc>
        <w:tc>
          <w:tcPr>
            <w:tcW w:w="3000" w:type="dxa"/>
          </w:tcPr>
          <w:p>
            <w:r>
              <w:t xml:space="preserve">MoVQGAN</w:t>
            </w:r>
          </w:p>
        </w:tc>
        <w:tc>
          <w:tcPr>
            <w:tcW w:w="1700" w:type="dxa"/>
          </w:tcPr>
          <w:p>
            <w:r>
              <w:t xml:space="preserve">4</w:t>
            </w:r>
          </w:p>
        </w:tc>
        <w:tc>
          <w:tcPr>
            <w:tcW w:w="1000" w:type="dxa"/>
          </w:tcPr>
          <w:p>
            <w:r>
              <w:t xml:space="preserve">59.91</w:t>
            </w:r>
          </w:p>
        </w:tc>
        <w:tc>
          <w:tcPr>
            <w:tcW w:w="1000" w:type="dxa"/>
          </w:tcPr>
          <w:p>
            <w:r>
              <w:t xml:space="preserve">3/10</w:t>
            </w:r>
          </w:p>
        </w:tc>
      </w:tr>
      <w:tr>
        <w:tc>
          <w:tcPr>
            <w:tcW w:w="1500" w:type="dxa"/>
          </w:tcPr>
          <w:p>
            <w:r>
              <w:t xml:space="preserve">M3</w:t>
            </w:r>
          </w:p>
        </w:tc>
        <w:tc>
          <w:tcPr>
            <w:tcW w:w="3000" w:type="dxa"/>
          </w:tcPr>
          <w:p>
            <w:r>
              <w:t xml:space="preserve">DINOv3-Large</w:t>
            </w:r>
          </w:p>
        </w:tc>
        <w:tc>
          <w:tcPr>
            <w:tcW w:w="1700" w:type="dxa"/>
          </w:tcPr>
          <w:p>
            <w:r>
              <w:t xml:space="preserve">1024</w:t>
            </w:r>
          </w:p>
        </w:tc>
        <w:tc>
          <w:tcPr>
            <w:tcW w:w="1000" w:type="dxa"/>
          </w:tcPr>
          <w:p>
            <w:r>
              <w:t xml:space="preserve">71.72</w:t>
            </w:r>
          </w:p>
        </w:tc>
        <w:tc>
          <w:tcPr>
            <w:tcW w:w="1000" w:type="dxa"/>
          </w:tcPr>
          <w:p>
            <w:r>
              <w:t xml:space="preserve">5/10</w:t>
            </w:r>
          </w:p>
        </w:tc>
      </w:tr>
      <w:tr>
        <w:tc>
          <w:tcPr>
            <w:tcW w:w="1500" w:type="dxa"/>
          </w:tcPr>
          <w:p>
            <w:r>
              <w:t xml:space="preserve">LVDrive</w:t>
            </w:r>
          </w:p>
        </w:tc>
        <w:tc>
          <w:tcPr>
            <w:tcW w:w="3000" w:type="dxa"/>
          </w:tcPr>
          <w:p>
            <w:r>
              <w:t xml:space="preserve">VQGAN-ImageNet</w:t>
            </w:r>
          </w:p>
        </w:tc>
        <w:tc>
          <w:tcPr>
            <w:tcW w:w="1700" w:type="dxa"/>
          </w:tcPr>
          <w:p>
            <w:r>
              <w:t xml:space="preserve">256</w:t>
            </w:r>
          </w:p>
        </w:tc>
        <w:tc>
          <w:tcPr>
            <w:tcW w:w="1000" w:type="dxa"/>
          </w:tcPr>
          <w:p>
            <w:r>
              <w:t xml:space="preserve">82.39</w:t>
            </w:r>
          </w:p>
        </w:tc>
        <w:tc>
          <w:tcPr>
            <w:tcW w:w="1000" w:type="dxa"/>
          </w:tcPr>
          <w:p>
            <w:r>
              <w:t xml:space="preserve">7/10</w:t>
            </w:r>
          </w:p>
        </w:tc>
      </w:tr>
    </w:tbl>
    <w:p>
      <w:r>
        <w:t xml:space="preserve">teacher backbone 的选择非常关键。VQGAN-ImageNet 的 256 维 latent 在该框架中效果最好；DINOv3 有提升但可能引入过多冗余信息。</w:t>
      </w:r>
    </w:p>
    <w:p>
      <w:pPr>
        <w:pStyle w:val="Heading1"/>
      </w:pPr>
      <w:r>
        <w:t xml:space="preserve">推理速度</w:t>
      </w:r>
    </w:p>
    <w:tbl>
      <w:tblPr>
        <w:tblStyle w:val="TableGrid"/>
        <w:tblW w:w="9360" w:type="dxa"/>
        <w:tblLook w:firstRow="1" w:noHBand="0" w:noVBand="1"/>
      </w:tblPr>
      <w:tblGrid>
        <w:gridCol w:w="4200"/>
        <w:gridCol w:w="2600"/>
      </w:tblGrid>
      <w:tr>
        <w:tc>
          <w:tcPr>
            <w:tcW w:w="4200" w:type="dxa"/>
            <w:shd w:fill="F2F4F7"/>
          </w:tcPr>
          <w:p>
            <w:r>
              <w:t xml:space="preserve">Variant</w:t>
            </w:r>
          </w:p>
        </w:tc>
        <w:tc>
          <w:tcPr>
            <w:tcW w:w="2600" w:type="dxa"/>
            <w:shd w:fill="F2F4F7"/>
          </w:tcPr>
          <w:p>
            <w:r>
              <w:t xml:space="preserve">Inference Time</w:t>
            </w:r>
          </w:p>
        </w:tc>
      </w:tr>
      <w:tr>
        <w:tc>
          <w:tcPr>
            <w:tcW w:w="4200" w:type="dxa"/>
          </w:tcPr>
          <w:p>
            <w:r>
              <w:t xml:space="preserve">Mbase</w:t>
            </w:r>
          </w:p>
        </w:tc>
        <w:tc>
          <w:tcPr>
            <w:tcW w:w="2600" w:type="dxa"/>
          </w:tcPr>
          <w:p>
            <w:r>
              <w:t xml:space="preserve">0.93s</w:t>
            </w:r>
          </w:p>
        </w:tc>
      </w:tr>
      <w:tr>
        <w:tc>
          <w:tcPr>
            <w:tcW w:w="4200" w:type="dxa"/>
          </w:tcPr>
          <w:p>
            <w:r>
              <w:t xml:space="preserve">MAR autoregressive baseline</w:t>
            </w:r>
          </w:p>
        </w:tc>
        <w:tc>
          <w:tcPr>
            <w:tcW w:w="2600" w:type="dxa"/>
          </w:tcPr>
          <w:p>
            <w:r>
              <w:t xml:space="preserve">36.62s</w:t>
            </w:r>
          </w:p>
        </w:tc>
      </w:tr>
      <w:tr>
        <w:tc>
          <w:tcPr>
            <w:tcW w:w="4200" w:type="dxa"/>
          </w:tcPr>
          <w:p>
            <w:r>
              <w:t xml:space="preserve">LVDrive</w:t>
            </w:r>
          </w:p>
        </w:tc>
        <w:tc>
          <w:tcPr>
            <w:tcW w:w="2600" w:type="dxa"/>
          </w:tcPr>
          <w:p>
            <w:r>
              <w:t xml:space="preserve">2.03s</w:t>
            </w:r>
          </w:p>
        </w:tc>
      </w:tr>
    </w:tbl>
    <w:p>
      <w:r>
        <w:t xml:space="preserve">LVDrive 比 Mbase 慢约 2 倍，但比等长自回归视觉/动作 token 生成快一个数量级以上。效率优势来自 pre-filled placeholder tokens 和 single forward parallel decoding。</w:t>
      </w:r>
    </w:p>
    <w:p>
      <w:pPr>
        <w:pStyle w:val="Heading1"/>
      </w:pPr>
      <w:r>
        <w:t xml:space="preserve">局限与疑问</w:t>
      </w:r>
    </w:p>
    <w:p>
      <w:pPr>
        <w:pStyle w:val="ListParagraph"/>
        <w:numPr>
          <w:ilvl w:val="0"/>
          <w:numId w:val="1"/>
        </w:numPr>
      </w:pPr>
      <w:r>
        <w:t xml:space="preserve">Front-view bias：只预测前视未来场景会削弱后方交互能力，Give Way 结果已经暴露该问题。</w:t>
      </w:r>
    </w:p>
    <w:p>
      <w:pPr>
        <w:pStyle w:val="ListParagraph"/>
        <w:numPr>
          <w:ilvl w:val="0"/>
          <w:numId w:val="1"/>
        </w:numPr>
      </w:pPr>
      <w:r>
        <w:t xml:space="preserve">训练成本高：论文使用 32 张 NVIDIA H20 96GB 训练 6 epochs，完整复现资源压力较大。</w:t>
      </w:r>
    </w:p>
    <w:p>
      <w:pPr>
        <w:pStyle w:val="ListParagraph"/>
        <w:numPr>
          <w:ilvl w:val="0"/>
          <w:numId w:val="1"/>
        </w:numPr>
      </w:pPr>
      <w:r>
        <w:t xml:space="preserve">Dev10 消融规模小：核心 ablation 在 10 条路线的 Dev10 上做，统计稳定性有限。</w:t>
      </w:r>
    </w:p>
    <w:p>
      <w:pPr>
        <w:pStyle w:val="ListParagraph"/>
        <w:numPr>
          <w:ilvl w:val="0"/>
          <w:numId w:val="1"/>
        </w:numPr>
      </w:pPr>
      <w:r>
        <w:t xml:space="preserve">Teacher backbone 依赖强：不同视觉监督信号对性能影响很大。</w:t>
      </w:r>
    </w:p>
    <w:p>
      <w:pPr>
        <w:pStyle w:val="ListParagraph"/>
        <w:numPr>
          <w:ilvl w:val="0"/>
          <w:numId w:val="1"/>
        </w:numPr>
      </w:pPr>
      <w:r>
        <w:t xml:space="preserve">语言监督未充分探索：论文主要利用 LLM reasoning space，没有深入研究语言监督如何增强视觉/动作表示学习。</w:t>
      </w:r>
    </w:p>
    <w:p>
      <w:pPr>
        <w:pStyle w:val="Heading1"/>
      </w:pPr>
      <w:r>
        <w:t xml:space="preserve">对普通课题组的启发</w:t>
      </w:r>
    </w:p>
    <w:p>
      <w:r>
        <w:t xml:space="preserve">LVDrive 最值得借鉴的不是大算力，而是机制：未来信息不必生成像素图像；latent supervision 可能比 image reconstruction 更适合 planning；future feature 应该显式进入 trajectory decoding。</w:t>
      </w:r>
    </w:p>
    <w:p>
      <w:pPr>
        <w:pStyle w:val="ListParagraph"/>
        <w:numPr>
          <w:ilvl w:val="0"/>
          <w:numId w:val="1"/>
        </w:numPr>
      </w:pPr>
      <w:r>
        <w:t xml:space="preserve">冻结大模型，只训练 adapter、LoRA、trajectory head 或 refiner。</w:t>
      </w:r>
    </w:p>
    <w:p>
      <w:pPr>
        <w:pStyle w:val="ListParagraph"/>
        <w:numPr>
          <w:ilvl w:val="0"/>
          <w:numId w:val="1"/>
        </w:numPr>
      </w:pPr>
      <w:r>
        <w:t xml:space="preserve">用 DINO、VQGAN、CLIP、EVA 等现成 backbone 做 teacher。</w:t>
      </w:r>
    </w:p>
    <w:p>
      <w:pPr>
        <w:pStyle w:val="ListParagraph"/>
        <w:numPr>
          <w:ilvl w:val="0"/>
          <w:numId w:val="1"/>
        </w:numPr>
      </w:pPr>
      <w:r>
        <w:t xml:space="preserve">在传统 E2E planner 上加入轻量 future latent prediction。</w:t>
      </w:r>
    </w:p>
    <w:p>
      <w:pPr>
        <w:pStyle w:val="ListParagraph"/>
        <w:numPr>
          <w:ilvl w:val="0"/>
          <w:numId w:val="1"/>
        </w:numPr>
      </w:pPr>
      <w:r>
        <w:t xml:space="preserve">用 Dev10、CARLA 子集或 Bench2Drive 小场景做机制验证。</w:t>
      </w:r>
    </w:p>
    <w:p>
      <w:pPr>
        <w:pStyle w:val="ListParagraph"/>
        <w:numPr>
          <w:ilvl w:val="0"/>
          <w:numId w:val="1"/>
        </w:numPr>
      </w:pPr>
      <w:r>
        <w:t xml:space="preserve">研究多视角 future latent 对 Give Way、Merging、Overtaking 等技能的影响。</w:t>
      </w:r>
    </w:p>
    <w:p>
      <w:pPr>
        <w:pStyle w:val="Heading1"/>
      </w:pPr>
      <w:r>
        <w:t xml:space="preserve">阅读结论</w:t>
      </w:r>
    </w:p>
    <w:p>
      <w:r>
        <w:t xml:space="preserve">LVDrive 把 world modeling 从“生成未来图像”转成“学习未来语义 latent”，并让这个 latent 直接服务轨迹生成。实验说明未来视觉监督对 VLA 自动驾驶有帮助，但也表明辅助任务必须和 action space 谨慎对齐；two-stage decoding 是性能提升的关键。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 w:eastAsia="Microsoft YaHei"/>
      <w:sz w:val="36"/>
      <w:b/>
      <w:color w:val="0B2545"/>
    </w:rPr>
  </w:style>
  <w:style w:type="paragraph" w:styleId="Subtitle">
    <w:name w:val="Subtitle"/>
    <w:basedOn w:val="Normal"/>
    <w:pPr>
      <w:spacing w:after="180"/>
    </w:pPr>
    <w:rPr>
      <w:rFonts w:ascii="Calibri" w:hAnsi="Calibri" w:eastAsia="Microsoft YaHei"/>
      <w:sz w:val="22"/>
      <w:color w:val="555555"/>
    </w:rPr>
  </w:style>
  <w:style w:type="paragraph" w:styleId="Heading1">
    <w:name w:val="heading 1"/>
    <w:basedOn w:val="Normal"/>
    <w:next w:val="Normal"/>
    <w:pPr>
      <w:keepNext/>
      <w:spacing w:before="320" w:after="160"/>
    </w:pPr>
    <w:rPr>
      <w:rFonts w:ascii="Calibri" w:hAnsi="Calibri" w:eastAsia="Microsoft YaHei"/>
      <w:sz w:val="32"/>
      <w:b/>
      <w:color w:val="2E74B5"/>
    </w:rPr>
  </w:style>
  <w:style w:type="paragraph" w:styleId="Heading2">
    <w:name w:val="heading 2"/>
    <w:basedOn w:val="Normal"/>
    <w:next w:val="Normal"/>
    <w:pPr>
      <w:keepNext/>
      <w:spacing w:before="240" w:after="120"/>
    </w:pPr>
    <w:rPr>
      <w:rFonts w:ascii="Calibri" w:hAnsi="Calibri" w:eastAsia="Microsoft YaHei"/>
      <w:sz w:val="26"/>
      <w:b/>
      <w:color w:val="2E74B5"/>
    </w:rPr>
  </w:style>
  <w:style w:type="paragraph" w:styleId="Heading3">
    <w:name w:val="heading 3"/>
    <w:basedOn w:val="Normal"/>
    <w:next w:val="Normal"/>
    <w:pPr>
      <w:keepNext/>
      <w:spacing w:before="160" w:after="80"/>
    </w:pPr>
    <w:rPr>
      <w:rFonts w:ascii="Calibri" w:hAnsi="Calibri" w:eastAsia="Microsoft YaHei"/>
      <w:sz w:val="24"/>
      <w:b/>
      <w:color w:val="1F4D78"/>
    </w:rPr>
  </w:style>
  <w:style w:type="paragraph" w:styleId="ListParagraph">
    <w:name w:val="List Paragraph"/>
    <w:basedOn w:val="Normal"/>
    <w:pPr>
      <w:ind w:left="720" w:hanging="360"/>
      <w:spacing w:after="80" w:line="280" w:lineRule="auto"/>
    </w:pPr>
  </w:style>
  <w:style w:type="paragraph" w:styleId="Code">
    <w:name w:val="Code"/>
    <w:basedOn w:val="Normal"/>
    <w:pPr>
      <w:spacing w:after="40"/>
    </w:pPr>
    <w:rPr>
      <w:rFonts w:ascii="Consolas" w:hAnsi="Consolas" w:eastAsia="Microsoft YaHei"/>
      <w:sz w:val="20"/>
      <w:color w:val="333333"/>
    </w:rPr>
  </w:style>
  <w:style w:type="table" w:styleId="TableGrid">
    <w:name w:val="Table Grid"/>
    <w:tblPr>
      <w:tblBorders>
        <w:top w:val="single" w:sz="4" w:color="D0D7DE"/>
        <w:left w:val="single" w:sz="4" w:color="D0D7DE"/>
        <w:bottom w:val="single" w:sz="4" w:color="D0D7DE"/>
        <w:right w:val="single" w:sz="4" w:color="D0D7DE"/>
        <w:insideH w:val="single" w:sz="4" w:color="D0D7DE"/>
        <w:insideV w:val="single" w:sz="4" w:color="D0D7DE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/>
</file>