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B2545"/>
          <w:sz w:val="48"/>
        </w:rPr>
        <w:t>CyberShield Nexus for NEDI</w:t>
      </w:r>
    </w:p>
    <w:p>
      <w:pPr>
        <w:jc w:val="center"/>
      </w:pPr>
      <w:r>
        <w:rPr>
          <w:rFonts w:ascii="Calibri" w:hAnsi="Calibri"/>
          <w:color w:val="555555"/>
          <w:sz w:val="26"/>
        </w:rPr>
        <w:t>Complete Phase-by-Phase Redesign Plan for a Realistic AI Cyber Command Center</w:t>
      </w:r>
    </w:p>
    <w:p>
      <w:pPr>
        <w:jc w:val="center"/>
      </w:pPr>
      <w:r>
        <w:rPr>
          <w:rFonts w:ascii="Calibri" w:hAnsi="Calibri"/>
          <w:color w:val="555555"/>
          <w:sz w:val="20"/>
        </w:rPr>
        <w:t>Scenario: NEDI - National Education Digital Infrastructure | Product: CyberShield Nexus</w:t>
      </w:r>
    </w:p>
    <w:p/>
    <w:tbl>
      <w:tblPr>
        <w:tblStyle w:val="TableGrid"/>
        <w:tblW w:type="auto" w:w="0"/>
        <w:tblLook w:firstColumn="1" w:firstRow="1" w:lastColumn="0" w:lastRow="0" w:noHBand="0" w:noVBand="1" w:val="04A0"/>
      </w:tblPr>
      <w:tblGrid>
        <w:gridCol w:w="9360"/>
      </w:tblGrid>
      <w:tr>
        <w:tc>
          <w:tcPr>
            <w:tcW w:type="dxa" w:w="9360"/>
            <w:shd w:fill="E8F4FA"/>
          </w:tcPr>
          <w:p>
            <w:r>
              <w:rPr>
                <w:rFonts w:ascii="Calibri" w:hAnsi="Calibri"/>
              </w:rPr>
            </w:r>
            <w:r>
              <w:rPr>
                <w:rFonts w:ascii="Calibri" w:hAnsi="Calibri"/>
                <w:b/>
                <w:color w:val="1F4D78"/>
                <w:sz w:val="22"/>
              </w:rPr>
              <w:t>Best Project Description</w:t>
            </w:r>
            <w:r>
              <w:rPr>
                <w:rFonts w:ascii="Calibri" w:hAnsi="Calibri"/>
              </w:rPr>
              <w:br/>
              <w:t>CyberShield Nexus is an AI-assisted Security Operations Center prototype for the fictional National Education Digital Infrastructure (NEDI). NEDI represents a national-scale education technology environment that monitors student portals, faculty portals, exam systems, ERP, admissions, digital library, LMS, and mail services across many institutions. The system combines asset inventory, authentication security, audit logging, risk scoring, incident workflow, and attack-path analysis into one command center. NEDI must be presented as fictional so the project stays ethical, defensible, and technically focused.</w:t>
            </w:r>
          </w:p>
        </w:tc>
      </w:tr>
    </w:tbl>
    <w:p/>
    <w:p>
      <w:pPr>
        <w:pStyle w:val="Heading1"/>
      </w:pPr>
      <w:r>
        <w:rPr>
          <w:rFonts w:ascii="Calibri" w:hAnsi="Calibri"/>
          <w:color w:val="2E74B5"/>
        </w:rPr>
        <w:t>1. How the Project Works</w:t>
      </w:r>
    </w:p>
    <w:p>
      <w:pPr>
        <w:spacing w:after="120" w:line="264" w:lineRule="auto"/>
      </w:pPr>
      <w:r>
        <w:rPr>
          <w:rFonts w:ascii="Calibri" w:hAnsi="Calibri"/>
          <w:sz w:val="22"/>
        </w:rPr>
        <w:t>In the final target design, every institution has digital services such as Student Portal, Faculty Portal, Exam Portal, ERP, Admission Portal, Digital Library, LMS, and Mail Service. Each service is connected to real managed assets: servers, firewalls, licenses, hardware, and database dependencies. Monitoring agents or simulated telemetry events send safe health and security signals into CyberShield Nexus. The backend stores these signals, calculates risk, creates incidents, and shows the response workflow on the dashboard.</w:t>
      </w:r>
    </w:p>
    <w:p>
      <w:pPr>
        <w:spacing w:after="120" w:line="264" w:lineRule="auto"/>
      </w:pPr>
      <w:r>
        <w:rPr>
          <w:rFonts w:ascii="Calibri" w:hAnsi="Calibri"/>
          <w:sz w:val="22"/>
        </w:rPr>
        <w:t>The working system already has a serious foundation: Spring Boot APIs, PostgreSQL persistence, JWT login, BCrypt password hashing, role-based access control, CRUD modules, audit logs, brute-force lockout, rule-based risk scoring, auto-created incidents, and BFS attack-path logic. The redesign plan does not replace this foundation; it aligns it with the NEDI scenario and upgrades the weak demo-only parts into realistic features.</w:t>
      </w:r>
    </w:p>
    <w:p>
      <w:pPr>
        <w:pStyle w:val="Heading1"/>
      </w:pPr>
      <w:r>
        <w:rPr>
          <w:rFonts w:ascii="Calibri" w:hAnsi="Calibri"/>
          <w:color w:val="2E74B5"/>
        </w:rPr>
        <w:t>2. Real-Time Example Scenario</w:t>
      </w:r>
    </w:p>
    <w:p>
      <w:pPr>
        <w:pStyle w:val="ListNumber"/>
        <w:spacing w:after="80"/>
      </w:pPr>
      <w:r>
        <w:rPr>
          <w:rFonts w:ascii="Calibri" w:hAnsi="Calibri"/>
          <w:sz w:val="21"/>
        </w:rPr>
        <w:t>Normal state: student.nedi.local, faculty.nedi.local, exam.nedi.local, erp.nedi.local, library.nedi.local, lms.nedi.local, admission.nedi.local, and mail.nedi.local are visible on the SOC dashboard as monitored services.</w:t>
      </w:r>
    </w:p>
    <w:p>
      <w:pPr>
        <w:pStyle w:val="ListNumber"/>
        <w:spacing w:after="80"/>
      </w:pPr>
      <w:r>
        <w:rPr>
          <w:rFonts w:ascii="Calibri" w:hAnsi="Calibri"/>
          <w:sz w:val="21"/>
        </w:rPr>
        <w:t>A student, faculty user, and admin login normally. The audit log records successful authentication events with timestamp, username, role, and source IP.</w:t>
      </w:r>
    </w:p>
    <w:p>
      <w:pPr>
        <w:pStyle w:val="ListNumber"/>
        <w:spacing w:after="80"/>
      </w:pPr>
      <w:r>
        <w:rPr>
          <w:rFonts w:ascii="Calibri" w:hAnsi="Calibri"/>
          <w:sz w:val="21"/>
        </w:rPr>
        <w:t>A simulated security incident begins on exam.nedi.local. Several failed login attempts occur against a low-privilege or service-owner account.</w:t>
      </w:r>
    </w:p>
    <w:p>
      <w:pPr>
        <w:pStyle w:val="ListNumber"/>
        <w:spacing w:after="80"/>
      </w:pPr>
      <w:r>
        <w:rPr>
          <w:rFonts w:ascii="Calibri" w:hAnsi="Calibri"/>
          <w:sz w:val="21"/>
        </w:rPr>
        <w:t>CyberShield Nexus receives security events, asset health, firewall state, license status, and patch status from the database or simulated telemetry layer.</w:t>
      </w:r>
    </w:p>
    <w:p>
      <w:pPr>
        <w:pStyle w:val="ListNumber"/>
        <w:spacing w:after="80"/>
      </w:pPr>
      <w:r>
        <w:rPr>
          <w:rFonts w:ascii="Calibri" w:hAnsi="Calibri"/>
          <w:sz w:val="21"/>
        </w:rPr>
        <w:t>The risk engine calculates a high risk score because the Exam Portal has repeated failed login activity, an unpatched server, an expired dependency/license, and a low-trust path to a critical database.</w:t>
      </w:r>
    </w:p>
    <w:p>
      <w:pPr>
        <w:pStyle w:val="ListNumber"/>
        <w:spacing w:after="80"/>
      </w:pPr>
      <w:r>
        <w:rPr>
          <w:rFonts w:ascii="Calibri" w:hAnsi="Calibri"/>
          <w:sz w:val="21"/>
        </w:rPr>
        <w:t>The dashboard highlights Exam Portal as High Risk, for example 92/100, with business impact High and affected assets such as web server, application server, database, firewall, and dependency license.</w:t>
      </w:r>
    </w:p>
    <w:p>
      <w:pPr>
        <w:pStyle w:val="ListNumber"/>
        <w:spacing w:after="80"/>
      </w:pPr>
      <w:r>
        <w:rPr>
          <w:rFonts w:ascii="Calibri" w:hAnsi="Calibri"/>
          <w:sz w:val="21"/>
        </w:rPr>
        <w:t>The AI-assisted recommendation engine explains the risk in natural language: review authentication settings, apply pending patches, renew/replace expired dependency, and investigate the recent login anomaly.</w:t>
      </w:r>
    </w:p>
    <w:p>
      <w:pPr>
        <w:pStyle w:val="ListNumber"/>
        <w:spacing w:after="80"/>
      </w:pPr>
      <w:r>
        <w:rPr>
          <w:rFonts w:ascii="Calibri" w:hAnsi="Calibri"/>
          <w:sz w:val="21"/>
        </w:rPr>
        <w:t>The administrator opens the attack-path view. BFS shows a path such as USER -&gt; DMZ Firewall -&gt; Student/Exam Web Server -&gt; Exam App Server -&gt; Exam Database.</w:t>
      </w:r>
    </w:p>
    <w:p>
      <w:pPr>
        <w:pStyle w:val="ListNumber"/>
        <w:spacing w:after="80"/>
      </w:pPr>
      <w:r>
        <w:rPr>
          <w:rFonts w:ascii="Calibri" w:hAnsi="Calibri"/>
          <w:sz w:val="21"/>
        </w:rPr>
        <w:t>The administrator marks the incident Investigating, then Contained, then Resolved after simulated remediation. The dashboard returns to a healthier state and the generated report records the complete timeline.</w:t>
      </w:r>
    </w:p>
    <w:p>
      <w:pPr>
        <w:pStyle w:val="Heading1"/>
      </w:pPr>
      <w:r>
        <w:rPr>
          <w:rFonts w:ascii="Calibri" w:hAnsi="Calibri"/>
          <w:color w:val="2E74B5"/>
        </w:rPr>
        <w:t>3. What Is Already Okay</w:t>
      </w:r>
    </w:p>
    <w:p>
      <w:pPr>
        <w:pStyle w:val="ListBullet"/>
        <w:spacing w:after="80"/>
      </w:pPr>
      <w:r>
        <w:rPr>
          <w:rFonts w:ascii="Calibri" w:hAnsi="Calibri"/>
          <w:sz w:val="21"/>
        </w:rPr>
        <w:t>Spring Boot backend structure is good.</w:t>
      </w:r>
    </w:p>
    <w:p>
      <w:pPr>
        <w:pStyle w:val="ListBullet"/>
        <w:spacing w:after="80"/>
      </w:pPr>
      <w:r>
        <w:rPr>
          <w:rFonts w:ascii="Calibri" w:hAnsi="Calibri"/>
          <w:sz w:val="21"/>
        </w:rPr>
        <w:t>PostgreSQL connection is already present.</w:t>
      </w:r>
    </w:p>
    <w:p>
      <w:pPr>
        <w:pStyle w:val="ListBullet"/>
        <w:spacing w:after="80"/>
      </w:pPr>
      <w:r>
        <w:rPr>
          <w:rFonts w:ascii="Calibri" w:hAnsi="Calibri"/>
          <w:sz w:val="21"/>
        </w:rPr>
        <w:t>JWT login is real.</w:t>
      </w:r>
    </w:p>
    <w:p>
      <w:pPr>
        <w:pStyle w:val="ListBullet"/>
        <w:spacing w:after="80"/>
      </w:pPr>
      <w:r>
        <w:rPr>
          <w:rFonts w:ascii="Calibri" w:hAnsi="Calibri"/>
          <w:sz w:val="21"/>
        </w:rPr>
        <w:t>BCrypt password hashing is real.</w:t>
      </w:r>
    </w:p>
    <w:p>
      <w:pPr>
        <w:pStyle w:val="ListBullet"/>
        <w:spacing w:after="80"/>
      </w:pPr>
      <w:r>
        <w:rPr>
          <w:rFonts w:ascii="Calibri" w:hAnsi="Calibri"/>
          <w:sz w:val="21"/>
        </w:rPr>
        <w:t>Role-based access is real.</w:t>
      </w:r>
    </w:p>
    <w:p>
      <w:pPr>
        <w:pStyle w:val="ListBullet"/>
        <w:spacing w:after="80"/>
      </w:pPr>
      <w:r>
        <w:rPr>
          <w:rFonts w:ascii="Calibri" w:hAnsi="Calibri"/>
          <w:sz w:val="21"/>
        </w:rPr>
        <w:t>Server, firewall, license, hardware, incident CRUD exists.</w:t>
      </w:r>
    </w:p>
    <w:p>
      <w:pPr>
        <w:pStyle w:val="ListBullet"/>
        <w:spacing w:after="80"/>
      </w:pPr>
      <w:r>
        <w:rPr>
          <w:rFonts w:ascii="Calibri" w:hAnsi="Calibri"/>
          <w:sz w:val="21"/>
        </w:rPr>
        <w:t>Audit log exists.</w:t>
      </w:r>
    </w:p>
    <w:p>
      <w:pPr>
        <w:pStyle w:val="ListBullet"/>
        <w:spacing w:after="80"/>
      </w:pPr>
      <w:r>
        <w:rPr>
          <w:rFonts w:ascii="Calibri" w:hAnsi="Calibri"/>
          <w:sz w:val="21"/>
        </w:rPr>
        <w:t>Brute-force lockout exists.</w:t>
      </w:r>
    </w:p>
    <w:p>
      <w:pPr>
        <w:pStyle w:val="ListBullet"/>
        <w:spacing w:after="80"/>
      </w:pPr>
      <w:r>
        <w:rPr>
          <w:rFonts w:ascii="Calibri" w:hAnsi="Calibri"/>
          <w:sz w:val="21"/>
        </w:rPr>
        <w:t>Risk scoring exists, but rule-based.</w:t>
      </w:r>
    </w:p>
    <w:p>
      <w:pPr>
        <w:pStyle w:val="ListBullet"/>
        <w:spacing w:after="80"/>
      </w:pPr>
      <w:r>
        <w:rPr>
          <w:rFonts w:ascii="Calibri" w:hAnsi="Calibri"/>
          <w:sz w:val="21"/>
        </w:rPr>
        <w:t>BFS attack path logic exists.</w:t>
      </w:r>
    </w:p>
    <w:p>
      <w:pPr>
        <w:pStyle w:val="ListBullet"/>
        <w:spacing w:after="80"/>
      </w:pPr>
      <w:r>
        <w:rPr>
          <w:rFonts w:ascii="Calibri" w:hAnsi="Calibri"/>
          <w:sz w:val="21"/>
        </w:rPr>
        <w:t>Frontend pages exist and connect to backend APIs.</w:t>
      </w:r>
    </w:p>
    <w:p>
      <w:pPr>
        <w:pStyle w:val="Heading1"/>
      </w:pPr>
      <w:r>
        <w:rPr>
          <w:rFonts w:ascii="Calibri" w:hAnsi="Calibri"/>
          <w:color w:val="2E74B5"/>
        </w:rPr>
        <w:t>4. What Needs To Be Improved</w:t>
      </w:r>
    </w:p>
    <w:p>
      <w:pPr>
        <w:pStyle w:val="ListBullet"/>
        <w:spacing w:after="80"/>
      </w:pPr>
      <w:r>
        <w:rPr>
          <w:rFonts w:ascii="Calibri" w:hAnsi="Calibri"/>
          <w:sz w:val="21"/>
        </w:rPr>
        <w:t>NEDI scenario is not fully integrated into backend data.</w:t>
      </w:r>
    </w:p>
    <w:p>
      <w:pPr>
        <w:pStyle w:val="ListBullet"/>
        <w:spacing w:after="80"/>
      </w:pPr>
      <w:r>
        <w:rPr>
          <w:rFonts w:ascii="Calibri" w:hAnsi="Calibri"/>
          <w:sz w:val="21"/>
        </w:rPr>
        <w:t>Homepage/login looks like NEDI, but dashboard and asset data are still generic.</w:t>
      </w:r>
    </w:p>
    <w:p>
      <w:pPr>
        <w:pStyle w:val="ListBullet"/>
        <w:spacing w:after="80"/>
      </w:pPr>
      <w:r>
        <w:rPr>
          <w:rFonts w:ascii="Calibri" w:hAnsi="Calibri"/>
          <w:sz w:val="21"/>
        </w:rPr>
        <w:t>AI is currently mostly rule-based scoring, not real recommendation intelligence.</w:t>
      </w:r>
    </w:p>
    <w:p>
      <w:pPr>
        <w:pStyle w:val="ListBullet"/>
        <w:spacing w:after="80"/>
      </w:pPr>
      <w:r>
        <w:rPr>
          <w:rFonts w:ascii="Calibri" w:hAnsi="Calibri"/>
          <w:sz w:val="21"/>
        </w:rPr>
        <w:t>Real-time is only auto-refresh, not true live updates.</w:t>
      </w:r>
    </w:p>
    <w:p>
      <w:pPr>
        <w:pStyle w:val="ListBullet"/>
        <w:spacing w:after="80"/>
      </w:pPr>
      <w:r>
        <w:rPr>
          <w:rFonts w:ascii="Calibri" w:hAnsi="Calibri"/>
          <w:sz w:val="21"/>
        </w:rPr>
        <w:t>Digital twin/network map is not visual enough.</w:t>
      </w:r>
    </w:p>
    <w:p>
      <w:pPr>
        <w:pStyle w:val="ListBullet"/>
        <w:spacing w:after="80"/>
      </w:pPr>
      <w:r>
        <w:rPr>
          <w:rFonts w:ascii="Calibri" w:hAnsi="Calibri"/>
          <w:sz w:val="21"/>
        </w:rPr>
        <w:t>Incident workflow is too simple.</w:t>
      </w:r>
    </w:p>
    <w:p>
      <w:pPr>
        <w:pStyle w:val="ListBullet"/>
        <w:spacing w:after="80"/>
      </w:pPr>
      <w:r>
        <w:rPr>
          <w:rFonts w:ascii="Calibri" w:hAnsi="Calibri"/>
          <w:sz w:val="21"/>
        </w:rPr>
        <w:t>Report generation is static, not generated from current incident/risk data.</w:t>
      </w:r>
    </w:p>
    <w:p>
      <w:pPr>
        <w:pStyle w:val="ListBullet"/>
        <w:spacing w:after="80"/>
      </w:pPr>
      <w:r>
        <w:rPr>
          <w:rFonts w:ascii="Calibri" w:hAnsi="Calibri"/>
          <w:sz w:val="21"/>
        </w:rPr>
        <w:t>Tests are too few.</w:t>
      </w:r>
    </w:p>
    <w:p>
      <w:pPr>
        <w:pStyle w:val="ListBullet"/>
        <w:spacing w:after="80"/>
      </w:pPr>
      <w:r>
        <w:rPr>
          <w:rFonts w:ascii="Calibri" w:hAnsi="Calibri"/>
          <w:sz w:val="21"/>
        </w:rPr>
        <w:t>README/report still need to match NEDI properly.</w:t>
      </w:r>
    </w:p>
    <w:p>
      <w:pPr>
        <w:pStyle w:val="Heading1"/>
      </w:pPr>
      <w:r>
        <w:rPr>
          <w:rFonts w:ascii="Calibri" w:hAnsi="Calibri"/>
          <w:color w:val="2E74B5"/>
        </w:rPr>
        <w:t>5. Complete Phase-by-Phase Plan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fill="F2F4F7"/>
            <w:vAlign w:val="center"/>
          </w:tcPr>
          <w:p>
            <w:pPr>
              <w:spacing w:after="0"/>
            </w:pPr>
            <w:r/>
            <w:r>
              <w:rPr>
                <w:rFonts w:ascii="Calibri" w:hAnsi="Calibri"/>
                <w:b/>
                <w:sz w:val="20"/>
              </w:rPr>
              <w:t>Phase</w:t>
            </w:r>
          </w:p>
        </w:tc>
        <w:tc>
          <w:tcPr>
            <w:tcW w:type="dxa" w:w="1800"/>
            <w:shd w:fill="F2F4F7"/>
            <w:vAlign w:val="center"/>
          </w:tcPr>
          <w:p>
            <w:pPr>
              <w:spacing w:after="0"/>
            </w:pPr>
            <w:r/>
            <w:r>
              <w:rPr>
                <w:rFonts w:ascii="Calibri" w:hAnsi="Calibri"/>
                <w:b/>
                <w:sz w:val="20"/>
              </w:rPr>
              <w:t>Goal</w:t>
            </w:r>
          </w:p>
        </w:tc>
        <w:tc>
          <w:tcPr>
            <w:tcW w:type="dxa" w:w="3960"/>
            <w:shd w:fill="F2F4F7"/>
            <w:vAlign w:val="center"/>
          </w:tcPr>
          <w:p>
            <w:pPr>
              <w:spacing w:after="0"/>
            </w:pPr>
            <w:r/>
            <w:r>
              <w:rPr>
                <w:rFonts w:ascii="Calibri" w:hAnsi="Calibri"/>
                <w:b/>
                <w:sz w:val="20"/>
              </w:rPr>
              <w:t>Work</w:t>
            </w:r>
          </w:p>
        </w:tc>
        <w:tc>
          <w:tcPr>
            <w:tcW w:type="dxa" w:w="1728"/>
            <w:shd w:fill="F2F4F7"/>
            <w:vAlign w:val="center"/>
          </w:tcPr>
          <w:p>
            <w:pPr>
              <w:spacing w:after="0"/>
            </w:pPr>
            <w:r/>
            <w:r>
              <w:rPr>
                <w:rFonts w:ascii="Calibri" w:hAnsi="Calibri"/>
                <w:b/>
                <w:sz w:val="20"/>
              </w:rPr>
              <w:t>Result / Status</w:t>
            </w:r>
          </w:p>
        </w:tc>
      </w:tr>
      <w:tr>
        <w:tc>
          <w:tcPr>
            <w:tcW w:type="dxa" w:w="1872"/>
            <w:vAlign w:val="top"/>
          </w:tcPr>
          <w:p>
            <w:pPr>
              <w:spacing w:after="0"/>
            </w:pPr>
            <w:r/>
            <w:r>
              <w:rPr>
                <w:rFonts w:ascii="Calibri" w:hAnsi="Calibri"/>
                <w:b w:val="0"/>
                <w:sz w:val="20"/>
              </w:rPr>
              <w:t>Phase 1: Project Identity Cleanup</w:t>
            </w:r>
          </w:p>
        </w:tc>
        <w:tc>
          <w:tcPr>
            <w:tcW w:type="dxa" w:w="1800"/>
            <w:vAlign w:val="top"/>
          </w:tcPr>
          <w:p>
            <w:pPr>
              <w:spacing w:after="0"/>
            </w:pPr>
            <w:r/>
            <w:r>
              <w:rPr>
                <w:rFonts w:ascii="Calibri" w:hAnsi="Calibri"/>
                <w:b w:val="0"/>
                <w:sz w:val="20"/>
              </w:rPr>
              <w:t>Make the project story clear and professional.</w:t>
            </w:r>
          </w:p>
        </w:tc>
        <w:tc>
          <w:tcPr>
            <w:tcW w:type="dxa" w:w="3960"/>
            <w:vAlign w:val="top"/>
          </w:tcPr>
          <w:p>
            <w:pPr>
              <w:spacing w:after="0"/>
            </w:pPr>
            <w:r/>
            <w:r>
              <w:rPr>
                <w:rFonts w:ascii="Calibri" w:hAnsi="Calibri"/>
                <w:b w:val="0"/>
                <w:sz w:val="20"/>
              </w:rPr>
              <w:t>Product name stays CyberShield Nexus. Scenario becomes NEDI - National Education Digital Infrastructure. Clearly say NEDI is fictional. Remove confusing claims that sound like AICTE owns or runs this system. Update homepage, login, README, and report wording.</w:t>
            </w:r>
          </w:p>
        </w:tc>
        <w:tc>
          <w:tcPr>
            <w:tcW w:type="dxa" w:w="1728"/>
            <w:vAlign w:val="top"/>
          </w:tcPr>
          <w:p>
            <w:pPr>
              <w:spacing w:after="0"/>
            </w:pPr>
            <w:r/>
            <w:r>
              <w:rPr>
                <w:rFonts w:ascii="Calibri" w:hAnsi="Calibri"/>
                <w:b w:val="0"/>
                <w:sz w:val="20"/>
              </w:rPr>
              <w:t>The project story becomes clean and defensible. Important first step.</w:t>
            </w:r>
          </w:p>
        </w:tc>
      </w:tr>
      <w:tr>
        <w:tc>
          <w:tcPr>
            <w:tcW w:type="dxa" w:w="1872"/>
            <w:vAlign w:val="top"/>
          </w:tcPr>
          <w:p>
            <w:pPr>
              <w:spacing w:after="0"/>
            </w:pPr>
            <w:r/>
            <w:r>
              <w:rPr>
                <w:rFonts w:ascii="Calibri" w:hAnsi="Calibri"/>
                <w:b w:val="0"/>
                <w:sz w:val="20"/>
              </w:rPr>
              <w:t>Phase 2: Backend Scenario Alignment</w:t>
            </w:r>
          </w:p>
        </w:tc>
        <w:tc>
          <w:tcPr>
            <w:tcW w:type="dxa" w:w="1800"/>
            <w:vAlign w:val="top"/>
          </w:tcPr>
          <w:p>
            <w:pPr>
              <w:spacing w:after="0"/>
            </w:pPr>
            <w:r/>
            <w:r>
              <w:rPr>
                <w:rFonts w:ascii="Calibri" w:hAnsi="Calibri"/>
                <w:b w:val="0"/>
                <w:sz w:val="20"/>
              </w:rPr>
              <w:t>Make NEDI real inside the backend, not only frontend text.</w:t>
            </w:r>
          </w:p>
        </w:tc>
        <w:tc>
          <w:tcPr>
            <w:tcW w:type="dxa" w:w="3960"/>
            <w:vAlign w:val="top"/>
          </w:tcPr>
          <w:p>
            <w:pPr>
              <w:spacing w:after="0"/>
            </w:pPr>
            <w:r/>
            <w:r>
              <w:rPr>
                <w:rFonts w:ascii="Calibri" w:hAnsi="Calibri"/>
                <w:b w:val="0"/>
                <w:sz w:val="20"/>
              </w:rPr>
              <w:t>Add Institution model. Add DigitalService model. Add mapping between services and assets. Example services: Student Portal, Faculty Portal, Exam Portal, ERP, Admission Portal, Digital Library, LMS, Mail Service.</w:t>
            </w:r>
          </w:p>
        </w:tc>
        <w:tc>
          <w:tcPr>
            <w:tcW w:type="dxa" w:w="1728"/>
            <w:vAlign w:val="top"/>
          </w:tcPr>
          <w:p>
            <w:pPr>
              <w:spacing w:after="0"/>
            </w:pPr>
            <w:r/>
            <w:r>
              <w:rPr>
                <w:rFonts w:ascii="Calibri" w:hAnsi="Calibri"/>
                <w:b w:val="0"/>
                <w:sz w:val="20"/>
              </w:rPr>
              <w:t>Dashboard can show real NEDI services from database. Core improvement.</w:t>
            </w:r>
          </w:p>
        </w:tc>
      </w:tr>
      <w:tr>
        <w:tc>
          <w:tcPr>
            <w:tcW w:type="dxa" w:w="1872"/>
            <w:vAlign w:val="top"/>
          </w:tcPr>
          <w:p>
            <w:pPr>
              <w:spacing w:after="0"/>
            </w:pPr>
            <w:r/>
            <w:r>
              <w:rPr>
                <w:rFonts w:ascii="Calibri" w:hAnsi="Calibri"/>
                <w:b w:val="0"/>
                <w:sz w:val="20"/>
              </w:rPr>
              <w:t>Phase 3: Seed Data Redesign</w:t>
            </w:r>
          </w:p>
        </w:tc>
        <w:tc>
          <w:tcPr>
            <w:tcW w:type="dxa" w:w="1800"/>
            <w:vAlign w:val="top"/>
          </w:tcPr>
          <w:p>
            <w:pPr>
              <w:spacing w:after="0"/>
            </w:pPr>
            <w:r/>
            <w:r>
              <w:rPr>
                <w:rFonts w:ascii="Calibri" w:hAnsi="Calibri"/>
                <w:b w:val="0"/>
                <w:sz w:val="20"/>
              </w:rPr>
              <w:t>Replace generic demo data with realistic NEDI data.</w:t>
            </w:r>
          </w:p>
        </w:tc>
        <w:tc>
          <w:tcPr>
            <w:tcW w:type="dxa" w:w="3960"/>
            <w:vAlign w:val="top"/>
          </w:tcPr>
          <w:p>
            <w:pPr>
              <w:spacing w:after="0"/>
            </w:pPr>
            <w:r/>
            <w:r>
              <w:rPr>
                <w:rFonts w:ascii="Calibri" w:hAnsi="Calibri"/>
                <w:b w:val="0"/>
                <w:sz w:val="20"/>
              </w:rPr>
              <w:t>Rename assets like Server-Web-01 to NEDI-STUDENT-WEB-01, Server-App-02 to NEDI-EXAM-APP-01, Server-DB-03 to NEDI-EXAM-DB-01, Firewall-Edge-01 to NEDI-DMZ-FW-01, Firewall-Internal-02 to NEDI-CORE-FW-01. Add realistic services, institutions, firewalls, licenses, hardware. Keep one risky Exam Portal scenario for demo.</w:t>
            </w:r>
          </w:p>
        </w:tc>
        <w:tc>
          <w:tcPr>
            <w:tcW w:type="dxa" w:w="1728"/>
            <w:vAlign w:val="top"/>
          </w:tcPr>
          <w:p>
            <w:pPr>
              <w:spacing w:after="0"/>
            </w:pPr>
            <w:r/>
            <w:r>
              <w:rPr>
                <w:rFonts w:ascii="Calibri" w:hAnsi="Calibri"/>
                <w:b w:val="0"/>
                <w:sz w:val="20"/>
              </w:rPr>
              <w:t>Data will match the NEDI story. Must do after Phase 2.</w:t>
            </w:r>
          </w:p>
        </w:tc>
      </w:tr>
      <w:tr>
        <w:tc>
          <w:tcPr>
            <w:tcW w:type="dxa" w:w="1872"/>
            <w:vAlign w:val="top"/>
          </w:tcPr>
          <w:p>
            <w:pPr>
              <w:spacing w:after="0"/>
            </w:pPr>
            <w:r/>
            <w:r>
              <w:rPr>
                <w:rFonts w:ascii="Calibri" w:hAnsi="Calibri"/>
                <w:b w:val="0"/>
                <w:sz w:val="20"/>
              </w:rPr>
              <w:t>Phase 4: Dashboard Redesign</w:t>
            </w:r>
          </w:p>
        </w:tc>
        <w:tc>
          <w:tcPr>
            <w:tcW w:type="dxa" w:w="1800"/>
            <w:vAlign w:val="top"/>
          </w:tcPr>
          <w:p>
            <w:pPr>
              <w:spacing w:after="0"/>
            </w:pPr>
            <w:r/>
            <w:r>
              <w:rPr>
                <w:rFonts w:ascii="Calibri" w:hAnsi="Calibri"/>
                <w:b w:val="0"/>
                <w:sz w:val="20"/>
              </w:rPr>
              <w:t>Make the dashboard feel like a SOC command center.</w:t>
            </w:r>
          </w:p>
        </w:tc>
        <w:tc>
          <w:tcPr>
            <w:tcW w:type="dxa" w:w="3960"/>
            <w:vAlign w:val="top"/>
          </w:tcPr>
          <w:p>
            <w:pPr>
              <w:spacing w:after="0"/>
            </w:pPr>
            <w:r/>
            <w:r>
              <w:rPr>
                <w:rFonts w:ascii="Calibri" w:hAnsi="Calibri"/>
                <w:b w:val="0"/>
                <w:sz w:val="20"/>
              </w:rPr>
              <w:t>Show total institutions, monitored services, healthy services, degraded services, high-risk services, open incidents, compliance score, and recent security timeline. Highlight Exam Portal, high risk, affected assets, risk score, and AI-assisted recommendation.</w:t>
            </w:r>
          </w:p>
        </w:tc>
        <w:tc>
          <w:tcPr>
            <w:tcW w:type="dxa" w:w="1728"/>
            <w:vAlign w:val="top"/>
          </w:tcPr>
          <w:p>
            <w:pPr>
              <w:spacing w:after="0"/>
            </w:pPr>
            <w:r/>
            <w:r>
              <w:rPr>
                <w:rFonts w:ascii="Calibri" w:hAnsi="Calibri"/>
                <w:b w:val="0"/>
                <w:sz w:val="20"/>
              </w:rPr>
              <w:t>Judges immediately understand the project. Big visual/demo improvement.</w:t>
            </w:r>
          </w:p>
        </w:tc>
      </w:tr>
      <w:tr>
        <w:tc>
          <w:tcPr>
            <w:tcW w:type="dxa" w:w="1872"/>
            <w:vAlign w:val="top"/>
          </w:tcPr>
          <w:p>
            <w:pPr>
              <w:spacing w:after="0"/>
            </w:pPr>
            <w:r/>
            <w:r>
              <w:rPr>
                <w:rFonts w:ascii="Calibri" w:hAnsi="Calibri"/>
                <w:b w:val="0"/>
                <w:sz w:val="20"/>
              </w:rPr>
              <w:t>Phase 5: Risk Engine Improvement</w:t>
            </w:r>
          </w:p>
        </w:tc>
        <w:tc>
          <w:tcPr>
            <w:tcW w:type="dxa" w:w="1800"/>
            <w:vAlign w:val="top"/>
          </w:tcPr>
          <w:p>
            <w:pPr>
              <w:spacing w:after="0"/>
            </w:pPr>
            <w:r/>
            <w:r>
              <w:rPr>
                <w:rFonts w:ascii="Calibri" w:hAnsi="Calibri"/>
                <w:b w:val="0"/>
                <w:sz w:val="20"/>
              </w:rPr>
              <w:t>Make AI risk analysis more believable.</w:t>
            </w:r>
          </w:p>
        </w:tc>
        <w:tc>
          <w:tcPr>
            <w:tcW w:type="dxa" w:w="3960"/>
            <w:vAlign w:val="top"/>
          </w:tcPr>
          <w:p>
            <w:pPr>
              <w:spacing w:after="0"/>
            </w:pPr>
            <w:r/>
            <w:r>
              <w:rPr>
                <w:rFonts w:ascii="Calibri" w:hAnsi="Calibri"/>
                <w:b w:val="0"/>
                <w:sz w:val="20"/>
              </w:rPr>
              <w:t>Keep rule-based scoring. Add explainable recommendation logic. Generate recommendation based on actual risk reasons: unpatched server, failed logins, expired license, low-trust path, and firewall segmentation concerns.</w:t>
            </w:r>
          </w:p>
        </w:tc>
        <w:tc>
          <w:tcPr>
            <w:tcW w:type="dxa" w:w="1728"/>
            <w:vAlign w:val="top"/>
          </w:tcPr>
          <w:p>
            <w:pPr>
              <w:spacing w:after="0"/>
            </w:pPr>
            <w:r/>
            <w:r>
              <w:rPr>
                <w:rFonts w:ascii="Calibri" w:hAnsi="Calibri"/>
                <w:b w:val="0"/>
                <w:sz w:val="20"/>
              </w:rPr>
              <w:t>It becomes honest AI-assisted recommendation, not fake AI. Very important for viva.</w:t>
            </w:r>
          </w:p>
        </w:tc>
      </w:tr>
      <w:tr>
        <w:tc>
          <w:tcPr>
            <w:tcW w:type="dxa" w:w="1872"/>
            <w:vAlign w:val="top"/>
          </w:tcPr>
          <w:p>
            <w:pPr>
              <w:spacing w:after="0"/>
            </w:pPr>
            <w:r/>
            <w:r>
              <w:rPr>
                <w:rFonts w:ascii="Calibri" w:hAnsi="Calibri"/>
                <w:b w:val="0"/>
                <w:sz w:val="20"/>
              </w:rPr>
              <w:t>Phase 6: Network Map / Digital Twin</w:t>
            </w:r>
          </w:p>
        </w:tc>
        <w:tc>
          <w:tcPr>
            <w:tcW w:type="dxa" w:w="1800"/>
            <w:vAlign w:val="top"/>
          </w:tcPr>
          <w:p>
            <w:pPr>
              <w:spacing w:after="0"/>
            </w:pPr>
            <w:r/>
            <w:r>
              <w:rPr>
                <w:rFonts w:ascii="Calibri" w:hAnsi="Calibri"/>
                <w:b w:val="0"/>
                <w:sz w:val="20"/>
              </w:rPr>
              <w:t>Make attack path visible.</w:t>
            </w:r>
          </w:p>
        </w:tc>
        <w:tc>
          <w:tcPr>
            <w:tcW w:type="dxa" w:w="3960"/>
            <w:vAlign w:val="top"/>
          </w:tcPr>
          <w:p>
            <w:pPr>
              <w:spacing w:after="0"/>
            </w:pPr>
            <w:r/>
            <w:r>
              <w:rPr>
                <w:rFonts w:ascii="Calibri" w:hAnsi="Calibri"/>
                <w:b w:val="0"/>
                <w:sz w:val="20"/>
              </w:rPr>
              <w:t>Improve risk page. Show visual path: user node, edge firewall, web server, app server, database server. Highlight risky path in red. Show BFS result from backend.</w:t>
            </w:r>
          </w:p>
        </w:tc>
        <w:tc>
          <w:tcPr>
            <w:tcW w:type="dxa" w:w="1728"/>
            <w:vAlign w:val="top"/>
          </w:tcPr>
          <w:p>
            <w:pPr>
              <w:spacing w:after="0"/>
            </w:pPr>
            <w:r/>
            <w:r>
              <w:rPr>
                <w:rFonts w:ascii="Calibri" w:hAnsi="Calibri"/>
                <w:b w:val="0"/>
                <w:sz w:val="20"/>
              </w:rPr>
              <w:t>This makes the project look much more advanced. High demo impact.</w:t>
            </w:r>
          </w:p>
        </w:tc>
      </w:tr>
      <w:tr>
        <w:tc>
          <w:tcPr>
            <w:tcW w:type="dxa" w:w="1872"/>
            <w:vAlign w:val="top"/>
          </w:tcPr>
          <w:p>
            <w:pPr>
              <w:spacing w:after="0"/>
            </w:pPr>
            <w:r/>
            <w:r>
              <w:rPr>
                <w:rFonts w:ascii="Calibri" w:hAnsi="Calibri"/>
                <w:b w:val="0"/>
                <w:sz w:val="20"/>
              </w:rPr>
              <w:t>Phase 7: Incident Workflow</w:t>
            </w:r>
          </w:p>
        </w:tc>
        <w:tc>
          <w:tcPr>
            <w:tcW w:type="dxa" w:w="1800"/>
            <w:vAlign w:val="top"/>
          </w:tcPr>
          <w:p>
            <w:pPr>
              <w:spacing w:after="0"/>
            </w:pPr>
            <w:r/>
            <w:r>
              <w:rPr>
                <w:rFonts w:ascii="Calibri" w:hAnsi="Calibri"/>
                <w:b w:val="0"/>
                <w:sz w:val="20"/>
              </w:rPr>
              <w:t>Make incident response professional.</w:t>
            </w:r>
          </w:p>
        </w:tc>
        <w:tc>
          <w:tcPr>
            <w:tcW w:type="dxa" w:w="3960"/>
            <w:vAlign w:val="top"/>
          </w:tcPr>
          <w:p>
            <w:pPr>
              <w:spacing w:after="0"/>
            </w:pPr>
            <w:r/>
            <w:r>
              <w:rPr>
                <w:rFonts w:ascii="Calibri" w:hAnsi="Calibri"/>
                <w:b w:val="0"/>
                <w:sz w:val="20"/>
              </w:rPr>
              <w:t>Add Open, Investigating, Contained, and Resolved states. Add buttons: Start Investigation, Contain Service, Resolve Incident, Generate Report. Add remediation notes.</w:t>
            </w:r>
          </w:p>
        </w:tc>
        <w:tc>
          <w:tcPr>
            <w:tcW w:type="dxa" w:w="1728"/>
            <w:vAlign w:val="top"/>
          </w:tcPr>
          <w:p>
            <w:pPr>
              <w:spacing w:after="0"/>
            </w:pPr>
            <w:r/>
            <w:r>
              <w:rPr>
                <w:rFonts w:ascii="Calibri" w:hAnsi="Calibri"/>
                <w:b w:val="0"/>
                <w:sz w:val="20"/>
              </w:rPr>
              <w:t>Looks like a real SOC workflow. Good professional upgrade.</w:t>
            </w:r>
          </w:p>
        </w:tc>
      </w:tr>
      <w:tr>
        <w:tc>
          <w:tcPr>
            <w:tcW w:type="dxa" w:w="1872"/>
            <w:vAlign w:val="top"/>
          </w:tcPr>
          <w:p>
            <w:pPr>
              <w:spacing w:after="0"/>
            </w:pPr>
            <w:r/>
            <w:r>
              <w:rPr>
                <w:rFonts w:ascii="Calibri" w:hAnsi="Calibri"/>
                <w:b w:val="0"/>
                <w:sz w:val="20"/>
              </w:rPr>
              <w:t>Phase 8: Live Report Generation</w:t>
            </w:r>
          </w:p>
        </w:tc>
        <w:tc>
          <w:tcPr>
            <w:tcW w:type="dxa" w:w="1800"/>
            <w:vAlign w:val="top"/>
          </w:tcPr>
          <w:p>
            <w:pPr>
              <w:spacing w:after="0"/>
            </w:pPr>
            <w:r/>
            <w:r>
              <w:rPr>
                <w:rFonts w:ascii="Calibri" w:hAnsi="Calibri"/>
                <w:b w:val="0"/>
                <w:sz w:val="20"/>
              </w:rPr>
              <w:t>Make reports real, not static.</w:t>
            </w:r>
          </w:p>
        </w:tc>
        <w:tc>
          <w:tcPr>
            <w:tcW w:type="dxa" w:w="3960"/>
            <w:vAlign w:val="top"/>
          </w:tcPr>
          <w:p>
            <w:pPr>
              <w:spacing w:after="0"/>
            </w:pPr>
            <w:r/>
            <w:r>
              <w:rPr>
                <w:rFonts w:ascii="Calibri" w:hAnsi="Calibri"/>
                <w:b w:val="0"/>
                <w:sz w:val="20"/>
              </w:rPr>
              <w:t>Generate report from database. Include incident title, affected service, affected assets, risk score, risk reasons, attack path, recommendation, status, and timestamp.</w:t>
            </w:r>
          </w:p>
        </w:tc>
        <w:tc>
          <w:tcPr>
            <w:tcW w:type="dxa" w:w="1728"/>
            <w:vAlign w:val="top"/>
          </w:tcPr>
          <w:p>
            <w:pPr>
              <w:spacing w:after="0"/>
            </w:pPr>
            <w:r/>
            <w:r>
              <w:rPr>
                <w:rFonts w:ascii="Calibri" w:hAnsi="Calibri"/>
                <w:b w:val="0"/>
                <w:sz w:val="20"/>
              </w:rPr>
              <w:t>Better than a fixed HTML report. Strong final-year project feature.</w:t>
            </w:r>
          </w:p>
        </w:tc>
      </w:tr>
      <w:tr>
        <w:tc>
          <w:tcPr>
            <w:tcW w:type="dxa" w:w="1872"/>
            <w:vAlign w:val="top"/>
          </w:tcPr>
          <w:p>
            <w:pPr>
              <w:spacing w:after="0"/>
            </w:pPr>
            <w:r/>
            <w:r>
              <w:rPr>
                <w:rFonts w:ascii="Calibri" w:hAnsi="Calibri"/>
                <w:b w:val="0"/>
                <w:sz w:val="20"/>
              </w:rPr>
              <w:t>Phase 9: Testing</w:t>
            </w:r>
          </w:p>
        </w:tc>
        <w:tc>
          <w:tcPr>
            <w:tcW w:type="dxa" w:w="1800"/>
            <w:vAlign w:val="top"/>
          </w:tcPr>
          <w:p>
            <w:pPr>
              <w:spacing w:after="0"/>
            </w:pPr>
            <w:r/>
            <w:r>
              <w:rPr>
                <w:rFonts w:ascii="Calibri" w:hAnsi="Calibri"/>
                <w:b w:val="0"/>
                <w:sz w:val="20"/>
              </w:rPr>
              <w:t>Prove the system works.</w:t>
            </w:r>
          </w:p>
        </w:tc>
        <w:tc>
          <w:tcPr>
            <w:tcW w:type="dxa" w:w="3960"/>
            <w:vAlign w:val="top"/>
          </w:tcPr>
          <w:p>
            <w:pPr>
              <w:spacing w:after="0"/>
            </w:pPr>
            <w:r/>
            <w:r>
              <w:rPr>
                <w:rFonts w:ascii="Calibri" w:hAnsi="Calibri"/>
                <w:b w:val="0"/>
                <w:sz w:val="20"/>
              </w:rPr>
              <w:t>Add tests for login success, wrong password, brute-force lockout, RBAC access, risk calculation, incident creation, BFS attack path, and dashboard endpoint.</w:t>
            </w:r>
          </w:p>
        </w:tc>
        <w:tc>
          <w:tcPr>
            <w:tcW w:type="dxa" w:w="1728"/>
            <w:vAlign w:val="top"/>
          </w:tcPr>
          <w:p>
            <w:pPr>
              <w:spacing w:after="0"/>
            </w:pPr>
            <w:r/>
            <w:r>
              <w:rPr>
                <w:rFonts w:ascii="Calibri" w:hAnsi="Calibri"/>
                <w:b w:val="0"/>
                <w:sz w:val="20"/>
              </w:rPr>
              <w:t>Project becomes safer and more credible. Needed before final submission.</w:t>
            </w:r>
          </w:p>
        </w:tc>
      </w:tr>
      <w:tr>
        <w:tc>
          <w:tcPr>
            <w:tcW w:type="dxa" w:w="1872"/>
            <w:vAlign w:val="top"/>
          </w:tcPr>
          <w:p>
            <w:pPr>
              <w:spacing w:after="0"/>
            </w:pPr>
            <w:r/>
            <w:r>
              <w:rPr>
                <w:rFonts w:ascii="Calibri" w:hAnsi="Calibri"/>
                <w:b w:val="0"/>
                <w:sz w:val="20"/>
              </w:rPr>
              <w:t>Phase 10: Final Polish</w:t>
            </w:r>
          </w:p>
        </w:tc>
        <w:tc>
          <w:tcPr>
            <w:tcW w:type="dxa" w:w="1800"/>
            <w:vAlign w:val="top"/>
          </w:tcPr>
          <w:p>
            <w:pPr>
              <w:spacing w:after="0"/>
            </w:pPr>
            <w:r/>
            <w:r>
              <w:rPr>
                <w:rFonts w:ascii="Calibri" w:hAnsi="Calibri"/>
                <w:b w:val="0"/>
                <w:sz w:val="20"/>
              </w:rPr>
              <w:t>Make it presentation-ready.</w:t>
            </w:r>
          </w:p>
        </w:tc>
        <w:tc>
          <w:tcPr>
            <w:tcW w:type="dxa" w:w="3960"/>
            <w:vAlign w:val="top"/>
          </w:tcPr>
          <w:p>
            <w:pPr>
              <w:spacing w:after="0"/>
            </w:pPr>
            <w:r/>
            <w:r>
              <w:rPr>
                <w:rFonts w:ascii="Calibri" w:hAnsi="Calibri"/>
                <w:b w:val="0"/>
                <w:sz w:val="20"/>
              </w:rPr>
              <w:t>Update README. Update project report. Check all pages. Run mvn test. Run the app. Verify /index.html, /login.html, /dashboard.html, /risk.html, and /incidents.html.</w:t>
            </w:r>
          </w:p>
        </w:tc>
        <w:tc>
          <w:tcPr>
            <w:tcW w:type="dxa" w:w="1728"/>
            <w:vAlign w:val="top"/>
          </w:tcPr>
          <w:p>
            <w:pPr>
              <w:spacing w:after="0"/>
            </w:pPr>
            <w:r/>
            <w:r>
              <w:rPr>
                <w:rFonts w:ascii="Calibri" w:hAnsi="Calibri"/>
                <w:b w:val="0"/>
                <w:sz w:val="20"/>
              </w:rPr>
              <w:t>Clean final demo.</w:t>
            </w:r>
          </w:p>
        </w:tc>
      </w:tr>
    </w:tbl>
    <w:p/>
    <w:p>
      <w:pPr>
        <w:pStyle w:val="Heading1"/>
      </w:pPr>
      <w:r>
        <w:rPr>
          <w:rFonts w:ascii="Calibri" w:hAnsi="Calibri"/>
          <w:color w:val="2E74B5"/>
        </w:rPr>
        <w:t>6. Recommended Build Order</w:t>
      </w:r>
    </w:p>
    <w:p>
      <w:pPr>
        <w:pStyle w:val="ListNumber"/>
        <w:spacing w:after="80"/>
      </w:pPr>
      <w:r>
        <w:rPr>
          <w:rFonts w:ascii="Calibri" w:hAnsi="Calibri"/>
          <w:sz w:val="21"/>
        </w:rPr>
        <w:t>Phase 1: Identity cleanup</w:t>
      </w:r>
    </w:p>
    <w:p>
      <w:pPr>
        <w:pStyle w:val="ListNumber"/>
        <w:spacing w:after="80"/>
      </w:pPr>
      <w:r>
        <w:rPr>
          <w:rFonts w:ascii="Calibri" w:hAnsi="Calibri"/>
          <w:sz w:val="21"/>
        </w:rPr>
        <w:t>Phase 2: Backend NEDI models</w:t>
      </w:r>
    </w:p>
    <w:p>
      <w:pPr>
        <w:pStyle w:val="ListNumber"/>
        <w:spacing w:after="80"/>
      </w:pPr>
      <w:r>
        <w:rPr>
          <w:rFonts w:ascii="Calibri" w:hAnsi="Calibri"/>
          <w:sz w:val="21"/>
        </w:rPr>
        <w:t>Phase 3: NEDI seed data</w:t>
      </w:r>
    </w:p>
    <w:p>
      <w:pPr>
        <w:pStyle w:val="ListNumber"/>
        <w:spacing w:after="80"/>
      </w:pPr>
      <w:r>
        <w:rPr>
          <w:rFonts w:ascii="Calibri" w:hAnsi="Calibri"/>
          <w:sz w:val="21"/>
        </w:rPr>
        <w:t>Phase 4: Dashboard redesign</w:t>
      </w:r>
    </w:p>
    <w:p>
      <w:pPr>
        <w:pStyle w:val="ListNumber"/>
        <w:spacing w:after="80"/>
      </w:pPr>
      <w:r>
        <w:rPr>
          <w:rFonts w:ascii="Calibri" w:hAnsi="Calibri"/>
          <w:sz w:val="21"/>
        </w:rPr>
        <w:t>Phase 5: AI-assisted recommendations</w:t>
      </w:r>
    </w:p>
    <w:p>
      <w:pPr>
        <w:pStyle w:val="ListNumber"/>
        <w:spacing w:after="80"/>
      </w:pPr>
      <w:r>
        <w:rPr>
          <w:rFonts w:ascii="Calibri" w:hAnsi="Calibri"/>
          <w:sz w:val="21"/>
        </w:rPr>
        <w:t>Phase 6: Network map</w:t>
      </w:r>
    </w:p>
    <w:p>
      <w:pPr>
        <w:pStyle w:val="ListNumber"/>
        <w:spacing w:after="80"/>
      </w:pPr>
      <w:r>
        <w:rPr>
          <w:rFonts w:ascii="Calibri" w:hAnsi="Calibri"/>
          <w:sz w:val="21"/>
        </w:rPr>
        <w:t>Phase 7: Incident workflow</w:t>
      </w:r>
    </w:p>
    <w:p>
      <w:pPr>
        <w:pStyle w:val="ListNumber"/>
        <w:spacing w:after="80"/>
      </w:pPr>
      <w:r>
        <w:rPr>
          <w:rFonts w:ascii="Calibri" w:hAnsi="Calibri"/>
          <w:sz w:val="21"/>
        </w:rPr>
        <w:t>Phase 8: Report generation</w:t>
      </w:r>
    </w:p>
    <w:p>
      <w:pPr>
        <w:pStyle w:val="ListNumber"/>
        <w:spacing w:after="80"/>
      </w:pPr>
      <w:r>
        <w:rPr>
          <w:rFonts w:ascii="Calibri" w:hAnsi="Calibri"/>
          <w:sz w:val="21"/>
        </w:rPr>
        <w:t>Phase 9: Tests</w:t>
      </w:r>
    </w:p>
    <w:p>
      <w:pPr>
        <w:pStyle w:val="ListNumber"/>
        <w:spacing w:after="80"/>
      </w:pPr>
      <w:r>
        <w:rPr>
          <w:rFonts w:ascii="Calibri" w:hAnsi="Calibri"/>
          <w:sz w:val="21"/>
        </w:rPr>
        <w:t>Phase 10: Final polish</w:t>
      </w:r>
    </w:p>
    <w:p>
      <w:pPr>
        <w:pStyle w:val="Heading1"/>
      </w:pPr>
      <w:r>
        <w:rPr>
          <w:rFonts w:ascii="Calibri" w:hAnsi="Calibri"/>
          <w:color w:val="2E74B5"/>
        </w:rPr>
        <w:t>7. Four Best Technical Gaps Still Needed To Solve</w:t>
      </w:r>
    </w:p>
    <w:tbl>
      <w:tblPr>
        <w:tblStyle w:val="TableGrid"/>
        <w:tblW w:type="auto" w:w="0"/>
        <w:jc w:val="center"/>
        <w:tblLook w:firstColumn="1" w:firstRow="1" w:lastColumn="0" w:lastRow="0" w:noHBand="0" w:noVBand="1" w:val="04A0"/>
      </w:tblPr>
      <w:tblGrid>
        <w:gridCol w:w="3120"/>
        <w:gridCol w:w="3120"/>
        <w:gridCol w:w="3120"/>
      </w:tblGrid>
      <w:tr>
        <w:tc>
          <w:tcPr>
            <w:tcW w:type="dxa" w:w="2520"/>
            <w:shd w:fill="F2F4F7"/>
            <w:vAlign w:val="center"/>
          </w:tcPr>
          <w:p>
            <w:pPr>
              <w:spacing w:after="0"/>
            </w:pPr>
            <w:r/>
            <w:r>
              <w:rPr>
                <w:rFonts w:ascii="Calibri" w:hAnsi="Calibri"/>
                <w:b/>
                <w:sz w:val="20"/>
              </w:rPr>
              <w:t>Technical Gap</w:t>
            </w:r>
          </w:p>
        </w:tc>
        <w:tc>
          <w:tcPr>
            <w:tcW w:type="dxa" w:w="3240"/>
            <w:shd w:fill="F2F4F7"/>
            <w:vAlign w:val="center"/>
          </w:tcPr>
          <w:p>
            <w:pPr>
              <w:spacing w:after="0"/>
            </w:pPr>
            <w:r/>
            <w:r>
              <w:rPr>
                <w:rFonts w:ascii="Calibri" w:hAnsi="Calibri"/>
                <w:b/>
                <w:sz w:val="20"/>
              </w:rPr>
              <w:t>Why It Matters</w:t>
            </w:r>
          </w:p>
        </w:tc>
        <w:tc>
          <w:tcPr>
            <w:tcW w:type="dxa" w:w="3600"/>
            <w:shd w:fill="F2F4F7"/>
            <w:vAlign w:val="center"/>
          </w:tcPr>
          <w:p>
            <w:pPr>
              <w:spacing w:after="0"/>
            </w:pPr>
            <w:r/>
            <w:r>
              <w:rPr>
                <w:rFonts w:ascii="Calibri" w:hAnsi="Calibri"/>
                <w:b/>
                <w:sz w:val="20"/>
              </w:rPr>
              <w:t>Realistic Fix</w:t>
            </w:r>
          </w:p>
        </w:tc>
      </w:tr>
      <w:tr>
        <w:tc>
          <w:tcPr>
            <w:tcW w:type="dxa" w:w="2520"/>
            <w:vAlign w:val="top"/>
          </w:tcPr>
          <w:p>
            <w:pPr>
              <w:spacing w:after="0"/>
            </w:pPr>
            <w:r/>
            <w:r>
              <w:rPr>
                <w:rFonts w:ascii="Calibri" w:hAnsi="Calibri"/>
                <w:b w:val="0"/>
                <w:sz w:val="20"/>
              </w:rPr>
              <w:t>Gap 1: NEDI domain model is missing</w:t>
            </w:r>
          </w:p>
        </w:tc>
        <w:tc>
          <w:tcPr>
            <w:tcW w:type="dxa" w:w="3240"/>
            <w:vAlign w:val="top"/>
          </w:tcPr>
          <w:p>
            <w:pPr>
              <w:spacing w:after="0"/>
            </w:pPr>
            <w:r/>
            <w:r>
              <w:rPr>
                <w:rFonts w:ascii="Calibri" w:hAnsi="Calibri"/>
                <w:b w:val="0"/>
                <w:sz w:val="20"/>
              </w:rPr>
              <w:t>The project currently manages assets, but it does not fully model institutions, digital services, service ownership, service criticality, or service-to-asset dependencies. Without this, NEDI remains partly a UI story.</w:t>
            </w:r>
          </w:p>
        </w:tc>
        <w:tc>
          <w:tcPr>
            <w:tcW w:type="dxa" w:w="3600"/>
            <w:vAlign w:val="top"/>
          </w:tcPr>
          <w:p>
            <w:pPr>
              <w:spacing w:after="0"/>
            </w:pPr>
            <w:r/>
            <w:r>
              <w:rPr>
                <w:rFonts w:ascii="Calibri" w:hAnsi="Calibri"/>
                <w:b w:val="0"/>
                <w:sz w:val="20"/>
              </w:rPr>
              <w:t>Add Institution, DigitalService, ServiceAssetMapping, and ServiceHealthEvent. Connect every server, firewall, license, and hardware record to a service and institution.</w:t>
            </w:r>
          </w:p>
        </w:tc>
      </w:tr>
      <w:tr>
        <w:tc>
          <w:tcPr>
            <w:tcW w:type="dxa" w:w="2520"/>
            <w:vAlign w:val="top"/>
          </w:tcPr>
          <w:p>
            <w:pPr>
              <w:spacing w:after="0"/>
            </w:pPr>
            <w:r/>
            <w:r>
              <w:rPr>
                <w:rFonts w:ascii="Calibri" w:hAnsi="Calibri"/>
                <w:b w:val="0"/>
                <w:sz w:val="20"/>
              </w:rPr>
              <w:t>Gap 2: Real-time telemetry is not truly real time</w:t>
            </w:r>
          </w:p>
        </w:tc>
        <w:tc>
          <w:tcPr>
            <w:tcW w:type="dxa" w:w="3240"/>
            <w:vAlign w:val="top"/>
          </w:tcPr>
          <w:p>
            <w:pPr>
              <w:spacing w:after="0"/>
            </w:pPr>
            <w:r/>
            <w:r>
              <w:rPr>
                <w:rFonts w:ascii="Calibri" w:hAnsi="Calibri"/>
                <w:b w:val="0"/>
                <w:sz w:val="20"/>
              </w:rPr>
              <w:t>The current dashboard can refresh, but there is no agent pipeline, WebSocket/SSE stream, event queue, or live ingestion contract. That makes real-time claims weak.</w:t>
            </w:r>
          </w:p>
        </w:tc>
        <w:tc>
          <w:tcPr>
            <w:tcW w:type="dxa" w:w="3600"/>
            <w:vAlign w:val="top"/>
          </w:tcPr>
          <w:p>
            <w:pPr>
              <w:spacing w:after="0"/>
            </w:pPr>
            <w:r/>
            <w:r>
              <w:rPr>
                <w:rFonts w:ascii="Calibri" w:hAnsi="Calibri"/>
                <w:b w:val="0"/>
                <w:sz w:val="20"/>
              </w:rPr>
              <w:t>Add a simulated telemetry API first, then SSE/WebSocket dashboard updates. Later, add a lightweight local agent script that sends service health and security events.</w:t>
            </w:r>
          </w:p>
        </w:tc>
      </w:tr>
      <w:tr>
        <w:tc>
          <w:tcPr>
            <w:tcW w:type="dxa" w:w="2520"/>
            <w:vAlign w:val="top"/>
          </w:tcPr>
          <w:p>
            <w:pPr>
              <w:spacing w:after="0"/>
            </w:pPr>
            <w:r/>
            <w:r>
              <w:rPr>
                <w:rFonts w:ascii="Calibri" w:hAnsi="Calibri"/>
                <w:b w:val="0"/>
                <w:sz w:val="20"/>
              </w:rPr>
              <w:t>Gap 3: AI is rule-based and needs explainability</w:t>
            </w:r>
          </w:p>
        </w:tc>
        <w:tc>
          <w:tcPr>
            <w:tcW w:type="dxa" w:w="3240"/>
            <w:vAlign w:val="top"/>
          </w:tcPr>
          <w:p>
            <w:pPr>
              <w:spacing w:after="0"/>
            </w:pPr>
            <w:r/>
            <w:r>
              <w:rPr>
                <w:rFonts w:ascii="Calibri" w:hAnsi="Calibri"/>
                <w:b w:val="0"/>
                <w:sz w:val="20"/>
              </w:rPr>
              <w:t>The risk engine is useful, but the AI label is currently too broad because recommendations are not generated from a formal explainability/reasoning layer.</w:t>
            </w:r>
          </w:p>
        </w:tc>
        <w:tc>
          <w:tcPr>
            <w:tcW w:type="dxa" w:w="3600"/>
            <w:vAlign w:val="top"/>
          </w:tcPr>
          <w:p>
            <w:pPr>
              <w:spacing w:after="0"/>
            </w:pPr>
            <w:r/>
            <w:r>
              <w:rPr>
                <w:rFonts w:ascii="Calibri" w:hAnsi="Calibri"/>
                <w:b w:val="0"/>
                <w:sz w:val="20"/>
              </w:rPr>
              <w:t>Create an AIRecommendationService that maps risk breakdown, asset criticality, service impact, and attack path into clear recommendations, severity rationale, and remediation steps.</w:t>
            </w:r>
          </w:p>
        </w:tc>
      </w:tr>
      <w:tr>
        <w:tc>
          <w:tcPr>
            <w:tcW w:type="dxa" w:w="2520"/>
            <w:vAlign w:val="top"/>
          </w:tcPr>
          <w:p>
            <w:pPr>
              <w:spacing w:after="0"/>
            </w:pPr>
            <w:r/>
            <w:r>
              <w:rPr>
                <w:rFonts w:ascii="Calibri" w:hAnsi="Calibri"/>
                <w:b w:val="0"/>
                <w:sz w:val="20"/>
              </w:rPr>
              <w:t>Gap 4: Incident response is not a full SOC workflow</w:t>
            </w:r>
          </w:p>
        </w:tc>
        <w:tc>
          <w:tcPr>
            <w:tcW w:type="dxa" w:w="3240"/>
            <w:vAlign w:val="top"/>
          </w:tcPr>
          <w:p>
            <w:pPr>
              <w:spacing w:after="0"/>
            </w:pPr>
            <w:r/>
            <w:r>
              <w:rPr>
                <w:rFonts w:ascii="Calibri" w:hAnsi="Calibri"/>
                <w:b w:val="0"/>
                <w:sz w:val="20"/>
              </w:rPr>
              <w:t>Current incident handling has basic states, but a professional SOC workflow needs containment, assignment, notes, timeline, report generation, and evidence links.</w:t>
            </w:r>
          </w:p>
        </w:tc>
        <w:tc>
          <w:tcPr>
            <w:tcW w:type="dxa" w:w="3600"/>
            <w:vAlign w:val="top"/>
          </w:tcPr>
          <w:p>
            <w:pPr>
              <w:spacing w:after="0"/>
            </w:pPr>
            <w:r/>
            <w:r>
              <w:rPr>
                <w:rFonts w:ascii="Calibri" w:hAnsi="Calibri"/>
                <w:b w:val="0"/>
                <w:sz w:val="20"/>
              </w:rPr>
              <w:t>Add Contained status, assignee, response notes, incident timeline events, generated report endpoint, and service recovery evidence.</w:t>
            </w:r>
          </w:p>
        </w:tc>
      </w:tr>
    </w:tbl>
    <w:p/>
    <w:p>
      <w:pPr>
        <w:pStyle w:val="Heading1"/>
      </w:pPr>
      <w:r>
        <w:rPr>
          <w:rFonts w:ascii="Calibri" w:hAnsi="Calibri"/>
          <w:color w:val="2E74B5"/>
        </w:rPr>
        <w:t>8. Related Research Papers and Standards</w:t>
      </w:r>
    </w:p>
    <w:p>
      <w:pPr>
        <w:spacing w:after="120" w:line="264" w:lineRule="auto"/>
      </w:pPr>
      <w:r>
        <w:rPr>
          <w:rFonts w:ascii="Calibri" w:hAnsi="Calibri"/>
          <w:sz w:val="22"/>
        </w:rPr>
        <w:t>These references are suitable because they come from recognized standards bodies or widely used cybersecurity knowledge bases. They support the project areas of cybersecurity risk management, incident response, zero trust, log management, AI risk governance, adversary behavior modeling, and web application security.</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fill="F2F4F7"/>
            <w:vAlign w:val="center"/>
          </w:tcPr>
          <w:p>
            <w:pPr>
              <w:spacing w:after="0"/>
            </w:pPr>
            <w:r/>
            <w:r>
              <w:rPr>
                <w:rFonts w:ascii="Calibri" w:hAnsi="Calibri"/>
                <w:b/>
                <w:sz w:val="20"/>
              </w:rPr>
              <w:t>Reference</w:t>
            </w:r>
          </w:p>
        </w:tc>
        <w:tc>
          <w:tcPr>
            <w:tcW w:type="dxa" w:w="4392"/>
            <w:shd w:fill="F2F4F7"/>
            <w:vAlign w:val="center"/>
          </w:tcPr>
          <w:p>
            <w:pPr>
              <w:spacing w:after="0"/>
            </w:pPr>
            <w:r/>
            <w:r>
              <w:rPr>
                <w:rFonts w:ascii="Calibri" w:hAnsi="Calibri"/>
                <w:b/>
                <w:sz w:val="20"/>
              </w:rPr>
              <w:t>How It Supports This Project</w:t>
            </w:r>
          </w:p>
        </w:tc>
        <w:tc>
          <w:tcPr>
            <w:tcW w:type="dxa" w:w="2520"/>
            <w:shd w:fill="F2F4F7"/>
            <w:vAlign w:val="center"/>
          </w:tcPr>
          <w:p>
            <w:pPr>
              <w:spacing w:after="0"/>
            </w:pPr>
            <w:r/>
            <w:r>
              <w:rPr>
                <w:rFonts w:ascii="Calibri" w:hAnsi="Calibri"/>
                <w:b/>
                <w:sz w:val="20"/>
              </w:rPr>
              <w:t>Official Link</w:t>
            </w:r>
          </w:p>
        </w:tc>
      </w:tr>
      <w:tr>
        <w:tc>
          <w:tcPr>
            <w:tcW w:type="dxa" w:w="2448"/>
            <w:vAlign w:val="top"/>
          </w:tcPr>
          <w:p>
            <w:pPr>
              <w:spacing w:after="0"/>
            </w:pPr>
            <w:r/>
            <w:r>
              <w:rPr>
                <w:rFonts w:ascii="Calibri" w:hAnsi="Calibri"/>
                <w:b w:val="0"/>
                <w:sz w:val="20"/>
              </w:rPr>
              <w:t>NIST Cybersecurity Framework 2.0</w:t>
            </w:r>
          </w:p>
        </w:tc>
        <w:tc>
          <w:tcPr>
            <w:tcW w:type="dxa" w:w="4392"/>
            <w:vAlign w:val="top"/>
          </w:tcPr>
          <w:p>
            <w:pPr>
              <w:spacing w:after="0"/>
            </w:pPr>
            <w:r/>
            <w:r>
              <w:rPr>
                <w:rFonts w:ascii="Calibri" w:hAnsi="Calibri"/>
                <w:b w:val="0"/>
                <w:sz w:val="20"/>
              </w:rPr>
              <w:t>Use for overall security risk lifecycle: Govern, Identify, Protect, Detect, Respond, Recover.</w:t>
            </w:r>
          </w:p>
        </w:tc>
        <w:tc>
          <w:tcPr>
            <w:tcW w:type="dxa" w:w="2520"/>
            <w:vAlign w:val="top"/>
          </w:tcPr>
          <w:p>
            <w:pPr>
              <w:spacing w:after="0"/>
            </w:pPr>
            <w:r/>
            <w:r>
              <w:rPr>
                <w:rFonts w:ascii="Calibri" w:hAnsi="Calibri"/>
                <w:b w:val="0"/>
                <w:sz w:val="20"/>
              </w:rPr>
              <w:t>https://www.nist.gov/cyberframework</w:t>
            </w:r>
          </w:p>
        </w:tc>
      </w:tr>
      <w:tr>
        <w:tc>
          <w:tcPr>
            <w:tcW w:type="dxa" w:w="2448"/>
            <w:vAlign w:val="top"/>
          </w:tcPr>
          <w:p>
            <w:pPr>
              <w:spacing w:after="0"/>
            </w:pPr>
            <w:r/>
            <w:r>
              <w:rPr>
                <w:rFonts w:ascii="Calibri" w:hAnsi="Calibri"/>
                <w:b w:val="0"/>
                <w:sz w:val="20"/>
              </w:rPr>
              <w:t>NIST SP 800-61 Rev. 3</w:t>
            </w:r>
          </w:p>
        </w:tc>
        <w:tc>
          <w:tcPr>
            <w:tcW w:type="dxa" w:w="4392"/>
            <w:vAlign w:val="top"/>
          </w:tcPr>
          <w:p>
            <w:pPr>
              <w:spacing w:after="0"/>
            </w:pPr>
            <w:r/>
            <w:r>
              <w:rPr>
                <w:rFonts w:ascii="Calibri" w:hAnsi="Calibri"/>
                <w:b w:val="0"/>
                <w:sz w:val="20"/>
              </w:rPr>
              <w:t>Use for incident response planning, response, and recovery alignment.</w:t>
            </w:r>
          </w:p>
        </w:tc>
        <w:tc>
          <w:tcPr>
            <w:tcW w:type="dxa" w:w="2520"/>
            <w:vAlign w:val="top"/>
          </w:tcPr>
          <w:p>
            <w:pPr>
              <w:spacing w:after="0"/>
            </w:pPr>
            <w:r/>
            <w:r>
              <w:rPr>
                <w:rFonts w:ascii="Calibri" w:hAnsi="Calibri"/>
                <w:b w:val="0"/>
                <w:sz w:val="20"/>
              </w:rPr>
              <w:t>https://csrc.nist.gov/pubs/sp/800/61/r3/final</w:t>
            </w:r>
          </w:p>
        </w:tc>
      </w:tr>
      <w:tr>
        <w:tc>
          <w:tcPr>
            <w:tcW w:type="dxa" w:w="2448"/>
            <w:vAlign w:val="top"/>
          </w:tcPr>
          <w:p>
            <w:pPr>
              <w:spacing w:after="0"/>
            </w:pPr>
            <w:r/>
            <w:r>
              <w:rPr>
                <w:rFonts w:ascii="Calibri" w:hAnsi="Calibri"/>
                <w:b w:val="0"/>
                <w:sz w:val="20"/>
              </w:rPr>
              <w:t>NIST SP 800-207 Zero Trust Architecture</w:t>
            </w:r>
          </w:p>
        </w:tc>
        <w:tc>
          <w:tcPr>
            <w:tcW w:type="dxa" w:w="4392"/>
            <w:vAlign w:val="top"/>
          </w:tcPr>
          <w:p>
            <w:pPr>
              <w:spacing w:after="0"/>
            </w:pPr>
            <w:r/>
            <w:r>
              <w:rPr>
                <w:rFonts w:ascii="Calibri" w:hAnsi="Calibri"/>
                <w:b w:val="0"/>
                <w:sz w:val="20"/>
              </w:rPr>
              <w:t>Use for explaining no implicit trust, per-resource protection, and access control around services.</w:t>
            </w:r>
          </w:p>
        </w:tc>
        <w:tc>
          <w:tcPr>
            <w:tcW w:type="dxa" w:w="2520"/>
            <w:vAlign w:val="top"/>
          </w:tcPr>
          <w:p>
            <w:pPr>
              <w:spacing w:after="0"/>
            </w:pPr>
            <w:r/>
            <w:r>
              <w:rPr>
                <w:rFonts w:ascii="Calibri" w:hAnsi="Calibri"/>
                <w:b w:val="0"/>
                <w:sz w:val="20"/>
              </w:rPr>
              <w:t>https://csrc.nist.gov/pubs/sp/800/207/final</w:t>
            </w:r>
          </w:p>
        </w:tc>
      </w:tr>
      <w:tr>
        <w:tc>
          <w:tcPr>
            <w:tcW w:type="dxa" w:w="2448"/>
            <w:vAlign w:val="top"/>
          </w:tcPr>
          <w:p>
            <w:pPr>
              <w:spacing w:after="0"/>
            </w:pPr>
            <w:r/>
            <w:r>
              <w:rPr>
                <w:rFonts w:ascii="Calibri" w:hAnsi="Calibri"/>
                <w:b w:val="0"/>
                <w:sz w:val="20"/>
              </w:rPr>
              <w:t>NIST SP 800-92 Log Management</w:t>
            </w:r>
          </w:p>
        </w:tc>
        <w:tc>
          <w:tcPr>
            <w:tcW w:type="dxa" w:w="4392"/>
            <w:vAlign w:val="top"/>
          </w:tcPr>
          <w:p>
            <w:pPr>
              <w:spacing w:after="0"/>
            </w:pPr>
            <w:r/>
            <w:r>
              <w:rPr>
                <w:rFonts w:ascii="Calibri" w:hAnsi="Calibri"/>
                <w:b w:val="0"/>
                <w:sz w:val="20"/>
              </w:rPr>
              <w:t>Use for audit log and monitoring justification.</w:t>
            </w:r>
          </w:p>
        </w:tc>
        <w:tc>
          <w:tcPr>
            <w:tcW w:type="dxa" w:w="2520"/>
            <w:vAlign w:val="top"/>
          </w:tcPr>
          <w:p>
            <w:pPr>
              <w:spacing w:after="0"/>
            </w:pPr>
            <w:r/>
            <w:r>
              <w:rPr>
                <w:rFonts w:ascii="Calibri" w:hAnsi="Calibri"/>
                <w:b w:val="0"/>
                <w:sz w:val="20"/>
              </w:rPr>
              <w:t>https://csrc.nist.gov/pubs/sp/800/92/final</w:t>
            </w:r>
          </w:p>
        </w:tc>
      </w:tr>
      <w:tr>
        <w:tc>
          <w:tcPr>
            <w:tcW w:type="dxa" w:w="2448"/>
            <w:vAlign w:val="top"/>
          </w:tcPr>
          <w:p>
            <w:pPr>
              <w:spacing w:after="0"/>
            </w:pPr>
            <w:r/>
            <w:r>
              <w:rPr>
                <w:rFonts w:ascii="Calibri" w:hAnsi="Calibri"/>
                <w:b w:val="0"/>
                <w:sz w:val="20"/>
              </w:rPr>
              <w:t>NIST AI Risk Management Framework</w:t>
            </w:r>
          </w:p>
        </w:tc>
        <w:tc>
          <w:tcPr>
            <w:tcW w:type="dxa" w:w="4392"/>
            <w:vAlign w:val="top"/>
          </w:tcPr>
          <w:p>
            <w:pPr>
              <w:spacing w:after="0"/>
            </w:pPr>
            <w:r/>
            <w:r>
              <w:rPr>
                <w:rFonts w:ascii="Calibri" w:hAnsi="Calibri"/>
                <w:b w:val="0"/>
                <w:sz w:val="20"/>
              </w:rPr>
              <w:t>Use for responsible AI-assisted recommendation design and governance.</w:t>
            </w:r>
          </w:p>
        </w:tc>
        <w:tc>
          <w:tcPr>
            <w:tcW w:type="dxa" w:w="2520"/>
            <w:vAlign w:val="top"/>
          </w:tcPr>
          <w:p>
            <w:pPr>
              <w:spacing w:after="0"/>
            </w:pPr>
            <w:r/>
            <w:r>
              <w:rPr>
                <w:rFonts w:ascii="Calibri" w:hAnsi="Calibri"/>
                <w:b w:val="0"/>
                <w:sz w:val="20"/>
              </w:rPr>
              <w:t>https://www.nist.gov/itl/ai-risk-management-framework</w:t>
            </w:r>
          </w:p>
        </w:tc>
      </w:tr>
      <w:tr>
        <w:tc>
          <w:tcPr>
            <w:tcW w:type="dxa" w:w="2448"/>
            <w:vAlign w:val="top"/>
          </w:tcPr>
          <w:p>
            <w:pPr>
              <w:spacing w:after="0"/>
            </w:pPr>
            <w:r/>
            <w:r>
              <w:rPr>
                <w:rFonts w:ascii="Calibri" w:hAnsi="Calibri"/>
                <w:b w:val="0"/>
                <w:sz w:val="20"/>
              </w:rPr>
              <w:t>MITRE ATT&amp;CK Enterprise</w:t>
            </w:r>
          </w:p>
        </w:tc>
        <w:tc>
          <w:tcPr>
            <w:tcW w:type="dxa" w:w="4392"/>
            <w:vAlign w:val="top"/>
          </w:tcPr>
          <w:p>
            <w:pPr>
              <w:spacing w:after="0"/>
            </w:pPr>
            <w:r/>
            <w:r>
              <w:rPr>
                <w:rFonts w:ascii="Calibri" w:hAnsi="Calibri"/>
                <w:b w:val="0"/>
                <w:sz w:val="20"/>
              </w:rPr>
              <w:t>Use for mapping login attacks, credential access, lateral movement, and attack-path explanations.</w:t>
            </w:r>
          </w:p>
        </w:tc>
        <w:tc>
          <w:tcPr>
            <w:tcW w:type="dxa" w:w="2520"/>
            <w:vAlign w:val="top"/>
          </w:tcPr>
          <w:p>
            <w:pPr>
              <w:spacing w:after="0"/>
            </w:pPr>
            <w:r/>
            <w:r>
              <w:rPr>
                <w:rFonts w:ascii="Calibri" w:hAnsi="Calibri"/>
                <w:b w:val="0"/>
                <w:sz w:val="20"/>
              </w:rPr>
              <w:t>https://attack.mitre.org/</w:t>
            </w:r>
          </w:p>
        </w:tc>
      </w:tr>
      <w:tr>
        <w:tc>
          <w:tcPr>
            <w:tcW w:type="dxa" w:w="2448"/>
            <w:vAlign w:val="top"/>
          </w:tcPr>
          <w:p>
            <w:pPr>
              <w:spacing w:after="0"/>
            </w:pPr>
            <w:r/>
            <w:r>
              <w:rPr>
                <w:rFonts w:ascii="Calibri" w:hAnsi="Calibri"/>
                <w:b w:val="0"/>
                <w:sz w:val="20"/>
              </w:rPr>
              <w:t>OWASP Top 10:2021</w:t>
            </w:r>
          </w:p>
        </w:tc>
        <w:tc>
          <w:tcPr>
            <w:tcW w:type="dxa" w:w="4392"/>
            <w:vAlign w:val="top"/>
          </w:tcPr>
          <w:p>
            <w:pPr>
              <w:spacing w:after="0"/>
            </w:pPr>
            <w:r/>
            <w:r>
              <w:rPr>
                <w:rFonts w:ascii="Calibri" w:hAnsi="Calibri"/>
                <w:b w:val="0"/>
                <w:sz w:val="20"/>
              </w:rPr>
              <w:t>Use for Broken Access Control, Cryptographic Failures, Identification and Authentication Failures, and Security Logging/Monitoring Failures.</w:t>
            </w:r>
          </w:p>
        </w:tc>
        <w:tc>
          <w:tcPr>
            <w:tcW w:type="dxa" w:w="2520"/>
            <w:vAlign w:val="top"/>
          </w:tcPr>
          <w:p>
            <w:pPr>
              <w:spacing w:after="0"/>
            </w:pPr>
            <w:r/>
            <w:r>
              <w:rPr>
                <w:rFonts w:ascii="Calibri" w:hAnsi="Calibri"/>
                <w:b w:val="0"/>
                <w:sz w:val="20"/>
              </w:rPr>
              <w:t>https://owasp.org/Top10/2021/</w:t>
            </w:r>
          </w:p>
        </w:tc>
      </w:tr>
    </w:tbl>
    <w:p/>
    <w:p>
      <w:pPr>
        <w:pStyle w:val="Heading1"/>
      </w:pPr>
      <w:r>
        <w:rPr>
          <w:rFonts w:ascii="Calibri" w:hAnsi="Calibri"/>
          <w:color w:val="2E74B5"/>
        </w:rPr>
        <w:t>9. Research Alignment Summary</w:t>
      </w:r>
    </w:p>
    <w:p>
      <w:pPr>
        <w:pStyle w:val="ListBullet"/>
        <w:spacing w:after="80"/>
      </w:pPr>
      <w:r>
        <w:rPr>
          <w:rFonts w:ascii="Calibri" w:hAnsi="Calibri"/>
          <w:sz w:val="21"/>
        </w:rPr>
        <w:t>NIST CSF 2.0 supports the whole project lifecycle because CyberShield Nexus identifies assets, detects risky signals, responds through incidents, and recovers through remediation status.</w:t>
      </w:r>
    </w:p>
    <w:p>
      <w:pPr>
        <w:pStyle w:val="ListBullet"/>
        <w:spacing w:after="80"/>
      </w:pPr>
      <w:r>
        <w:rPr>
          <w:rFonts w:ascii="Calibri" w:hAnsi="Calibri"/>
          <w:sz w:val="21"/>
        </w:rPr>
        <w:t>NIST SP 800-61 Rev. 3 supports the incident workflow redesign because incident response should be integrated across cybersecurity risk management activities.</w:t>
      </w:r>
    </w:p>
    <w:p>
      <w:pPr>
        <w:pStyle w:val="ListBullet"/>
        <w:spacing w:after="80"/>
      </w:pPr>
      <w:r>
        <w:rPr>
          <w:rFonts w:ascii="Calibri" w:hAnsi="Calibri"/>
          <w:sz w:val="21"/>
        </w:rPr>
        <w:t>NIST SP 800-207 supports service-level access control and low-trust path reasoning because zero trust focuses on users, assets, and resources instead of trusting network location.</w:t>
      </w:r>
    </w:p>
    <w:p>
      <w:pPr>
        <w:pStyle w:val="ListBullet"/>
        <w:spacing w:after="80"/>
      </w:pPr>
      <w:r>
        <w:rPr>
          <w:rFonts w:ascii="Calibri" w:hAnsi="Calibri"/>
          <w:sz w:val="21"/>
        </w:rPr>
        <w:t>NIST SP 800-92 supports audit logging and monitoring because effective log management is necessary for detection, investigation, and accountability.</w:t>
      </w:r>
    </w:p>
    <w:p>
      <w:pPr>
        <w:pStyle w:val="ListBullet"/>
        <w:spacing w:after="80"/>
      </w:pPr>
      <w:r>
        <w:rPr>
          <w:rFonts w:ascii="Calibri" w:hAnsi="Calibri"/>
          <w:sz w:val="21"/>
        </w:rPr>
        <w:t>MITRE ATT&amp;CK supports the attack-path explanation because it provides a common language for adversary tactics and techniques.</w:t>
      </w:r>
    </w:p>
    <w:p>
      <w:pPr>
        <w:pStyle w:val="ListBullet"/>
        <w:spacing w:after="80"/>
      </w:pPr>
      <w:r>
        <w:rPr>
          <w:rFonts w:ascii="Calibri" w:hAnsi="Calibri"/>
          <w:sz w:val="21"/>
        </w:rPr>
        <w:t>OWASP Top 10 supports the application security demonstrations: access control, cryptographic handling, authentication failure, and monitoring failure.</w:t>
      </w:r>
    </w:p>
    <w:p>
      <w:pPr>
        <w:pStyle w:val="ListBullet"/>
        <w:spacing w:after="80"/>
      </w:pPr>
      <w:r>
        <w:rPr>
          <w:rFonts w:ascii="Calibri" w:hAnsi="Calibri"/>
          <w:sz w:val="21"/>
        </w:rPr>
        <w:t>NIST AI RMF supports a responsible AI-assisted recommendation layer, especially transparency, measurement, governance, and ongoing monitoring.</w:t>
      </w:r>
    </w:p>
    <w:p>
      <w:pPr>
        <w:pStyle w:val="Heading1"/>
      </w:pPr>
      <w:r>
        <w:rPr>
          <w:rFonts w:ascii="Calibri" w:hAnsi="Calibri"/>
          <w:color w:val="2E74B5"/>
        </w:rPr>
        <w:t>10. Phase Start Prompt</w:t>
      </w:r>
    </w:p>
    <w:p>
      <w:pPr>
        <w:spacing w:after="120" w:line="264" w:lineRule="auto"/>
      </w:pPr>
      <w:r>
        <w:rPr>
          <w:rFonts w:ascii="Calibri" w:hAnsi="Calibri"/>
          <w:sz w:val="22"/>
        </w:rPr>
        <w:t>Use this exact prompt to start the first implementation phase safely:</w:t>
      </w:r>
    </w:p>
    <w:tbl>
      <w:tblPr>
        <w:tblStyle w:val="TableGrid"/>
        <w:tblW w:type="auto" w:w="0"/>
        <w:tblLook w:firstColumn="1" w:firstRow="1" w:lastColumn="0" w:lastRow="0" w:noHBand="0" w:noVBand="1" w:val="04A0"/>
      </w:tblPr>
      <w:tblGrid>
        <w:gridCol w:w="9360"/>
      </w:tblGrid>
      <w:tr>
        <w:tc>
          <w:tcPr>
            <w:tcW w:type="dxa" w:w="9360"/>
            <w:shd w:fill="F4F6F9"/>
          </w:tcPr>
          <w:p>
            <w:r>
              <w:rPr>
                <w:rFonts w:ascii="Consolas" w:hAnsi="Consolas"/>
                <w:sz w:val="18"/>
              </w:rPr>
              <w:t>Start Phase 1 only.</w:t>
              <w:br/>
              <w:br/>
              <w:t>Safely clean up the CyberShield Nexus project identity for the fictional NEDI scenario.</w:t>
              <w:br/>
              <w:br/>
              <w:t>Product name: CyberShield Nexus.</w:t>
              <w:br/>
              <w:t>Scenario/client: NEDI - National Education Digital Infrastructure.</w:t>
              <w:br/>
              <w:br/>
              <w:t>Do not remove or break backend functionality.</w:t>
              <w:br/>
              <w:t>Do not change database models yet.</w:t>
              <w:br/>
              <w:t>Only update frontend text, README/report wording if needed, and navigation/branding so the project clearly presents NEDI as a fictional demo scenario.</w:t>
              <w:br/>
              <w:br/>
              <w:t>Make the wording professional, natural, and suitable for judges.</w:t>
              <w:br/>
              <w:t>After changes, summarize exactly what files changed.</w:t>
            </w:r>
          </w:p>
        </w:tc>
      </w:tr>
    </w:tbl>
    <w:p>
      <w:pPr>
        <w:pStyle w:val="Heading1"/>
      </w:pPr>
      <w:r>
        <w:rPr>
          <w:rFonts w:ascii="Calibri" w:hAnsi="Calibri"/>
          <w:color w:val="2E74B5"/>
        </w:rPr>
        <w:t>11. Final Target</w:t>
      </w:r>
    </w:p>
    <w:p>
      <w:pPr>
        <w:spacing w:after="120" w:line="264" w:lineRule="auto"/>
      </w:pPr>
      <w:r>
        <w:rPr>
          <w:rFonts w:ascii="Calibri" w:hAnsi="Calibri"/>
          <w:sz w:val="22"/>
        </w:rPr>
        <w:t>After all phases, the project should be around 90%+ as a strong academic cybersecurity project and around 75-80% as a realistic professional prototype. It should not be claimed as a full production SOC, because true production readiness would require real endpoint agents, SIEM integration, enterprise IAM, hardened deployment, secure secret management, alert tuning, backup/recovery, and operational monitoring.</w:t>
      </w:r>
    </w:p>
    <w:p>
      <w:pPr>
        <w:pStyle w:val="Heading1"/>
      </w:pPr>
      <w:r>
        <w:rPr>
          <w:rFonts w:ascii="Calibri" w:hAnsi="Calibri"/>
          <w:color w:val="2E74B5"/>
        </w:rPr>
        <w:t>12. Source Links</w:t>
      </w:r>
    </w:p>
    <w:p>
      <w:pPr>
        <w:spacing w:after="80"/>
      </w:pPr>
      <w:r>
        <w:t xml:space="preserve">NIST Cybersecurity Framework 2.0: </w:t>
      </w:r>
      <w:hyperlink r:id="rId9">
        <w:r>
          <w:rPr>
            <w:color w:val="0563C1"/>
            <w:u w:val="single"/>
          </w:rPr>
          <w:t>https://www.nist.gov/cyberframework</w:t>
        </w:r>
      </w:hyperlink>
    </w:p>
    <w:p>
      <w:pPr>
        <w:spacing w:after="80"/>
      </w:pPr>
      <w:r>
        <w:t xml:space="preserve">NIST SP 800-61 Rev. 3: </w:t>
      </w:r>
      <w:hyperlink r:id="rId10">
        <w:r>
          <w:rPr>
            <w:color w:val="0563C1"/>
            <w:u w:val="single"/>
          </w:rPr>
          <w:t>https://csrc.nist.gov/pubs/sp/800/61/r3/final</w:t>
        </w:r>
      </w:hyperlink>
    </w:p>
    <w:p>
      <w:pPr>
        <w:spacing w:after="80"/>
      </w:pPr>
      <w:r>
        <w:t xml:space="preserve">NIST SP 800-207 Zero Trust Architecture: </w:t>
      </w:r>
      <w:hyperlink r:id="rId11">
        <w:r>
          <w:rPr>
            <w:color w:val="0563C1"/>
            <w:u w:val="single"/>
          </w:rPr>
          <w:t>https://csrc.nist.gov/pubs/sp/800/207/final</w:t>
        </w:r>
      </w:hyperlink>
    </w:p>
    <w:p>
      <w:pPr>
        <w:spacing w:after="80"/>
      </w:pPr>
      <w:r>
        <w:t xml:space="preserve">NIST SP 800-92 Log Management: </w:t>
      </w:r>
      <w:hyperlink r:id="rId12">
        <w:r>
          <w:rPr>
            <w:color w:val="0563C1"/>
            <w:u w:val="single"/>
          </w:rPr>
          <w:t>https://csrc.nist.gov/pubs/sp/800/92/final</w:t>
        </w:r>
      </w:hyperlink>
    </w:p>
    <w:p>
      <w:pPr>
        <w:spacing w:after="80"/>
      </w:pPr>
      <w:r>
        <w:t xml:space="preserve">NIST AI Risk Management Framework: </w:t>
      </w:r>
      <w:hyperlink r:id="rId13">
        <w:r>
          <w:rPr>
            <w:color w:val="0563C1"/>
            <w:u w:val="single"/>
          </w:rPr>
          <w:t>https://www.nist.gov/itl/ai-risk-management-framework</w:t>
        </w:r>
      </w:hyperlink>
    </w:p>
    <w:p>
      <w:pPr>
        <w:spacing w:after="80"/>
      </w:pPr>
      <w:r>
        <w:t xml:space="preserve">MITRE ATT&amp;CK Enterprise: </w:t>
      </w:r>
      <w:hyperlink r:id="rId14">
        <w:r>
          <w:rPr>
            <w:color w:val="0563C1"/>
            <w:u w:val="single"/>
          </w:rPr>
          <w:t>https://attack.mitre.org/</w:t>
        </w:r>
      </w:hyperlink>
    </w:p>
    <w:p>
      <w:pPr>
        <w:spacing w:after="80"/>
      </w:pPr>
      <w:r>
        <w:t xml:space="preserve">OWASP Top 10:2021: </w:t>
      </w:r>
      <w:hyperlink r:id="rId15">
        <w:r>
          <w:rPr>
            <w:color w:val="0563C1"/>
            <w:u w:val="single"/>
          </w:rPr>
          <w:t>https://owasp.org/Top10/2021/</w:t>
        </w:r>
      </w:hyperlink>
    </w:p>
    <w:sectPr w:rsidR="00FC693F" w:rsidRPr="0006063C" w:rsidSect="00034616">
      <w:footerReference w:type="default" r:id="rId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CyberShield Nexus for NEDI - Phase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ist.gov/cyberframework" TargetMode="External"/><Relationship Id="rId10" Type="http://schemas.openxmlformats.org/officeDocument/2006/relationships/hyperlink" Target="https://csrc.nist.gov/pubs/sp/800/61/r3/final" TargetMode="External"/><Relationship Id="rId11" Type="http://schemas.openxmlformats.org/officeDocument/2006/relationships/hyperlink" Target="https://csrc.nist.gov/pubs/sp/800/207/final" TargetMode="External"/><Relationship Id="rId12" Type="http://schemas.openxmlformats.org/officeDocument/2006/relationships/hyperlink" Target="https://csrc.nist.gov/pubs/sp/800/92/final" TargetMode="External"/><Relationship Id="rId13" Type="http://schemas.openxmlformats.org/officeDocument/2006/relationships/hyperlink" Target="https://www.nist.gov/itl/ai-risk-management-framework" TargetMode="External"/><Relationship Id="rId14" Type="http://schemas.openxmlformats.org/officeDocument/2006/relationships/hyperlink" Target="https://attack.mitre.org/" TargetMode="External"/><Relationship Id="rId15" Type="http://schemas.openxmlformats.org/officeDocument/2006/relationships/hyperlink" Target="https://owasp.org/Top10/2021/"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