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الأولى: توحيد الأداء في جميع مؤشرات معيار قيادة العملية التعليمية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أن يسير العمل الإرشادي والسلوكي في المدرسة وفق مسارٍ موحّد يربط أداء المرشد الطلابي بمؤشرات قيادة العملية التعليمية؛ فتتحول الأدوار إلى ممارسات موحدة في جميع الفصول والمراحل، تُقاس بمؤشرات واضحة تضمن العدالة والشفافية واستمرارية الجودة.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دليل الإجراءات الموحّد: </w:t>
      </w:r>
      <w:r>
        <w:rPr>
          <w:rFonts w:ascii="Calibri Light" w:hAnsi="Calibri Light" w:cs="Calibri Light"/>
          <w:b w:val="0"/>
          <w:bCs w:val="0"/>
          <w:i w:val="0"/>
          <w:color w:val="203864"/>
          <w:sz w:val="20"/>
          <w:szCs w:val="20"/>
          <w:rtl/>
        </w:rPr>
        <w:t>يشارك المرشد الطلابي في إعداد دليل إرشادي موحّد يحدد آلية التعامل مع كل مؤشر، ويُوزَّع على المعلمين والوكلاء لضمان تطبيق موحد.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ربط الأهداف بالمؤشرات: </w:t>
      </w:r>
      <w:r>
        <w:rPr>
          <w:rFonts w:ascii="Calibri Light" w:hAnsi="Calibri Light" w:cs="Calibri Light"/>
          <w:b w:val="0"/>
          <w:bCs w:val="0"/>
          <w:i w:val="0"/>
          <w:color w:val="203864"/>
          <w:sz w:val="20"/>
          <w:szCs w:val="20"/>
          <w:rtl/>
        </w:rPr>
        <w:t>تُترجم أهداف الإرشاد إلى مؤشرات قياس (نسبة الالتزام، عدد الجلسات، معدلات الغياب والتأخر) مرتبطة بمؤشرات معيار قيادة العملية التعليمية.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تنسيق الأدوار الدوري: </w:t>
      </w:r>
      <w:r>
        <w:rPr>
          <w:rFonts w:ascii="Calibri Light" w:hAnsi="Calibri Light" w:cs="Calibri Light"/>
          <w:b w:val="0"/>
          <w:bCs w:val="0"/>
          <w:i w:val="0"/>
          <w:color w:val="203864"/>
          <w:sz w:val="20"/>
          <w:szCs w:val="20"/>
          <w:rtl/>
        </w:rPr>
        <w:t>عقد لقاءات نصف شهرية مع وكلاء المدرسة والمعلمين لتوحيد الفهم والتطبيق، وتبادل الممارسات الناجحة بين الفصول.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لوحة الأداء الموحّدة: </w:t>
      </w:r>
      <w:r>
        <w:rPr>
          <w:rFonts w:ascii="Calibri Light" w:hAnsi="Calibri Light" w:cs="Calibri Light"/>
          <w:b w:val="0"/>
          <w:bCs w:val="0"/>
          <w:i w:val="0"/>
          <w:color w:val="203864"/>
          <w:sz w:val="20"/>
          <w:szCs w:val="20"/>
          <w:rtl/>
        </w:rPr>
        <w:t>إعداد لوحة إرشادية موحدة تعرض المؤشرات الأساسية لحظيًا أمام جميع الأطراف المعنية لدعم القرار المبني على البيانات.</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تحليل مؤشرات المعيار وربط كل مؤشر بدور إرشادي محدد عبر «مصفوفة الأدوار والمسؤوليات».</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إعداد دليل الإجراءات ونماذج التوثيق الموحدة (سجل السلوك، محضر الجلسة الإرشادية، نموذج التواصل مع الأسرة).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عقد ورشة افتتاحية للهيئة التعليمية لتوحيد الفهم والتطبيق وتدريبهم على النماذج الموحدة.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المتابعة الشهرية للتطبيق الموحد وإصدار تقرير تحسيني قصير بمؤشرات كمية وشواهد.</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تطبيق الممارسات الموحّدة في جميع الفصول والمراحل دون استثناء.</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اكتمال نماذج التوثيق الموحّدة بنسبة تتجاوز 95%.</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ارتفاع رضا المعلمين عن وضوح الأدوار إلى أكثر من 85%.</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يرصد المرشد تباينًا في تطبيق إجراءات التأخر بين الفصول؛ فيوحّد النماذج، ويعقد لقاءً قصيرًا مع المعلمين، ويقارن المؤشرات أسبوعيًا حتى يتجانس الأداء ويصحّ التقويم.</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1</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وضوح دليل الإجراءات الموحّد</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وجود دليل معتمد يغطي جميع المؤشرات ويُوزَّع على المعنيين.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تطابق الممارسات بين الفصول</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انخفاض التباين في تطبيق الإجراءات عبر الفصول والمراحل.</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اكتمال النماذج الموحدة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اعتماد نماذج التوثيق الموحدة في جميع الحالات دون استثناء.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انتظام التنسيق الدوري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انعقاد اللقاءات الدورية وفق الجدول وتوثيق محاضرها.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جاهزية لوحة المؤشرات</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تحديث دوري للمؤشرات وسهولة الوصول إليها من جميع الأطراف.</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دليل الإجراءات الإرشادية الموحّد (نسخة معتمدة).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نماذج التوثيق الموحدة وعينات مُعبأة منها.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محاضر لقاءات التنسيق الدورية.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لوحة المؤشرات الإرشادية (صور أو ملف رقمي).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التحسين الدورية الصادرة عن المرشد الطلابي.</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1</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يتوفر دليل إجراءات معتمد وموزَّع على المعلمين والوكلاء.</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تُستخدم نماذج التوثيق الموحدة في جميع الفصول.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تُعقد لقاءات التنسيق الدورية وفق الجدول الزمني.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تُحدَّث لوحة المؤشرات الإرشادية بشكل دوري.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الأدوار والمسؤوليات موزعة وموثقة في مصفوفة معتمدة.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تُصدَّر تقارير تحسينية دورية بمؤشرات كمية.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يتوفر تدريب للهيئة التعليمية على النماذج الموحدة.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1</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تحليل مؤشرات المعيار وإعداد مصفوفة الأدوار.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مصفوفة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إعداد دليل الإجراءات ونماذج التوثيق.</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الوكلاء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 أسابيع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إصدار الدليل</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ورشة توحيد الفهم للهيئة التعليمية.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حضور 90%+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إطلاق لوحة المؤشرات وتحديثها.</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مسؤول البيانات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تحديث شهري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إصدار التقرير التحسيني الشهري.</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12 تقريرًا/عام</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مقاومة التغيير من بعض المعلمين.</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إشراكهم مبكرًا في الإعداد وتقديم الحوافز المعنوية.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تعارض أدوات التوثيق بين الفصول.</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اعتماد نموذج موحد واحد وتعميمه بمحضر رسمي.</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ضعف المتابعة بعد الإطلاق.</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ربط التحديث بجدول اجتماعات الإدارة الدورية.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يمكن لأي معلم أن يجد الإجراء المطلوب خلال دقيقة واحدة؟</w:t>
            </w:r>
          </w:p>
          <w:p>
            <w:pPr>
              <w:bidi/>
              <w:spacing w:before="0" w:after="20" w:line="264" w:lineRule="auto"/>
              <w:jc w:val="right"/>
            </w:pPr>
            <w:r>
              <w:rPr>
                <w:rFonts w:ascii="Calibri Light" w:hAnsi="Calibri Light" w:cs="Calibri Light"/>
                <w:b w:val="0"/>
                <w:bCs w:val="0"/>
                <w:i w:val="0"/>
                <w:color w:val="203864"/>
                <w:sz w:val="19"/>
                <w:szCs w:val="19"/>
                <w:rtl/>
              </w:rPr>
              <w:t>هل تتطابق نماذج التوثيق فعليًا بين جميع الفصول اليوم؟</w:t>
            </w:r>
          </w:p>
          <w:p>
            <w:pPr>
              <w:bidi/>
              <w:spacing w:before="0" w:after="20" w:line="264" w:lineRule="auto"/>
              <w:jc w:val="right"/>
            </w:pPr>
            <w:r>
              <w:rPr>
                <w:rFonts w:ascii="Calibri Light" w:hAnsi="Calibri Light" w:cs="Calibri Light"/>
                <w:b w:val="0"/>
                <w:bCs w:val="0"/>
                <w:i w:val="0"/>
                <w:color w:val="203864"/>
                <w:sz w:val="19"/>
                <w:szCs w:val="19"/>
                <w:rtl/>
              </w:rPr>
              <w:t>متى كانت آخر مرة حُدثت فيها لوحة المؤشرات؟</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1</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لاحظت إدارة مدرسة متوسطة تباينًا واضحًا في تطبيق إجراءات التأخر والغياب بين الفصول: كل معلم يوثّق بطريقته، ونماذج التقارير متعددة ومختلفة، ما صعّب على المرشد الطلابي قياس الأداء الموحد.</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أعدّ المرشد مصفوفة تربط كل مؤشر بدور محدد، ثم صاغ دليل إجراءات موحدًا بسيطًا.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صمّم ثلاث نماذج توثيق فقط (سجل السلوك، محضر الجلسة، تواصل الأسرة) وعمّمها بمحضر رسمي.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عقد لقاءات نصف شهرية قصيرة (20 دقيقة) مع الوكلاء والمعلمين لتوحيد التطبيق.</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أطلق لوحة مؤشرات محدَّثة شهريًا في غرفة المعلمين.</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اكتمال التوثيق الموحّد لأكثر من 95% خلال فصل واحد.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انخفاض التباين في تطبيق الإجراءات بين الفصول بشكل ملموس.</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رضا المعلمين عن وضوح الأدوار إلى أكثر من 87%.</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التوحيد يبدأ من النموذج: ما يُبسَّط يُطبَّق، وما يُعقَّد يُهمَل.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اللقاءات القصيرة المنتظمة أثرها أكبر من اللقاءات الطويلة المتباعدة.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اللوحة المرئية للمؤشرات تحفّز الالتزام أكثر من التعميمات المكتوبة.</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تُعمَّم التجربة على المدارس عبر: توحيد النماذج أولًا، ثم ربطها بمؤشر قياس واحد واضح، ثم الاعتماد على لقاءات قصيرة دورية للمتابعة.</w:t>
            </w:r>
          </w:p>
        </w:tc>
      </w:tr>
    </w:tbl>
    <w:sectPr w:rsidR="00FC693F" w:rsidRPr="0006063C" w:rsidSect="00034616">
      <w:headerReference w:type="default" r:id="rId9"/>
      <w:footerReference w:type="default" r:id="rId10"/>
      <w:pgSz w:w="11906" w:h="16838"/>
      <w:pgMar w:top="2013" w:right="850" w:bottom="1786" w:left="850"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175"/>
      <w:gridCol w:w="3969"/>
      <w:gridCol w:w="3061"/>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531"/>
            <w:gridCol w:w="1531"/>
          </w:tblGrid>
          <w:tr>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A60000"/>
                    <w:sz w:val="14"/>
                    <w:szCs w:val="14"/>
                    <w:rtl/>
                  </w:rPr>
                  <w:t>ISO 9001:2015</w:t>
                </w:r>
              </w:p>
              <w:p>
                <w:pPr>
                  <w:bidi/>
                  <w:spacing w:before="0" w:after="0" w:line="240" w:lineRule="auto"/>
                  <w:jc w:val="center"/>
                </w:pPr>
                <w:r>
                  <w:rPr>
                    <w:rFonts w:ascii="Calibri Light" w:hAnsi="Calibri Light" w:cs="Calibri Light"/>
                    <w:b w:val="0"/>
                    <w:bCs w:val="0"/>
                    <w:i w:val="0"/>
                    <w:color w:val="595959"/>
                    <w:sz w:val="11"/>
                    <w:szCs w:val="11"/>
                    <w:rtl/>
                  </w:rPr>
                  <w:t>CERTIFIED</w:t>
                </w:r>
              </w:p>
            </w:tc>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1F4E79"/>
                    <w:sz w:val="14"/>
                    <w:szCs w:val="14"/>
                    <w:rtl/>
                  </w:rPr>
                  <w:t>AiAA</w:t>
                </w:r>
              </w:p>
              <w:p>
                <w:pPr>
                  <w:bidi/>
                  <w:spacing w:before="0" w:after="0" w:line="240" w:lineRule="auto"/>
                  <w:jc w:val="center"/>
                </w:pPr>
                <w:r>
                  <w:rPr>
                    <w:rFonts w:ascii="Calibri Light" w:hAnsi="Calibri Light" w:cs="Calibri Light"/>
                    <w:b w:val="0"/>
                    <w:bCs w:val="0"/>
                    <w:i w:val="0"/>
                    <w:color w:val="595959"/>
                    <w:sz w:val="11"/>
                    <w:szCs w:val="11"/>
                    <w:rtl/>
                  </w:rPr>
                  <w:t>اعتماد دولي</w:t>
                </w:r>
              </w:p>
            </w:tc>
          </w:tr>
        </w:tbl>
        <w:p/>
      </w:tc>
      <w:tc>
        <w:tcPr>
          <w:tcW w:type="dxa" w:w="3402"/>
          <w:tcMar>
            <w:top w:w="0" w:type="dxa"/>
            <w:left w:w="0" w:type="dxa"/>
            <w:bottom w:w="0" w:type="dxa"/>
            <w:right w:w="0" w:type="dxa"/>
          </w:tcMar>
        </w:tcPr>
        <w:p>
          <w:pPr>
            <w:bidi/>
            <w:spacing w:before="0" w:after="20" w:line="240" w:lineRule="auto"/>
            <w:jc w:val="center"/>
          </w:pPr>
          <w:r>
            <w:rPr>
              <w:rFonts w:ascii="Calibri Light" w:hAnsi="Calibri Light" w:cs="Calibri Light"/>
              <w:b/>
              <w:bCs w:val="1"/>
              <w:i w:val="0"/>
              <w:color w:val="1F4E79"/>
              <w:sz w:val="17"/>
              <w:szCs w:val="17"/>
              <w:rtl/>
            </w:rPr>
            <w:t>التعليم المتقـدم يبنـي ...</w:t>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247"/>
            <w:gridCol w:w="1247"/>
            <w:gridCol w:w="1247"/>
          </w:tblGrid>
          <w:tr>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1" name="Picture 1"/>
                      <wp:cNvGraphicFramePr>
                        <a:graphicFrameLocks noChangeAspect="1"/>
                      </wp:cNvGraphicFramePr>
                      <a:graphic>
                        <a:graphicData uri="http://schemas.openxmlformats.org/drawingml/2006/picture">
                          <pic:pic>
                            <pic:nvPicPr>
                              <pic:cNvPr id="0" name="icon_person.png"/>
                              <pic:cNvPicPr/>
                            </pic:nvPicPr>
                            <pic:blipFill>
                              <a:blip r:embed="rId1"/>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المعرفة</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2" name="Picture 2"/>
                      <wp:cNvGraphicFramePr>
                        <a:graphicFrameLocks noChangeAspect="1"/>
                      </wp:cNvGraphicFramePr>
                      <a:graphic>
                        <a:graphicData uri="http://schemas.openxmlformats.org/drawingml/2006/picture">
                          <pic:pic>
                            <pic:nvPicPr>
                              <pic:cNvPr id="0" name="icon_chart.png"/>
                              <pic:cNvPicPr/>
                            </pic:nvPicPr>
                            <pic:blipFill>
                              <a:blip r:embed="rId2"/>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التكنولوجيا</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3" name="Picture 3"/>
                      <wp:cNvGraphicFramePr>
                        <a:graphicFrameLocks noChangeAspect="1"/>
                      </wp:cNvGraphicFramePr>
                      <a:graphic>
                        <a:graphicData uri="http://schemas.openxmlformats.org/drawingml/2006/picture">
                          <pic:pic>
                            <pic:nvPicPr>
                              <pic:cNvPr id="0" name="icon_atom.png"/>
                              <pic:cNvPicPr/>
                            </pic:nvPicPr>
                            <pic:blipFill>
                              <a:blip r:embed="rId3"/>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العلوم</w:t>
                </w:r>
              </w:p>
            </w:tc>
          </w:tr>
        </w:tbl>
        <w:p/>
      </w:tc>
      <w:tc>
        <w:tcPr>
          <w:tcW w:type="dxa" w:w="3402"/>
          <w:tcMar>
            <w:top w:w="0" w:type="dxa"/>
            <w:left w:w="0" w:type="dxa"/>
            <w:bottom w:w="0" w:type="dxa"/>
            <w:right w:w="0" w:type="dxa"/>
          </w:tcMar>
        </w:tcPr>
        <w:p>
          <w:pPr>
            <w:bidi/>
            <w:spacing w:before="0" w:after="0" w:line="264" w:lineRule="auto"/>
            <w:jc w:val="center"/>
          </w:pPr>
          <w:r>
            <w:rPr>
              <w:rFonts w:ascii="Calibri Light" w:hAnsi="Calibri Light" w:cs="Calibri Light"/>
              <w:b/>
              <w:bCs w:val="1"/>
              <w:i w:val="0"/>
              <w:color w:val="1F4E79"/>
              <w:sz w:val="16"/>
              <w:szCs w:val="16"/>
              <w:rtl/>
            </w:rPr>
            <w:t xml:space="preserve">f   X   ◎   </w:t>
          </w:r>
          <w:r>
            <w:rPr>
              <w:rFonts w:ascii="Calibri Light" w:hAnsi="Calibri Light" w:cs="Calibri Light"/>
              <w:b/>
              <w:bCs w:val="1"/>
              <w:i w:val="0"/>
              <w:color w:val="1F4E79"/>
              <w:sz w:val="16"/>
              <w:szCs w:val="16"/>
              <w:rtl/>
            </w:rPr>
            <w:t>Ajailyanbu</w:t>
          </w:r>
        </w:p>
        <w:p>
          <w:pPr>
            <w:bidi/>
            <w:spacing w:before="0" w:after="0" w:line="264" w:lineRule="auto"/>
            <w:jc w:val="center"/>
          </w:pPr>
          <w:r>
            <w:rPr>
              <w:rFonts w:ascii="Calibri Light" w:hAnsi="Calibri Light" w:cs="Calibri Light"/>
              <w:b/>
              <w:bCs w:val="1"/>
              <w:i w:val="0"/>
              <w:color w:val="6AA84F"/>
              <w:sz w:val="16"/>
              <w:szCs w:val="16"/>
              <w:rtl/>
            </w:rPr>
            <w:t xml:space="preserve">☎   </w:t>
          </w:r>
          <w:r>
            <w:rPr>
              <w:rFonts w:ascii="Calibri Light" w:hAnsi="Calibri Light" w:cs="Calibri Light"/>
              <w:b w:val="0"/>
              <w:bCs w:val="0"/>
              <w:i w:val="0"/>
              <w:color w:val="1F4E79"/>
              <w:sz w:val="16"/>
              <w:szCs w:val="16"/>
              <w:rtl/>
            </w:rPr>
            <w:t>Nabualmarifa.edu.sa</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6520"/>
      <w:gridCol w:w="3685"/>
    </w:tblGrid>
    <w:tr>
      <w:tc>
        <w:tcPr>
          <w:tcW w:type="dxa" w:w="51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51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969"/>
      <w:gridCol w:w="3402"/>
      <w:gridCol w:w="2835"/>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891"/>
            <w:gridCol w:w="964"/>
          </w:tblGrid>
          <w:tr>
            <w:tc>
              <w:tcPr>
                <w:tcW w:type="dxa" w:w="1701"/>
                <w:tcMar>
                  <w:top w:w="0" w:type="dxa"/>
                  <w:left w:w="0" w:type="dxa"/>
                  <w:bottom w:w="0" w:type="dxa"/>
                  <w:right w:w="0" w:type="dxa"/>
                </w:tcMar>
              </w:tcPr>
              <w:p>
                <w:pPr>
                  <w:bidi/>
                  <w:spacing w:before="0" w:after="0" w:line="240" w:lineRule="auto"/>
                  <w:jc w:val="right"/>
                </w:pPr>
                <w:r>
                  <w:rPr>
                    <w:rFonts w:ascii="Calibri Light" w:hAnsi="Calibri Light" w:cs="Calibri Light"/>
                    <w:b/>
                    <w:bCs w:val="1"/>
                    <w:i w:val="0"/>
                    <w:color w:val="2E7D32"/>
                    <w:sz w:val="20"/>
                    <w:szCs w:val="20"/>
                    <w:rtl/>
                  </w:rPr>
                  <w:t>المملكة العربية السعودية</w:t>
                </w:r>
              </w:p>
              <w:p>
                <w:pPr>
                  <w:bidi/>
                  <w:spacing w:before="0" w:after="0" w:line="240" w:lineRule="auto"/>
                  <w:jc w:val="right"/>
                </w:pPr>
                <w:r>
                  <w:rPr>
                    <w:rFonts w:ascii="Calibri Light" w:hAnsi="Calibri Light" w:cs="Calibri Light"/>
                    <w:b/>
                    <w:bCs w:val="1"/>
                    <w:i w:val="0"/>
                    <w:color w:val="203864"/>
                    <w:sz w:val="17"/>
                    <w:szCs w:val="17"/>
                    <w:rtl/>
                  </w:rPr>
                  <w:t>وزارة التعليم</w:t>
                </w:r>
              </w:p>
              <w:p>
                <w:pPr>
                  <w:bidi/>
                  <w:spacing w:before="0" w:after="0" w:line="240" w:lineRule="auto"/>
                  <w:jc w:val="right"/>
                </w:pPr>
                <w:r>
                  <w:rPr>
                    <w:rFonts w:ascii="Calibri Light" w:hAnsi="Calibri Light" w:cs="Calibri Light"/>
                    <w:b w:val="0"/>
                    <w:bCs w:val="0"/>
                    <w:i w:val="0"/>
                    <w:color w:val="203864"/>
                    <w:sz w:val="15"/>
                    <w:szCs w:val="15"/>
                    <w:rtl/>
                  </w:rPr>
                  <w:t>الإدارة العامة للتعليم</w:t>
                </w:r>
              </w:p>
              <w:p>
                <w:pPr>
                  <w:bidi/>
                  <w:spacing w:before="0" w:after="0" w:line="240" w:lineRule="auto"/>
                  <w:jc w:val="right"/>
                </w:pPr>
                <w:r>
                  <w:rPr>
                    <w:rFonts w:ascii="Calibri Light" w:hAnsi="Calibri Light" w:cs="Calibri Light"/>
                    <w:b w:val="0"/>
                    <w:bCs w:val="0"/>
                    <w:i w:val="0"/>
                    <w:color w:val="203864"/>
                    <w:sz w:val="15"/>
                    <w:szCs w:val="15"/>
                    <w:rtl/>
                  </w:rPr>
                  <w:t>مكتب التعليم</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mark_ksa.png"/>
                              <pic:cNvPicPr/>
                            </pic:nvPicPr>
                            <pic:blipFill>
                              <a:blip r:embed="rId1"/>
                              <a:stretch>
                                <a:fillRect/>
                              </a:stretch>
                            </pic:blipFill>
                            <pic:spPr>
                              <a:xfrm>
                                <a:off x="0" y="0"/>
                                <a:ext cx="540000" cy="540000"/>
                              </a:xfrm>
                              <a:prstGeom prst="rect"/>
                            </pic:spPr>
                          </pic:pic>
                        </a:graphicData>
                      </a:graphic>
                    </wp:inline>
                  </w:drawing>
                </w:r>
              </w:p>
            </w:tc>
          </w:tr>
        </w:tbl>
        <w:p/>
      </w:tc>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268"/>
            <w:gridCol w:w="1020"/>
          </w:tblGrid>
          <w:tr>
            <w:tc>
              <w:tcPr>
                <w:tcW w:type="dxa" w:w="1701"/>
                <w:tcMar>
                  <w:top w:w="0" w:type="dxa"/>
                  <w:left w:w="0" w:type="dxa"/>
                  <w:bottom w:w="0" w:type="dxa"/>
                  <w:right w:w="0" w:type="dxa"/>
                </w:tcMar>
              </w:tcPr>
              <w:p>
                <w:pPr>
                  <w:bidi/>
                  <w:spacing w:before="0" w:after="0" w:line="276" w:lineRule="auto"/>
                  <w:jc w:val="right"/>
                </w:pPr>
                <w:r>
                  <w:rPr>
                    <w:rFonts w:ascii="Calibri Light" w:hAnsi="Calibri Light" w:cs="Calibri Light"/>
                    <w:b/>
                    <w:bCs w:val="1"/>
                    <w:i w:val="0"/>
                    <w:color w:val="1F4E79"/>
                    <w:sz w:val="22"/>
                    <w:szCs w:val="22"/>
                    <w:rtl/>
                  </w:rPr>
                  <w:t>مـدارس أجـيال للبنـات المـتـميزة</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76000" cy="576000"/>
                      <wp:docPr id="2" name="Picture 2"/>
                      <wp:cNvGraphicFramePr>
                        <a:graphicFrameLocks noChangeAspect="1"/>
                      </wp:cNvGraphicFramePr>
                      <a:graphic>
                        <a:graphicData uri="http://schemas.openxmlformats.org/drawingml/2006/picture">
                          <pic:pic>
                            <pic:nvPicPr>
                              <pic:cNvPr id="0" name="mark_ajyal.png"/>
                              <pic:cNvPicPr/>
                            </pic:nvPicPr>
                            <pic:blipFill>
                              <a:blip r:embed="rId2"/>
                              <a:stretch>
                                <a:fillRect/>
                              </a:stretch>
                            </pic:blipFill>
                            <pic:spPr>
                              <a:xfrm>
                                <a:off x="0" y="0"/>
                                <a:ext cx="576000" cy="576000"/>
                              </a:xfrm>
                              <a:prstGeom prst="rect"/>
                            </pic:spPr>
                          </pic:pic>
                        </a:graphicData>
                      </a:graphic>
                    </wp:inline>
                  </w:drawing>
                </w:r>
              </w:p>
            </w:tc>
          </w:tr>
        </w:tbl>
        <w:p/>
      </w:tc>
      <w:tc>
        <w:tcPr>
          <w:tcW w:type="dxa" w:w="3402"/>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396000" cy="396000"/>
                <wp:docPr id="3" name="Picture 3"/>
                <wp:cNvGraphicFramePr>
                  <a:graphicFrameLocks noChangeAspect="1"/>
                </wp:cNvGraphicFramePr>
                <a:graphic>
                  <a:graphicData uri="http://schemas.openxmlformats.org/drawingml/2006/picture">
                    <pic:pic>
                      <pic:nvPicPr>
                        <pic:cNvPr id="0" name="mark_dev.png"/>
                        <pic:cNvPicPr/>
                      </pic:nvPicPr>
                      <pic:blipFill>
                        <a:blip r:embed="rId3"/>
                        <a:stretch>
                          <a:fillRect/>
                        </a:stretch>
                      </pic:blipFill>
                      <pic:spPr>
                        <a:xfrm>
                          <a:off x="0" y="0"/>
                          <a:ext cx="396000" cy="396000"/>
                        </a:xfrm>
                        <a:prstGeom prst="rect"/>
                      </pic:spPr>
                    </pic:pic>
                  </a:graphicData>
                </a:graphic>
              </wp:inline>
            </w:drawing>
          </w:r>
        </w:p>
        <w:p>
          <w:pPr>
            <w:bidi/>
            <w:spacing w:before="0" w:after="0" w:line="240" w:lineRule="auto"/>
            <w:jc w:val="center"/>
          </w:pPr>
          <w:r>
            <w:rPr>
              <w:rFonts w:ascii="Calibri Light" w:hAnsi="Calibri Light" w:cs="Calibri Light"/>
              <w:b/>
              <w:bCs w:val="1"/>
              <w:i w:val="0"/>
              <w:color w:val="1F4E79"/>
              <w:sz w:val="18"/>
              <w:szCs w:val="18"/>
              <w:rtl/>
            </w:rPr>
            <w:t>التنمية المتكاملة</w:t>
          </w:r>
        </w:p>
        <w:p>
          <w:pPr>
            <w:bidi/>
            <w:spacing w:before="0" w:after="0" w:line="240" w:lineRule="auto"/>
            <w:jc w:val="center"/>
          </w:pPr>
          <w:r>
            <w:rPr>
              <w:rFonts w:ascii="Calibri Light" w:hAnsi="Calibri Light" w:cs="Calibri Light"/>
              <w:b w:val="0"/>
              <w:bCs w:val="0"/>
              <w:i w:val="0"/>
              <w:color w:val="595959"/>
              <w:sz w:val="13"/>
              <w:szCs w:val="13"/>
              <w:rtl/>
            </w:rPr>
            <w:t>Integrated Developments</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984"/>
      <w:gridCol w:w="5669"/>
      <w:gridCol w:w="2551"/>
    </w:tblGrid>
    <w:tr>
      <w:tc>
        <w:tcPr>
          <w:tcW w:type="dxa" w:w="3402"/>
          <w:tcBorders>
            <w:bottom w:val="single" w:sz="6" w:space="0" w:color="A6A6A6"/>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Light" w:hAnsi="Calibri Light" w:cs="Calibri Ligh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الإضاءة الأولى: توحيد الأداء في جميع مؤشرات معيار قيادة العملية التعليمية</dc:title>
  <dc:subject>نموذج معايير التقويم والاعتماد المدرسي 2026 — نواتج التعلم</dc:subject>
  <dc:creator>المرشد الطلابي</dc:creator>
  <cp:keywords/>
  <dc:description>المؤشر: يلتزم المتعلمون بقواعد السلوك والانضباط المدرسي</dc:description>
  <cp:lastModifiedBy/>
  <cp:revision>1</cp:revision>
  <dcterms:created xsi:type="dcterms:W3CDTF">2013-12-23T23:15:00Z</dcterms:created>
  <dcterms:modified xsi:type="dcterms:W3CDTF">2013-12-23T23:15:00Z</dcterms:modified>
  <cp:category/>
</cp:coreProperties>
</file>