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الإضاءة الثانية: تعزيز الوعي بالسلوك والانضباط عبر البرامج التوعوية المنظمة</w:t>
            </w:r>
          </w:p>
        </w:tc>
      </w:tr>
    </w:tbl>
    <w:tbl>
      <w:tblPr>
        <w:bidiVisual/>
        <w:tblW w:type="auto" w:w="0"/>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5103"/>
        <w:gridCol w:w="5103"/>
      </w:tblGrid>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المجال</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نواتج التعلم</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المعيار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9"/>
                <w:szCs w:val="19"/>
                <w:rtl/>
              </w:rPr>
              <w:t>التطور الشخصي والصحي والاجتماعي</w:t>
            </w:r>
          </w:p>
        </w:tc>
      </w:tr>
      <w:tr>
        <w:tc>
          <w:tcPr>
            <w:tcW w:type="dxa" w:w="1814"/>
            <w:shd w:val="clear" w:color="auto" w:fill="DCE6F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1F4E79"/>
                <w:sz w:val="18"/>
                <w:szCs w:val="18"/>
                <w:rtl/>
              </w:rPr>
              <w:t>المؤشر</w:t>
            </w:r>
          </w:p>
        </w:tc>
        <w:tc>
          <w:tcPr>
            <w:tcW w:type="dxa" w:w="8391"/>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9"/>
                <w:szCs w:val="19"/>
                <w:rtl/>
              </w:rPr>
              <w:t>يلتزم المتعلمون بقواعد السلوك والانضباط المدرسي</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الفكرة المحورية</w:t>
      </w:r>
    </w:p>
    <w:p>
      <w:pPr>
        <w:bidi/>
        <w:spacing w:before="0" w:after="60" w:line="276" w:lineRule="auto"/>
        <w:jc w:val="right"/>
      </w:pPr>
      <w:r>
        <w:rPr>
          <w:rFonts w:ascii="Calibri Light" w:hAnsi="Calibri Light" w:cs="Calibri Light"/>
          <w:b w:val="0"/>
          <w:bCs w:val="0"/>
          <w:i w:val="0"/>
          <w:color w:val="203864"/>
          <w:sz w:val="21"/>
          <w:szCs w:val="21"/>
          <w:rtl/>
        </w:rPr>
        <w:t>أن يسبق الوعي الجزاء؛ برامج توعوية مخططة تشرح لائحة قواعد السلوك والمواظبة للمتعلمين والهيئة التعليمية وأولياء الأمور بلغة واضحة ومدخلات متجددة، فتترسخ القيم وتُرسَّخ الالتزامات قبل أي إجراء جزائي.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إثراء أدوار المرشد الطلابي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برنامج «وعي وانضباط» السنوي: </w:t>
      </w:r>
      <w:r>
        <w:rPr>
          <w:rFonts w:ascii="Calibri Light" w:hAnsi="Calibri Light" w:cs="Calibri Light"/>
          <w:b w:val="0"/>
          <w:bCs w:val="0"/>
          <w:i w:val="0"/>
          <w:color w:val="203864"/>
          <w:sz w:val="20"/>
          <w:szCs w:val="20"/>
          <w:rtl/>
        </w:rPr>
        <w:t>خطة توعوية متدرجة (لقاءات، بطاقات إرشادية، مقاطع قصيرة، مسابقات) موجهة للمتعلمين في مختلف المراحل.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توعية أولياء الأمور: </w:t>
      </w:r>
      <w:r>
        <w:rPr>
          <w:rFonts w:ascii="Calibri Light" w:hAnsi="Calibri Light" w:cs="Calibri Light"/>
          <w:b w:val="0"/>
          <w:bCs w:val="0"/>
          <w:i w:val="0"/>
          <w:color w:val="203864"/>
          <w:sz w:val="20"/>
          <w:szCs w:val="20"/>
          <w:rtl/>
        </w:rPr>
        <w:t>لقاء بداية العام، ونشرة القواعد، وقناة تواصل فعّالة (مجموعة تواصل/منصة) لشرح اللوائح وتوضيح التوقعات.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حقيبة توعوية للهيئة التعليمية: </w:t>
      </w:r>
      <w:r>
        <w:rPr>
          <w:rFonts w:ascii="Calibri Light" w:hAnsi="Calibri Light" w:cs="Calibri Light"/>
          <w:b w:val="0"/>
          <w:bCs w:val="0"/>
          <w:i w:val="0"/>
          <w:color w:val="203864"/>
          <w:sz w:val="20"/>
          <w:szCs w:val="20"/>
          <w:rtl/>
        </w:rPr>
        <w:t>إرشادات موحّدة للغة التعامل الإيجابي وإدارة الفصل، ونشر الممارسات الناجحة بين المعلمين.</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الحملات والمناسبات: </w:t>
      </w:r>
      <w:r>
        <w:rPr>
          <w:rFonts w:ascii="Calibri Light" w:hAnsi="Calibri Light" w:cs="Calibri Light"/>
          <w:b w:val="0"/>
          <w:bCs w:val="0"/>
          <w:i w:val="0"/>
          <w:color w:val="203864"/>
          <w:sz w:val="20"/>
          <w:szCs w:val="20"/>
          <w:rtl/>
        </w:rPr>
        <w:t>أسبوع الانضباط المدرسي، والطابور التوعوي، والفعاليات المرتبطة بالصحة النفسية والسلوك الإيجابي.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خطوات التنفيذ الموصى بها</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تحليل الاحتياج التوعوي باستبيان قصير للمعلمين والمتعلمين ورصد الفجوات المعرفية والسلوكية.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بناء الخطة التوعوية بمؤشرات حضور وتفاعل، وتوزيعها على فترات العام الدراسي.</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التنفيذ بالشراكة مع الوكلاء والإعلام المدرسي والقادة الطلابيين.</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قياس الأثر باختبار معرفي قصير (قبل/بعد) وملاحظة سلوكية ميدانية.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رابعًا: مؤشرات نجاح التحقيق</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وصول الرسالة التوعوية إلى أكثر من 90% من المتعلمين والأسر.</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انخفاض المخالفات السلوكية المتكررة خلال الفصل الدراسي.</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مؤشر: </w:t>
      </w:r>
      <w:r>
        <w:rPr>
          <w:rFonts w:ascii="Calibri Light" w:hAnsi="Calibri Light" w:cs="Calibri Light"/>
          <w:b w:val="0"/>
          <w:bCs w:val="0"/>
          <w:i w:val="0"/>
          <w:color w:val="203864"/>
          <w:sz w:val="20"/>
          <w:szCs w:val="20"/>
          <w:rtl/>
        </w:rPr>
        <w:t>تفاعل أولياء الأمور مع اللقاءات والنشرات التوعوية.</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خامسًا: سيناريو تطبيقي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قبل بداية الفصل الثاني يطلق المرشد أسبوع «وعي وانضباط» بلقاءات قصيرة وبطاقات ومسابقات؛ فتتباطأ المخالفات المتكررة، وتزداد مشاركة الأسر في اللقاءات التوعوية.</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7"/>
                <w:szCs w:val="17"/>
                <w:rtl/>
              </w:rPr>
              <w:t>أدوات التقويم وفق النموذج:   ☑ استبانة المعلم   ☐ استبانة المتعلم   ☐ استبانة الأسرة   ☑ المقابلات   ☑ تحليل الوثائق   ☐ الملاحظة الصفية   ☐ ملاحظة بيئة التعلم</w:t>
            </w:r>
          </w:p>
          <w:p>
            <w:pPr>
              <w:bidi/>
              <w:spacing w:before="0" w:after="20" w:line="264" w:lineRule="auto"/>
              <w:jc w:val="right"/>
            </w:pPr>
            <w:r>
              <w:rPr>
                <w:rFonts w:ascii="Calibri Light" w:hAnsi="Calibri Light" w:cs="Calibri Light"/>
                <w:b w:val="0"/>
                <w:bCs w:val="0"/>
                <w:i w:val="0"/>
                <w:color w:val="203864"/>
                <w:sz w:val="17"/>
                <w:szCs w:val="17"/>
                <w:rtl/>
              </w:rPr>
              <w:t>أفضل ممارسة للمرشد الطلابي: جمع شواهد المؤشر دوريًا عبر الأدوات المحددة أعلاه، وتوثيقها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(أ): معايير التقويم ومستويات الإتقان — الإضاءة 2</w:t>
            </w:r>
          </w:p>
        </w:tc>
      </w:tr>
    </w:tbl>
    <w:p>
      <w:pPr>
        <w:bidi/>
        <w:spacing w:before="0" w:after="60" w:line="276" w:lineRule="auto"/>
        <w:jc w:val="right"/>
      </w:pPr>
      <w:r>
        <w:rPr>
          <w:rFonts w:ascii="Calibri Light" w:hAnsi="Calibri Light" w:cs="Calibri Light"/>
          <w:b w:val="0"/>
          <w:bCs w:val="0"/>
          <w:i w:val="0"/>
          <w:color w:val="203864"/>
          <w:sz w:val="20"/>
          <w:szCs w:val="20"/>
          <w:rtl/>
        </w:rPr>
        <w:t>يُقوَّم تطبيق هذه الإضاءة عبر المعايير الآتية بمستويات إتقان أربعة، وتُجمع الدرجات موزونة بالوزن النسبي لكل معيار للوصول إلى الحكم الإجمالي.</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مستويات الإتقان</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474"/>
        <w:gridCol w:w="1134"/>
        <w:gridCol w:w="7597"/>
      </w:tblGrid>
      <w:tr>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المستوى</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الدرجة</w:t>
            </w:r>
          </w:p>
        </w:tc>
        <w:tc>
          <w:tcPr>
            <w:tcW w:type="dxa" w:w="3402"/>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العام</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متقن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4</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أداء مثالي ومستدام، يوثَّق بشهود واضحة، ويُحتذى به كنموذج.</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متمكن</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منتظِم وجيد مع فجوات طفيفة لا تؤثر على النتيجة الإجمالية.</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نامٍ</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2</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قائم لكنه متذبذب أو جزئي، ويحتاج متابعة ودعمًا دوريًا.</w:t>
            </w:r>
          </w:p>
        </w:tc>
      </w:tr>
      <w:tr>
        <w:tc>
          <w:tcPr>
            <w:tcW w:type="dxa" w:w="3402"/>
            <w:shd w:val="clear" w:color="auto" w:fill="DCE6F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مبتدئ</w:t>
            </w:r>
          </w:p>
        </w:tc>
        <w:tc>
          <w:tcPr>
            <w:tcW w:type="dxa" w:w="3402"/>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1</w:t>
            </w:r>
          </w:p>
        </w:tc>
        <w:tc>
          <w:tcPr>
            <w:tcW w:type="dxa" w:w="3402"/>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الأداء محدود أو متوقف، ويحتاج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معايير التقويم الخاصة بالإضاءة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381"/>
        <w:gridCol w:w="4876"/>
        <w:gridCol w:w="1020"/>
        <w:gridCol w:w="1928"/>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معيار التقويم</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وصف الأداء المأمول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الوزن</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تقدير المُقوِّم</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تغطية الخطة التوعوية</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تنوع البرامج واستهداف المتعلمين والهيئة التعليمية والأسر.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جودة المحتوى التوعوي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وضوح اللغة وملاءمة الفئات العمرية وتجدد الوسائط.</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انتظام التنفيذ</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الالتزام بالجدول الزمني وعدد اللقاءات المنفذة.</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قياس الأثر التوعوي</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أدوات قياس قبلية وبعدية موثقة للبرامج.</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r>
        <w:tc>
          <w:tcPr>
            <w:tcW w:type="dxa" w:w="2551"/>
            <w:shd w:val="clear" w:color="auto" w:fill="F2F7EC"/>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شراكة الأسر</w:t>
            </w:r>
          </w:p>
        </w:tc>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نسبة حضور الأسر وتفاعلهم مع النشرات واللقاءات.</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20%</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____ / 4</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طريقة احتساب الحكم الإجمالي:</w:t>
            </w:r>
          </w:p>
          <w:p>
            <w:pPr>
              <w:bidi/>
              <w:spacing w:before="0" w:after="20" w:line="264" w:lineRule="auto"/>
              <w:jc w:val="right"/>
            </w:pPr>
            <w:r>
              <w:rPr>
                <w:rFonts w:ascii="Calibri Light" w:hAnsi="Calibri Light" w:cs="Calibri Light"/>
                <w:b w:val="0"/>
                <w:bCs w:val="0"/>
                <w:i w:val="0"/>
                <w:color w:val="203864"/>
                <w:sz w:val="18"/>
                <w:szCs w:val="18"/>
                <w:rtl/>
              </w:rPr>
              <w:t>الدرجة الكلية = مجموع (درجة كل معيار × وزنه) ÷ 4 — والنتيجة: 3.5 فأعلى: متقن | 2.5–3.4: متمكن | 1.5–2.4: نامٍ | أقل من 1.5: مبتدئ (تُعد خطة تدخل عاجلة).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شواهد الإنجاز المطلوبة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الخطة التوعوية السنوية المعتمدة.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عينات من المواد التوعوية (بطاقات، مقاطع، نشرات).</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سجلات الحضور واللقاءات التوعوية.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نتائج القياس القبلي/البعدي وتحليلها.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شاهد: </w:t>
      </w:r>
      <w:r>
        <w:rPr>
          <w:rFonts w:ascii="Calibri Light" w:hAnsi="Calibri Light" w:cs="Calibri Light"/>
          <w:b w:val="0"/>
          <w:bCs w:val="0"/>
          <w:i w:val="0"/>
          <w:color w:val="203864"/>
          <w:sz w:val="20"/>
          <w:szCs w:val="20"/>
          <w:rtl/>
        </w:rPr>
        <w:t>تقارير مشاركة أولياء الأمور في اللقاءات.</w:t>
      </w:r>
    </w:p>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(ب): استمارة المتابعة والتقويم — الإضاءة 2</w:t>
            </w:r>
          </w:p>
        </w:tc>
      </w:tr>
    </w:tbl>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10206"/>
      </w:tblGrid>
      <w:tr>
        <w:tc>
          <w:tcPr>
            <w:tcW w:type="dxa" w:w="10206"/>
            <w:shd w:val="clear" w:color="auto" w:fill="F7FAF2"/>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المدرسة: ....................................    |    الفصل/الشعبة: ..............    |    التاريخ: ......... / ......... / 1447هـ</w:t>
            </w:r>
          </w:p>
          <w:p>
            <w:pPr>
              <w:bidi/>
              <w:spacing w:before="0" w:after="20" w:line="264" w:lineRule="auto"/>
              <w:jc w:val="right"/>
            </w:pPr>
            <w:r>
              <w:rPr>
                <w:rFonts w:ascii="Calibri Light" w:hAnsi="Calibri Light" w:cs="Calibri Light"/>
                <w:b w:val="0"/>
                <w:bCs w:val="0"/>
                <w:i w:val="0"/>
                <w:color w:val="203864"/>
                <w:sz w:val="19"/>
                <w:szCs w:val="19"/>
                <w:rtl/>
              </w:rPr>
              <w:t>اسم المُقوِّم: ....................................    |    الصفة: ( مرشد طلابي / وكيل / مشرف )</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بنود الملاحظة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6350"/>
        <w:gridCol w:w="1247"/>
        <w:gridCol w:w="1304"/>
        <w:gridCol w:w="1304"/>
      </w:tblGrid>
      <w:tr>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بند الملاحظة</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مطابق</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جزئيًا</w:t>
            </w:r>
          </w:p>
        </w:tc>
        <w:tc>
          <w:tcPr>
            <w:tcW w:type="dxa" w:w="2551"/>
            <w:shd w:val="clear" w:color="auto" w:fill="6AA84F"/>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مطابق</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توجد خطة توعوية سنوية معتمدة بمؤشرات حضور وتفاعل.</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تتنوع الوسائط: لقاءات، بطاقات، مقاطع، مسابقات.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تستهدف البرامج المتعلمين والهيئة التعليمية وأولياء الأمور.</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يُقاس أثر البرامج بالقياس القبلي/البعدي.</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تُوثَّق أعداد الحضور والتفاعل لكل برنامج.</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تُحيَّن البرامج وفق النتائج والملاحظات.</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r>
        <w:tc>
          <w:tcPr>
            <w:tcW w:type="dxa" w:w="2551"/>
            <w:tcMar>
              <w:top w:w="30" w:type="dxa"/>
              <w:left w:w="60" w:type="dxa"/>
              <w:bottom w:w="30" w:type="dxa"/>
              <w:right w:w="60" w:type="dxa"/>
            </w:tcMar>
          </w:tcPr>
          <w:p>
            <w:pPr>
              <w:bidi/>
              <w:spacing w:before="0" w:after="0" w:line="252" w:lineRule="auto"/>
              <w:jc w:val="right"/>
            </w:pPr>
            <w:r>
              <w:rPr>
                <w:rFonts w:ascii="Calibri Light" w:hAnsi="Calibri Light" w:cs="Calibri Light"/>
                <w:b w:val="0"/>
                <w:bCs w:val="0"/>
                <w:i w:val="0"/>
                <w:color w:val="203864"/>
                <w:sz w:val="19"/>
                <w:szCs w:val="19"/>
                <w:rtl/>
              </w:rPr>
              <w:t>تُستثمر المناسبات والطابور التوعوي في التوعية.</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c>
          <w:tcPr>
            <w:tcW w:type="dxa" w:w="2551"/>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203864"/>
                <w:sz w:val="22"/>
                <w:szCs w:val="22"/>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ملخص التقدير</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2551"/>
        <w:gridCol w:w="2551"/>
        <w:gridCol w:w="2551"/>
        <w:gridCol w:w="2551"/>
      </w:tblGrid>
      <w:tr>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عدد البنود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المطابقة جزئيًا</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غير المطابقة</w:t>
            </w:r>
          </w:p>
        </w:tc>
        <w:tc>
          <w:tcPr>
            <w:tcW w:type="dxa" w:w="2551"/>
            <w:shd w:val="clear" w:color="auto" w:fill="1F4E79"/>
            <w:tcMar>
              <w:top w:w="30" w:type="dxa"/>
              <w:left w:w="60" w:type="dxa"/>
              <w:bottom w:w="30" w:type="dxa"/>
              <w:right w:w="60" w:type="dxa"/>
            </w:tcMar>
          </w:tcPr>
          <w:p>
            <w:pPr>
              <w:bidi/>
              <w:spacing w:before="0" w:after="0" w:line="252" w:lineRule="auto"/>
              <w:jc w:val="center"/>
            </w:pPr>
            <w:r>
              <w:rPr>
                <w:rFonts w:ascii="Calibri Light" w:hAnsi="Calibri Light" w:cs="Calibri Light"/>
                <w:b/>
                <w:bCs w:val="1"/>
                <w:i w:val="0"/>
                <w:color w:val="FFFFFF"/>
                <w:sz w:val="18"/>
                <w:szCs w:val="18"/>
                <w:rtl/>
              </w:rPr>
              <w:t>النسبة الكلية</w:t>
            </w:r>
          </w:p>
        </w:tc>
      </w:tr>
      <w:tr>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c>
          <w:tcPr>
            <w:tcW w:type="dxa" w:w="2551"/>
            <w:tcMar>
              <w:top w:w="60" w:type="dxa"/>
              <w:left w:w="60" w:type="dxa"/>
              <w:bottom w:w="60" w:type="dxa"/>
              <w:right w:w="60" w:type="dxa"/>
            </w:tcMar>
          </w:tcPr>
          <w:p>
            <w:pPr>
              <w:bidi/>
              <w:spacing w:before="0" w:after="0" w:line="252" w:lineRule="auto"/>
              <w:jc w:val="center"/>
            </w:pPr>
            <w:r>
              <w:rPr>
                <w:rFonts w:ascii="Calibri Light" w:hAnsi="Calibri Light" w:cs="Calibri Light"/>
                <w:b w:val="0"/>
                <w:bCs w:val="0"/>
                <w:i w:val="0"/>
                <w:color w:val="203864"/>
                <w:sz w:val="20"/>
                <w:szCs w:val="20"/>
                <w:rtl/>
              </w:rPr>
              <w:t>..............</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التوصية والتوقيع</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203864"/>
                <w:sz w:val="19"/>
                <w:szCs w:val="19"/>
                <w:rtl/>
              </w:rPr>
              <w:t>التوصية:   ☐ مطابق    ☐ مطابق جزئيًا (تُعد خطة تحسين)    ☐ غير مطابق (تُعد خطة تدخل)</w:t>
            </w:r>
          </w:p>
          <w:p>
            <w:pPr>
              <w:bidi/>
              <w:spacing w:before="0" w:after="20" w:line="264" w:lineRule="auto"/>
              <w:jc w:val="right"/>
            </w:pPr>
            <w:r>
              <w:rPr>
                <w:rFonts w:ascii="Calibri Light" w:hAnsi="Calibri Light" w:cs="Calibri Light"/>
                <w:b w:val="0"/>
                <w:bCs w:val="0"/>
                <w:i w:val="0"/>
                <w:color w:val="203864"/>
                <w:sz w:val="18"/>
                <w:szCs w:val="18"/>
                <w:rtl/>
              </w:rPr>
              <w:t>ملاحظات المُقوِّم: ................................................................................................................................</w:t>
            </w:r>
          </w:p>
          <w:p>
            <w:pPr>
              <w:bidi/>
              <w:spacing w:before="0" w:after="20" w:line="264" w:lineRule="auto"/>
              <w:jc w:val="right"/>
            </w:pPr>
            <w:r>
              <w:rPr>
                <w:rFonts w:ascii="Calibri Light" w:hAnsi="Calibri Light" w:cs="Calibri Light"/>
                <w:b w:val="0"/>
                <w:bCs w:val="0"/>
                <w:i w:val="0"/>
                <w:color w:val="203864"/>
                <w:sz w:val="19"/>
                <w:szCs w:val="19"/>
                <w:rtl/>
              </w:rPr>
              <w:t>توقيع المُقوِّم: ......................        توقيع مدير المدرسة: ......................</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(ج): خطة العمل والتحديات — الإضاءة 2</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أولًا: خطة العمل المختصرة</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2041"/>
        <w:gridCol w:w="1361"/>
        <w:gridCol w:w="2721"/>
      </w:tblGrid>
      <w:tr>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الإجراء</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المسؤول</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المدة</w:t>
            </w:r>
          </w:p>
        </w:tc>
        <w:tc>
          <w:tcPr>
            <w:tcW w:type="dxa" w:w="2551"/>
            <w:shd w:val="clear" w:color="auto" w:fill="6AA84F"/>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مؤشر النجاح</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تحليل الاحتياج التوعوي باستبيان قصير.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أسبوعان</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الحاجات</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بناء الخطة التوعوية وتوزيعها على العام.</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3 أسابيع</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خطة معتمدة</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تنفيذ البرامج بالشراكة مع القادة الطلابيين.</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 الإعلام المدرسي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مستمر</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نسبة الإنجاز 90%+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لقاءات أولياء الأمور التوعوية.</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حضور 70%+</w:t>
            </w:r>
          </w:p>
        </w:tc>
      </w:tr>
      <w:tr>
        <w:tc>
          <w:tcPr>
            <w:tcW w:type="dxa" w:w="2551"/>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قياس الأثر وإصدار التقرير.</w:t>
            </w:r>
          </w:p>
        </w:tc>
        <w:tc>
          <w:tcPr>
            <w:tcW w:type="dxa" w:w="2551"/>
            <w:shd w:val="clear" w:color="auto" w:fill="F2F7EC"/>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203864"/>
                <w:sz w:val="18"/>
                <w:szCs w:val="18"/>
                <w:rtl/>
              </w:rPr>
              <w:t>المرشد الطلابي</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فصليًا</w:t>
            </w:r>
          </w:p>
        </w:tc>
        <w:tc>
          <w:tcPr>
            <w:tcW w:type="dxa" w:w="2551"/>
            <w:tcMar>
              <w:top w:w="30" w:type="dxa"/>
              <w:left w:w="80" w:type="dxa"/>
              <w:bottom w:w="30" w:type="dxa"/>
              <w:right w:w="80" w:type="dxa"/>
            </w:tcMar>
          </w:tcPr>
          <w:p>
            <w:pPr>
              <w:bidi/>
              <w:spacing w:before="0" w:after="0" w:line="252" w:lineRule="auto"/>
              <w:jc w:val="center"/>
            </w:pPr>
            <w:r>
              <w:rPr>
                <w:rFonts w:ascii="Calibri Light" w:hAnsi="Calibri Light" w:cs="Calibri Light"/>
                <w:b w:val="0"/>
                <w:bCs w:val="0"/>
                <w:i w:val="0"/>
                <w:color w:val="203864"/>
                <w:sz w:val="18"/>
                <w:szCs w:val="18"/>
                <w:rtl/>
              </w:rPr>
              <w:t>تقرير موثق</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ثانيًا: تحديات متوقعة وسبل التغلب</w:t>
      </w:r>
    </w:p>
    <w:tbl>
      <w:tblPr>
        <w:bidiVisual/>
        <w:tblW w:type="auto" w:w="0"/>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ook w:firstColumn="1" w:firstRow="1" w:lastColumn="0" w:lastRow="0" w:noHBand="0" w:noVBand="1" w:val="04A0"/>
      </w:tblPr>
      <w:tblGrid>
        <w:gridCol w:w="4082"/>
        <w:gridCol w:w="6123"/>
      </w:tblGrid>
      <w:tr>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التحدي المتوقع</w:t>
            </w:r>
          </w:p>
        </w:tc>
        <w:tc>
          <w:tcPr>
            <w:tcW w:type="dxa" w:w="5103"/>
            <w:shd w:val="clear" w:color="auto" w:fill="1F4E79"/>
            <w:tcMar>
              <w:top w:w="30" w:type="dxa"/>
              <w:left w:w="80" w:type="dxa"/>
              <w:bottom w:w="30" w:type="dxa"/>
              <w:right w:w="80" w:type="dxa"/>
            </w:tcMar>
          </w:tcPr>
          <w:p>
            <w:pPr>
              <w:bidi/>
              <w:spacing w:before="0" w:after="0" w:line="252" w:lineRule="auto"/>
              <w:jc w:val="center"/>
            </w:pPr>
            <w:r>
              <w:rPr>
                <w:rFonts w:ascii="Calibri Light" w:hAnsi="Calibri Light" w:cs="Calibri Light"/>
                <w:b/>
                <w:bCs w:val="1"/>
                <w:i w:val="0"/>
                <w:color w:val="FFFFFF"/>
                <w:sz w:val="18"/>
                <w:szCs w:val="18"/>
                <w:rtl/>
              </w:rPr>
              <w:t>سبل التغلب</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رتابة البرامج وضعف التفاعل.</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تجديد الأشكال وإشراك الطلاب في التصميم والتنفيذ.</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ضعف حضور الأسر.</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تنويع المواعيد والقنوات (حضور وعن بُعد).</w:t>
            </w:r>
          </w:p>
        </w:tc>
      </w:tr>
      <w:tr>
        <w:tc>
          <w:tcPr>
            <w:tcW w:type="dxa" w:w="5103"/>
            <w:shd w:val="clear" w:color="auto" w:fill="FBF3F3"/>
            <w:tcMar>
              <w:top w:w="30" w:type="dxa"/>
              <w:left w:w="80" w:type="dxa"/>
              <w:bottom w:w="30" w:type="dxa"/>
              <w:right w:w="80" w:type="dxa"/>
            </w:tcMar>
          </w:tcPr>
          <w:p>
            <w:pPr>
              <w:bidi/>
              <w:spacing w:before="0" w:after="0" w:line="252" w:lineRule="auto"/>
              <w:jc w:val="right"/>
            </w:pPr>
            <w:r>
              <w:rPr>
                <w:rFonts w:ascii="Calibri Light" w:hAnsi="Calibri Light" w:cs="Calibri Light"/>
                <w:b/>
                <w:bCs w:val="1"/>
                <w:i w:val="0"/>
                <w:color w:val="203864"/>
                <w:sz w:val="18"/>
                <w:szCs w:val="18"/>
                <w:rtl/>
              </w:rPr>
              <w:t>صعوبة قياس الأثر.</w:t>
            </w:r>
          </w:p>
        </w:tc>
        <w:tc>
          <w:tcPr>
            <w:tcW w:type="dxa" w:w="5103"/>
            <w:tcMar>
              <w:top w:w="30" w:type="dxa"/>
              <w:left w:w="80" w:type="dxa"/>
              <w:bottom w:w="30" w:type="dxa"/>
              <w:right w:w="80" w:type="dxa"/>
            </w:tcMar>
          </w:tcPr>
          <w:p>
            <w:pPr>
              <w:bidi/>
              <w:spacing w:before="0" w:after="0" w:line="252" w:lineRule="auto"/>
              <w:jc w:val="right"/>
            </w:pPr>
            <w:r>
              <w:rPr>
                <w:rFonts w:ascii="Calibri Light" w:hAnsi="Calibri Light" w:cs="Calibri Light"/>
                <w:b w:val="0"/>
                <w:bCs w:val="0"/>
                <w:i w:val="0"/>
                <w:color w:val="203864"/>
                <w:sz w:val="18"/>
                <w:szCs w:val="18"/>
                <w:rtl/>
              </w:rPr>
              <w:t>اعتماد أدوات قياس بسيطة وسريعة موحدة.</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ثالثًا: أسئلة التقويم الذاتي للمرشد الطلابي</w:t>
      </w:r>
    </w:p>
    <w:tbl>
      <w:tblPr>
        <w:bidiVisual/>
        <w:tblW w:type="auto" w:w="0"/>
        <w:tblBorders>
          <w:top w:val="single" w:sz="4" w:space="0" w:color="6AA84F"/>
          <w:left w:val="single" w:sz="4" w:space="0" w:color="6AA84F"/>
          <w:bottom w:val="single" w:sz="4" w:space="0" w:color="6AA84F"/>
          <w:right w:val="single" w:sz="4" w:space="0" w:color="6AA84F"/>
          <w:insideH w:val="single" w:sz="4" w:space="0" w:color="6AA84F"/>
          <w:insideV w:val="single" w:sz="4" w:space="0" w:color="6AA84F"/>
        </w:tblBorders>
        <w:tblLook w:firstColumn="1" w:firstRow="1" w:lastColumn="0" w:lastRow="0" w:noHBand="0" w:noVBand="1" w:val="04A0"/>
      </w:tblPr>
      <w:tblGrid>
        <w:gridCol w:w="10206"/>
      </w:tblGrid>
      <w:tr>
        <w:tc>
          <w:tcPr>
            <w:tcW w:type="dxa" w:w="10206"/>
            <w:shd w:val="clear" w:color="auto" w:fill="F2F7EC"/>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203864"/>
                <w:sz w:val="19"/>
                <w:szCs w:val="19"/>
                <w:rtl/>
              </w:rPr>
              <w:t>هل تستجيب البرامج لاحتياجات فعلية رُصدت ببيانات؟</w:t>
            </w:r>
          </w:p>
          <w:p>
            <w:pPr>
              <w:bidi/>
              <w:spacing w:before="0" w:after="20" w:line="264" w:lineRule="auto"/>
              <w:jc w:val="right"/>
            </w:pPr>
            <w:r>
              <w:rPr>
                <w:rFonts w:ascii="Calibri Light" w:hAnsi="Calibri Light" w:cs="Calibri Light"/>
                <w:b w:val="0"/>
                <w:bCs w:val="0"/>
                <w:i w:val="0"/>
                <w:color w:val="203864"/>
                <w:sz w:val="19"/>
                <w:szCs w:val="19"/>
                <w:rtl/>
              </w:rPr>
              <w:t>ما نسبة الأسر الذين وصلتهم الرسالة التوعوية فعلًا؟</w:t>
            </w:r>
          </w:p>
          <w:p>
            <w:pPr>
              <w:bidi/>
              <w:spacing w:before="0" w:after="20" w:line="264" w:lineRule="auto"/>
              <w:jc w:val="right"/>
            </w:pPr>
            <w:r>
              <w:rPr>
                <w:rFonts w:ascii="Calibri Light" w:hAnsi="Calibri Light" w:cs="Calibri Light"/>
                <w:b w:val="0"/>
                <w:bCs w:val="0"/>
                <w:i w:val="0"/>
                <w:color w:val="203864"/>
                <w:sz w:val="19"/>
                <w:szCs w:val="19"/>
                <w:rtl/>
              </w:rPr>
              <w:t>هل لدينا قياس أثر لكل برنامج أم للمجموع فقط؟</w:t>
            </w:r>
          </w:p>
        </w:tc>
      </w:tr>
    </w:tbl>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val="0"/>
                <w:bCs w:val="0"/>
                <w:i w:val="0"/>
                <w:color w:val="1F4E79"/>
                <w:sz w:val="17"/>
                <w:szCs w:val="17"/>
                <w:rtl/>
              </w:rPr>
              <w:t>إرشاد: يُراجع المرشد هذه الأسئلة شهريًا، ويوثّق الإجابات وخطوات التحسين في ملف التحسين المستمر.</w:t>
            </w:r>
          </w:p>
        </w:tc>
      </w:tr>
    </w:tbl>
    <w:p>
      <w:r>
        <w:br w:type="page"/>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0206"/>
      </w:tblGrid>
      <w:tr>
        <w:tc>
          <w:tcPr>
            <w:tcW w:type="dxa" w:w="10206"/>
            <w:shd w:val="clear" w:color="auto" w:fill="1F4E79"/>
            <w:tcMar>
              <w:top w:w="90" w:type="dxa"/>
              <w:left w:w="140" w:type="dxa"/>
              <w:bottom w:w="90" w:type="dxa"/>
              <w:right w:w="140" w:type="dxa"/>
            </w:tcMar>
          </w:tcPr>
          <w:p>
            <w:pPr>
              <w:bidi/>
              <w:spacing w:before="0" w:after="0" w:line="264" w:lineRule="auto"/>
              <w:jc w:val="right"/>
            </w:pPr>
            <w:r>
              <w:rPr>
                <w:rFonts w:ascii="Calibri Light" w:hAnsi="Calibri Light" w:cs="Calibri Light"/>
                <w:b/>
                <w:bCs w:val="1"/>
                <w:i w:val="0"/>
                <w:color w:val="FFFFFF"/>
                <w:sz w:val="24"/>
                <w:szCs w:val="24"/>
                <w:rtl/>
              </w:rPr>
              <w:t>ملحق (د): دراسة حالة وخبرة تطبيقية — الإضاءة 2</w:t>
            </w:r>
          </w:p>
        </w:tc>
      </w:tr>
    </w:tbl>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السياق</w:t>
      </w:r>
    </w:p>
    <w:p>
      <w:pPr>
        <w:bidi/>
        <w:spacing w:before="0" w:after="60" w:line="276" w:lineRule="auto"/>
        <w:jc w:val="right"/>
      </w:pPr>
      <w:r>
        <w:rPr>
          <w:rFonts w:ascii="Calibri Light" w:hAnsi="Calibri Light" w:cs="Calibri Light"/>
          <w:b w:val="0"/>
          <w:bCs w:val="0"/>
          <w:i w:val="0"/>
          <w:color w:val="203864"/>
          <w:sz w:val="20"/>
          <w:szCs w:val="20"/>
          <w:rtl/>
        </w:rPr>
        <w:t>ارتفعت المخالفات السلوكية المتكررة في مدرسة ابتدائية، واتضح من استبيان سريع أن أغلب المتعلمين وأولياء الأمور لا يعرفون لائحة قواعد السلوك والمواظبة، وأن التوعية تقتصر على تعميم مكتوب في بداية العام.</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الإجراءات المتخذة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1 - </w:t>
      </w:r>
      <w:r>
        <w:rPr>
          <w:rFonts w:ascii="Calibri Light" w:hAnsi="Calibri Light" w:cs="Calibri Light"/>
          <w:b w:val="0"/>
          <w:bCs w:val="0"/>
          <w:i w:val="0"/>
          <w:color w:val="203864"/>
          <w:sz w:val="20"/>
          <w:szCs w:val="20"/>
          <w:rtl/>
        </w:rPr>
        <w:t>أطلق المرشد برنامج «وعي وانضباط» بخطة متدرجة على فترات العام.</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2 - </w:t>
      </w:r>
      <w:r>
        <w:rPr>
          <w:rFonts w:ascii="Calibri Light" w:hAnsi="Calibri Light" w:cs="Calibri Light"/>
          <w:b w:val="0"/>
          <w:bCs w:val="0"/>
          <w:i w:val="0"/>
          <w:color w:val="203864"/>
          <w:sz w:val="20"/>
          <w:szCs w:val="20"/>
          <w:rtl/>
        </w:rPr>
        <w:t>نوّع الوسائل: لقاءات قصيرة، بطاقات إرشادية، مسابقات، مقاطع مرئية قصيرة.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3 - </w:t>
      </w:r>
      <w:r>
        <w:rPr>
          <w:rFonts w:ascii="Calibri Light" w:hAnsi="Calibri Light" w:cs="Calibri Light"/>
          <w:b w:val="0"/>
          <w:bCs w:val="0"/>
          <w:i w:val="0"/>
          <w:color w:val="203864"/>
          <w:sz w:val="20"/>
          <w:szCs w:val="20"/>
          <w:rtl/>
        </w:rPr>
        <w:t>خصص لقاءين فصليين لأولياء الأمور مع نشرة مصوّرة بلغة مبسطة.</w:t>
      </w:r>
    </w:p>
    <w:p>
      <w:pPr>
        <w:bidi/>
        <w:spacing w:before="0" w:after="40" w:line="269" w:lineRule="auto"/>
        <w:ind w:right="283" w:hanging="283"/>
        <w:jc w:val="right"/>
      </w:pPr>
      <w:r>
        <w:rPr>
          <w:rFonts w:ascii="Calibri Light" w:hAnsi="Calibri Light" w:cs="Calibri Light"/>
          <w:b/>
          <w:bCs w:val="1"/>
          <w:i w:val="0"/>
          <w:color w:val="6AA84F"/>
          <w:sz w:val="20"/>
          <w:szCs w:val="20"/>
          <w:rtl/>
        </w:rPr>
        <w:t xml:space="preserve">4 - </w:t>
      </w:r>
      <w:r>
        <w:rPr>
          <w:rFonts w:ascii="Calibri Light" w:hAnsi="Calibri Light" w:cs="Calibri Light"/>
          <w:b w:val="0"/>
          <w:bCs w:val="0"/>
          <w:i w:val="0"/>
          <w:color w:val="203864"/>
          <w:sz w:val="20"/>
          <w:szCs w:val="20"/>
          <w:rtl/>
        </w:rPr>
        <w:t>استثمر أسبوع الانضباط والطابور التوعوي في الترسيخ.</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النتائج المحققة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وصول الرسالة التوعوية إلى أكثر من 92% من المتعلمين والأسر.</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انخفاض المخالفات المتكررة بنسبة تتجاوز 30% خلال الفصل.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نتيجة: </w:t>
      </w:r>
      <w:r>
        <w:rPr>
          <w:rFonts w:ascii="Calibri Light" w:hAnsi="Calibri Light" w:cs="Calibri Light"/>
          <w:b w:val="0"/>
          <w:bCs w:val="0"/>
          <w:i w:val="0"/>
          <w:color w:val="203864"/>
          <w:sz w:val="20"/>
          <w:szCs w:val="20"/>
          <w:rtl/>
        </w:rPr>
        <w:t>تفاعل ملحوظ في اللقاءات والمسابقات وارتفاع أعداد الحضور.</w:t>
      </w:r>
    </w:p>
    <w:p>
      <w:pPr>
        <w:shd w:val="clear" w:color="auto" w:fill="6AA84F"/>
        <w:bidi/>
        <w:spacing w:before="100" w:after="60" w:line="252" w:lineRule="auto"/>
        <w:ind w:left="68" w:right="68"/>
        <w:jc w:val="right"/>
      </w:pPr>
      <w:r>
        <w:rPr>
          <w:rFonts w:ascii="Calibri Light" w:hAnsi="Calibri Light" w:cs="Calibri Light"/>
          <w:b/>
          <w:bCs w:val="1"/>
          <w:i w:val="0"/>
          <w:color w:val="FFFFFF"/>
          <w:sz w:val="21"/>
          <w:szCs w:val="21"/>
          <w:rtl/>
        </w:rPr>
        <w:t xml:space="preserve">  الدروس المستفادة</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الوعي يسبق الجزاء: من فهم القاعدة التزم بها طوعًا.</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تنويع الوسائط يوسّع التغطية ويقلل الملل.</w:t>
      </w:r>
    </w:p>
    <w:p>
      <w:pPr>
        <w:bidi/>
        <w:spacing w:before="0" w:after="40" w:line="269" w:lineRule="auto"/>
        <w:ind w:right="198" w:hanging="198"/>
        <w:jc w:val="right"/>
      </w:pPr>
      <w:r>
        <w:rPr>
          <w:rFonts w:ascii="Calibri Light" w:hAnsi="Calibri Light" w:cs="Calibri Light"/>
          <w:b/>
          <w:bCs w:val="1"/>
          <w:i w:val="0"/>
          <w:color w:val="6AA84F"/>
          <w:sz w:val="20"/>
          <w:szCs w:val="20"/>
          <w:rtl/>
        </w:rPr>
        <w:t xml:space="preserve">◆ </w:t>
      </w:r>
      <w:r>
        <w:rPr>
          <w:rFonts w:ascii="Calibri Light" w:hAnsi="Calibri Light" w:cs="Calibri Light"/>
          <w:b/>
          <w:bCs w:val="1"/>
          <w:i w:val="0"/>
          <w:color w:val="1F4E79"/>
          <w:sz w:val="20"/>
          <w:szCs w:val="20"/>
          <w:rtl/>
        </w:rPr>
        <w:t xml:space="preserve">درس: </w:t>
      </w:r>
      <w:r>
        <w:rPr>
          <w:rFonts w:ascii="Calibri Light" w:hAnsi="Calibri Light" w:cs="Calibri Light"/>
          <w:b w:val="0"/>
          <w:bCs w:val="0"/>
          <w:i w:val="0"/>
          <w:color w:val="203864"/>
          <w:sz w:val="20"/>
          <w:szCs w:val="20"/>
          <w:rtl/>
        </w:rPr>
        <w:t>الأسرة شريك أساسي: الرسالة الموحّدة بين البيت والمدرسة تضاعف الأثر.</w:t>
      </w:r>
    </w:p>
    <w:tbl>
      <w:tblPr>
        <w:bidiVisual/>
        <w:tblW w:type="auto" w:w="0"/>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firstColumn="1" w:firstRow="1" w:lastColumn="0" w:lastRow="0" w:noHBand="0" w:noVBand="1" w:val="04A0"/>
      </w:tblPr>
      <w:tblGrid>
        <w:gridCol w:w="10206"/>
      </w:tblGrid>
      <w:tr>
        <w:tc>
          <w:tcPr>
            <w:tcW w:type="dxa" w:w="10206"/>
            <w:shd w:val="clear" w:color="auto" w:fill="EDF3F8"/>
            <w:tcMar>
              <w:top w:w="50" w:type="dxa"/>
              <w:left w:w="100" w:type="dxa"/>
              <w:bottom w:w="50" w:type="dxa"/>
              <w:right w:w="100" w:type="dxa"/>
            </w:tcMar>
          </w:tcPr>
          <w:p>
            <w:pPr>
              <w:bidi/>
              <w:spacing w:before="0" w:after="20" w:line="264" w:lineRule="auto"/>
              <w:jc w:val="right"/>
            </w:pPr>
            <w:r>
              <w:rPr>
                <w:rFonts w:ascii="Calibri Light" w:hAnsi="Calibri Light" w:cs="Calibri Light"/>
                <w:b/>
                <w:bCs w:val="1"/>
                <w:i w:val="0"/>
                <w:color w:val="1F4E79"/>
                <w:sz w:val="18"/>
                <w:szCs w:val="18"/>
                <w:rtl/>
              </w:rPr>
              <w:t>إمكانية التعميم:</w:t>
            </w:r>
          </w:p>
          <w:p>
            <w:pPr>
              <w:bidi/>
              <w:spacing w:before="0" w:after="20" w:line="264" w:lineRule="auto"/>
              <w:jc w:val="right"/>
            </w:pPr>
            <w:r>
              <w:rPr>
                <w:rFonts w:ascii="Calibri Light" w:hAnsi="Calibri Light" w:cs="Calibri Light"/>
                <w:b w:val="0"/>
                <w:bCs w:val="0"/>
                <w:i w:val="0"/>
                <w:color w:val="203864"/>
                <w:sz w:val="19"/>
                <w:szCs w:val="19"/>
                <w:rtl/>
              </w:rPr>
              <w:t>النموذج قابل للتعميم بتجزئة الخطة على فترات العام، واعتماد وسيلة توعوية واحدة على الأقل أسبوعيًا، مع قياس أثر مبسط قبل/بعد.</w:t>
            </w:r>
          </w:p>
        </w:tc>
      </w:tr>
    </w:tbl>
    <w:sectPr w:rsidR="00FC693F" w:rsidRPr="0006063C" w:rsidSect="00034616">
      <w:headerReference w:type="default" r:id="rId9"/>
      <w:footerReference w:type="default" r:id="rId10"/>
      <w:pgSz w:w="11906" w:h="16838"/>
      <w:pgMar w:top="2013" w:right="850" w:bottom="1786" w:left="850"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175"/>
      <w:gridCol w:w="3969"/>
      <w:gridCol w:w="3061"/>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531"/>
            <w:gridCol w:w="1531"/>
          </w:tblGrid>
          <w:tr>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A60000"/>
                    <w:sz w:val="14"/>
                    <w:szCs w:val="14"/>
                    <w:rtl/>
                  </w:rPr>
                  <w:t>ISO 9001:2015</w:t>
                </w:r>
              </w:p>
              <w:p>
                <w:pPr>
                  <w:bidi/>
                  <w:spacing w:before="0" w:after="0" w:line="240" w:lineRule="auto"/>
                  <w:jc w:val="center"/>
                </w:pPr>
                <w:r>
                  <w:rPr>
                    <w:rFonts w:ascii="Calibri Light" w:hAnsi="Calibri Light" w:cs="Calibri Light"/>
                    <w:b w:val="0"/>
                    <w:bCs w:val="0"/>
                    <w:i w:val="0"/>
                    <w:color w:val="595959"/>
                    <w:sz w:val="11"/>
                    <w:szCs w:val="11"/>
                    <w:rtl/>
                  </w:rPr>
                  <w:t>CERTIFIED</w:t>
                </w:r>
              </w:p>
            </w:tc>
            <w:tc>
              <w:tcPr>
                <w:tcW w:type="dxa" w:w="1701"/>
                <w:tcBorders>
                  <w:top w:val="single" w:sz="4" w:space="0" w:color="BFBFBF"/>
                  <w:left w:val="single" w:sz="4" w:space="0" w:color="BFBFBF"/>
                  <w:bottom w:val="single" w:sz="4" w:space="0" w:color="BFBFBF"/>
                  <w:right w:val="single" w:sz="4" w:space="0" w:color="BFBFBF"/>
                </w:tcBorders>
                <w:tcMar>
                  <w:top w:w="20" w:type="dxa"/>
                  <w:left w:w="40" w:type="dxa"/>
                  <w:bottom w:w="20" w:type="dxa"/>
                  <w:right w:w="40" w:type="dxa"/>
                </w:tcMar>
              </w:tcPr>
              <w:p>
                <w:pPr>
                  <w:bidi/>
                  <w:spacing w:before="0" w:after="0" w:line="240" w:lineRule="auto"/>
                  <w:jc w:val="center"/>
                </w:pPr>
                <w:r>
                  <w:rPr>
                    <w:rFonts w:ascii="Calibri Light" w:hAnsi="Calibri Light" w:cs="Calibri Light"/>
                    <w:b/>
                    <w:bCs w:val="1"/>
                    <w:i w:val="0"/>
                    <w:color w:val="1F4E79"/>
                    <w:sz w:val="14"/>
                    <w:szCs w:val="14"/>
                    <w:rtl/>
                  </w:rPr>
                  <w:t>AiAA</w:t>
                </w:r>
              </w:p>
              <w:p>
                <w:pPr>
                  <w:bidi/>
                  <w:spacing w:before="0" w:after="0" w:line="240" w:lineRule="auto"/>
                  <w:jc w:val="center"/>
                </w:pPr>
                <w:r>
                  <w:rPr>
                    <w:rFonts w:ascii="Calibri Light" w:hAnsi="Calibri Light" w:cs="Calibri Light"/>
                    <w:b w:val="0"/>
                    <w:bCs w:val="0"/>
                    <w:i w:val="0"/>
                    <w:color w:val="595959"/>
                    <w:sz w:val="11"/>
                    <w:szCs w:val="11"/>
                    <w:rtl/>
                  </w:rPr>
                  <w:t>اعتماد دولي</w:t>
                </w:r>
              </w:p>
            </w:tc>
          </w:tr>
        </w:tbl>
        <w:p/>
      </w:tc>
      <w:tc>
        <w:tcPr>
          <w:tcW w:type="dxa" w:w="3402"/>
          <w:tcMar>
            <w:top w:w="0" w:type="dxa"/>
            <w:left w:w="0" w:type="dxa"/>
            <w:bottom w:w="0" w:type="dxa"/>
            <w:right w:w="0" w:type="dxa"/>
          </w:tcMar>
        </w:tcPr>
        <w:p>
          <w:pPr>
            <w:bidi/>
            <w:spacing w:before="0" w:after="20" w:line="240" w:lineRule="auto"/>
            <w:jc w:val="center"/>
          </w:pPr>
          <w:r>
            <w:rPr>
              <w:rFonts w:ascii="Calibri Light" w:hAnsi="Calibri Light" w:cs="Calibri Light"/>
              <w:b/>
              <w:bCs w:val="1"/>
              <w:i w:val="0"/>
              <w:color w:val="1F4E79"/>
              <w:sz w:val="17"/>
              <w:szCs w:val="17"/>
              <w:rtl/>
            </w:rPr>
            <w:t>التعليم المتقـدم يبنـي ...</w:t>
          </w: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247"/>
            <w:gridCol w:w="1247"/>
            <w:gridCol w:w="1247"/>
          </w:tblGrid>
          <w:tr>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1" name="Picture 1"/>
                      <wp:cNvGraphicFramePr>
                        <a:graphicFrameLocks noChangeAspect="1"/>
                      </wp:cNvGraphicFramePr>
                      <a:graphic>
                        <a:graphicData uri="http://schemas.openxmlformats.org/drawingml/2006/picture">
                          <pic:pic>
                            <pic:nvPicPr>
                              <pic:cNvPr id="0" name="icon_person.png"/>
                              <pic:cNvPicPr/>
                            </pic:nvPicPr>
                            <pic:blipFill>
                              <a:blip r:embed="rId1"/>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المعرفة</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2" name="Picture 2"/>
                      <wp:cNvGraphicFramePr>
                        <a:graphicFrameLocks noChangeAspect="1"/>
                      </wp:cNvGraphicFramePr>
                      <a:graphic>
                        <a:graphicData uri="http://schemas.openxmlformats.org/drawingml/2006/picture">
                          <pic:pic>
                            <pic:nvPicPr>
                              <pic:cNvPr id="0" name="icon_chart.png"/>
                              <pic:cNvPicPr/>
                            </pic:nvPicPr>
                            <pic:blipFill>
                              <a:blip r:embed="rId2"/>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التكنولوجيا</w:t>
                </w:r>
              </w:p>
            </w:tc>
            <w:tc>
              <w:tcPr>
                <w:tcW w:type="dxa" w:w="1134"/>
                <w:tcMar>
                  <w:top w:w="0" w:type="dxa"/>
                  <w:left w:w="0" w:type="dxa"/>
                  <w:bottom w:w="0" w:type="dxa"/>
                  <w:right w:w="0" w:type="dxa"/>
                </w:tcMar>
              </w:tcPr>
              <w:p>
                <w:pPr>
                  <w:bidi/>
                  <w:spacing w:before="0" w:after="0" w:line="240" w:lineRule="auto"/>
                  <w:jc w:val="center"/>
                </w:pPr>
                <w:r>
                  <w:drawing>
                    <wp:inline xmlns:a="http://schemas.openxmlformats.org/drawingml/2006/main" xmlns:pic="http://schemas.openxmlformats.org/drawingml/2006/picture">
                      <wp:extent cx="198000" cy="198000"/>
                      <wp:docPr id="3" name="Picture 3"/>
                      <wp:cNvGraphicFramePr>
                        <a:graphicFrameLocks noChangeAspect="1"/>
                      </wp:cNvGraphicFramePr>
                      <a:graphic>
                        <a:graphicData uri="http://schemas.openxmlformats.org/drawingml/2006/picture">
                          <pic:pic>
                            <pic:nvPicPr>
                              <pic:cNvPr id="0" name="icon_atom.png"/>
                              <pic:cNvPicPr/>
                            </pic:nvPicPr>
                            <pic:blipFill>
                              <a:blip r:embed="rId3"/>
                              <a:stretch>
                                <a:fillRect/>
                              </a:stretch>
                            </pic:blipFill>
                            <pic:spPr>
                              <a:xfrm>
                                <a:off x="0" y="0"/>
                                <a:ext cx="198000" cy="198000"/>
                              </a:xfrm>
                              <a:prstGeom prst="rect"/>
                            </pic:spPr>
                          </pic:pic>
                        </a:graphicData>
                      </a:graphic>
                    </wp:inline>
                  </w:drawing>
                </w:r>
              </w:p>
              <w:p>
                <w:pPr>
                  <w:bidi/>
                  <w:spacing w:before="0" w:after="0" w:line="240" w:lineRule="auto"/>
                  <w:jc w:val="center"/>
                </w:pPr>
                <w:r>
                  <w:rPr>
                    <w:rFonts w:ascii="Calibri Light" w:hAnsi="Calibri Light" w:cs="Calibri Light"/>
                    <w:b w:val="0"/>
                    <w:bCs w:val="0"/>
                    <w:i w:val="0"/>
                    <w:color w:val="595959"/>
                    <w:sz w:val="11"/>
                    <w:szCs w:val="11"/>
                    <w:rtl/>
                  </w:rPr>
                  <w:t>العلوم</w:t>
                </w:r>
              </w:p>
            </w:tc>
          </w:tr>
        </w:tbl>
        <w:p/>
      </w:tc>
      <w:tc>
        <w:tcPr>
          <w:tcW w:type="dxa" w:w="3402"/>
          <w:tcMar>
            <w:top w:w="0" w:type="dxa"/>
            <w:left w:w="0" w:type="dxa"/>
            <w:bottom w:w="0" w:type="dxa"/>
            <w:right w:w="0" w:type="dxa"/>
          </w:tcMar>
        </w:tcPr>
        <w:p>
          <w:pPr>
            <w:bidi/>
            <w:spacing w:before="0" w:after="0" w:line="264" w:lineRule="auto"/>
            <w:jc w:val="center"/>
          </w:pPr>
          <w:r>
            <w:rPr>
              <w:rFonts w:ascii="Calibri Light" w:hAnsi="Calibri Light" w:cs="Calibri Light"/>
              <w:b/>
              <w:bCs w:val="1"/>
              <w:i w:val="0"/>
              <w:color w:val="1F4E79"/>
              <w:sz w:val="16"/>
              <w:szCs w:val="16"/>
              <w:rtl/>
            </w:rPr>
            <w:t xml:space="preserve">f   X   ◎   </w:t>
          </w:r>
          <w:r>
            <w:rPr>
              <w:rFonts w:ascii="Calibri Light" w:hAnsi="Calibri Light" w:cs="Calibri Light"/>
              <w:b/>
              <w:bCs w:val="1"/>
              <w:i w:val="0"/>
              <w:color w:val="1F4E79"/>
              <w:sz w:val="16"/>
              <w:szCs w:val="16"/>
              <w:rtl/>
            </w:rPr>
            <w:t>Ajailyanbu</w:t>
          </w:r>
        </w:p>
        <w:p>
          <w:pPr>
            <w:bidi/>
            <w:spacing w:before="0" w:after="0" w:line="264" w:lineRule="auto"/>
            <w:jc w:val="center"/>
          </w:pPr>
          <w:r>
            <w:rPr>
              <w:rFonts w:ascii="Calibri Light" w:hAnsi="Calibri Light" w:cs="Calibri Light"/>
              <w:b/>
              <w:bCs w:val="1"/>
              <w:i w:val="0"/>
              <w:color w:val="6AA84F"/>
              <w:sz w:val="16"/>
              <w:szCs w:val="16"/>
              <w:rtl/>
            </w:rPr>
            <w:t xml:space="preserve">☎   </w:t>
          </w:r>
          <w:r>
            <w:rPr>
              <w:rFonts w:ascii="Calibri Light" w:hAnsi="Calibri Light" w:cs="Calibri Light"/>
              <w:b w:val="0"/>
              <w:bCs w:val="0"/>
              <w:i w:val="0"/>
              <w:color w:val="1F4E79"/>
              <w:sz w:val="16"/>
              <w:szCs w:val="16"/>
              <w:rtl/>
            </w:rPr>
            <w:t>Nabualmarifa.edu.sa</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6520"/>
      <w:gridCol w:w="3685"/>
    </w:tblGrid>
    <w:tr>
      <w:tc>
        <w:tcPr>
          <w:tcW w:type="dxa" w:w="51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51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969"/>
      <w:gridCol w:w="3402"/>
      <w:gridCol w:w="2835"/>
    </w:tblGrid>
    <w:tr>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891"/>
            <w:gridCol w:w="964"/>
          </w:tblGrid>
          <w:tr>
            <w:tc>
              <w:tcPr>
                <w:tcW w:type="dxa" w:w="1701"/>
                <w:tcMar>
                  <w:top w:w="0" w:type="dxa"/>
                  <w:left w:w="0" w:type="dxa"/>
                  <w:bottom w:w="0" w:type="dxa"/>
                  <w:right w:w="0" w:type="dxa"/>
                </w:tcMar>
              </w:tcPr>
              <w:p>
                <w:pPr>
                  <w:bidi/>
                  <w:spacing w:before="0" w:after="0" w:line="240" w:lineRule="auto"/>
                  <w:jc w:val="right"/>
                </w:pPr>
                <w:r>
                  <w:rPr>
                    <w:rFonts w:ascii="Calibri Light" w:hAnsi="Calibri Light" w:cs="Calibri Light"/>
                    <w:b/>
                    <w:bCs w:val="1"/>
                    <w:i w:val="0"/>
                    <w:color w:val="2E7D32"/>
                    <w:sz w:val="20"/>
                    <w:szCs w:val="20"/>
                    <w:rtl/>
                  </w:rPr>
                  <w:t>المملكة العربية السعودية</w:t>
                </w:r>
              </w:p>
              <w:p>
                <w:pPr>
                  <w:bidi/>
                  <w:spacing w:before="0" w:after="0" w:line="240" w:lineRule="auto"/>
                  <w:jc w:val="right"/>
                </w:pPr>
                <w:r>
                  <w:rPr>
                    <w:rFonts w:ascii="Calibri Light" w:hAnsi="Calibri Light" w:cs="Calibri Light"/>
                    <w:b/>
                    <w:bCs w:val="1"/>
                    <w:i w:val="0"/>
                    <w:color w:val="203864"/>
                    <w:sz w:val="17"/>
                    <w:szCs w:val="17"/>
                    <w:rtl/>
                  </w:rPr>
                  <w:t>وزارة التعليم</w:t>
                </w:r>
              </w:p>
              <w:p>
                <w:pPr>
                  <w:bidi/>
                  <w:spacing w:before="0" w:after="0" w:line="240" w:lineRule="auto"/>
                  <w:jc w:val="right"/>
                </w:pPr>
                <w:r>
                  <w:rPr>
                    <w:rFonts w:ascii="Calibri Light" w:hAnsi="Calibri Light" w:cs="Calibri Light"/>
                    <w:b w:val="0"/>
                    <w:bCs w:val="0"/>
                    <w:i w:val="0"/>
                    <w:color w:val="203864"/>
                    <w:sz w:val="15"/>
                    <w:szCs w:val="15"/>
                    <w:rtl/>
                  </w:rPr>
                  <w:t>الإدارة العامة للتعليم</w:t>
                </w:r>
              </w:p>
              <w:p>
                <w:pPr>
                  <w:bidi/>
                  <w:spacing w:before="0" w:after="0" w:line="240" w:lineRule="auto"/>
                  <w:jc w:val="right"/>
                </w:pPr>
                <w:r>
                  <w:rPr>
                    <w:rFonts w:ascii="Calibri Light" w:hAnsi="Calibri Light" w:cs="Calibri Light"/>
                    <w:b w:val="0"/>
                    <w:bCs w:val="0"/>
                    <w:i w:val="0"/>
                    <w:color w:val="203864"/>
                    <w:sz w:val="15"/>
                    <w:szCs w:val="15"/>
                    <w:rtl/>
                  </w:rPr>
                  <w:t>مكتب التعليم</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mark_ksa.png"/>
                              <pic:cNvPicPr/>
                            </pic:nvPicPr>
                            <pic:blipFill>
                              <a:blip r:embed="rId1"/>
                              <a:stretch>
                                <a:fillRect/>
                              </a:stretch>
                            </pic:blipFill>
                            <pic:spPr>
                              <a:xfrm>
                                <a:off x="0" y="0"/>
                                <a:ext cx="540000" cy="540000"/>
                              </a:xfrm>
                              <a:prstGeom prst="rect"/>
                            </pic:spPr>
                          </pic:pic>
                        </a:graphicData>
                      </a:graphic>
                    </wp:inline>
                  </w:drawing>
                </w:r>
              </w:p>
            </w:tc>
          </w:tr>
        </w:tbl>
        <w:p/>
      </w:tc>
      <w:tc>
        <w:tcPr>
          <w:tcW w:type="dxa" w:w="3402"/>
          <w:tcMar>
            <w:top w:w="0" w:type="dxa"/>
            <w:left w:w="0" w:type="dxa"/>
            <w:bottom w:w="0" w:type="dxa"/>
            <w:right w:w="0" w:type="dxa"/>
          </w:tcMar>
        </w:tcPr>
        <w:p/>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2268"/>
            <w:gridCol w:w="1020"/>
          </w:tblGrid>
          <w:tr>
            <w:tc>
              <w:tcPr>
                <w:tcW w:type="dxa" w:w="1701"/>
                <w:tcMar>
                  <w:top w:w="0" w:type="dxa"/>
                  <w:left w:w="0" w:type="dxa"/>
                  <w:bottom w:w="0" w:type="dxa"/>
                  <w:right w:w="0" w:type="dxa"/>
                </w:tcMar>
              </w:tcPr>
              <w:p>
                <w:pPr>
                  <w:bidi/>
                  <w:spacing w:before="0" w:after="0" w:line="276" w:lineRule="auto"/>
                  <w:jc w:val="right"/>
                </w:pPr>
                <w:r>
                  <w:rPr>
                    <w:rFonts w:ascii="Calibri Light" w:hAnsi="Calibri Light" w:cs="Calibri Light"/>
                    <w:b/>
                    <w:bCs w:val="1"/>
                    <w:i w:val="0"/>
                    <w:color w:val="1F4E79"/>
                    <w:sz w:val="22"/>
                    <w:szCs w:val="22"/>
                    <w:rtl/>
                  </w:rPr>
                  <w:t>مـدارس أجـيال للبنـات المـتـميزة</w:t>
                </w:r>
              </w:p>
            </w:tc>
            <w:tc>
              <w:tcPr>
                <w:tcW w:type="dxa" w:w="1701"/>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576000" cy="576000"/>
                      <wp:docPr id="2" name="Picture 2"/>
                      <wp:cNvGraphicFramePr>
                        <a:graphicFrameLocks noChangeAspect="1"/>
                      </wp:cNvGraphicFramePr>
                      <a:graphic>
                        <a:graphicData uri="http://schemas.openxmlformats.org/drawingml/2006/picture">
                          <pic:pic>
                            <pic:nvPicPr>
                              <pic:cNvPr id="0" name="mark_ajyal.png"/>
                              <pic:cNvPicPr/>
                            </pic:nvPicPr>
                            <pic:blipFill>
                              <a:blip r:embed="rId2"/>
                              <a:stretch>
                                <a:fillRect/>
                              </a:stretch>
                            </pic:blipFill>
                            <pic:spPr>
                              <a:xfrm>
                                <a:off x="0" y="0"/>
                                <a:ext cx="576000" cy="576000"/>
                              </a:xfrm>
                              <a:prstGeom prst="rect"/>
                            </pic:spPr>
                          </pic:pic>
                        </a:graphicData>
                      </a:graphic>
                    </wp:inline>
                  </w:drawing>
                </w:r>
              </w:p>
            </w:tc>
          </w:tr>
        </w:tbl>
        <w:p/>
      </w:tc>
      <w:tc>
        <w:tcPr>
          <w:tcW w:type="dxa" w:w="3402"/>
          <w:tcMar>
            <w:top w:w="0" w:type="dxa"/>
            <w:left w:w="0" w:type="dxa"/>
            <w:bottom w:w="0" w:type="dxa"/>
            <w:right w:w="0" w:type="dxa"/>
          </w:tcMar>
        </w:tcPr>
        <w:p>
          <w:pPr>
            <w:bidi/>
            <w:spacing w:before="0" w:after="0" w:line="252" w:lineRule="auto"/>
            <w:jc w:val="center"/>
          </w:pPr>
          <w:r>
            <w:drawing>
              <wp:inline xmlns:a="http://schemas.openxmlformats.org/drawingml/2006/main" xmlns:pic="http://schemas.openxmlformats.org/drawingml/2006/picture">
                <wp:extent cx="396000" cy="396000"/>
                <wp:docPr id="3" name="Picture 3"/>
                <wp:cNvGraphicFramePr>
                  <a:graphicFrameLocks noChangeAspect="1"/>
                </wp:cNvGraphicFramePr>
                <a:graphic>
                  <a:graphicData uri="http://schemas.openxmlformats.org/drawingml/2006/picture">
                    <pic:pic>
                      <pic:nvPicPr>
                        <pic:cNvPr id="0" name="mark_dev.png"/>
                        <pic:cNvPicPr/>
                      </pic:nvPicPr>
                      <pic:blipFill>
                        <a:blip r:embed="rId3"/>
                        <a:stretch>
                          <a:fillRect/>
                        </a:stretch>
                      </pic:blipFill>
                      <pic:spPr>
                        <a:xfrm>
                          <a:off x="0" y="0"/>
                          <a:ext cx="396000" cy="396000"/>
                        </a:xfrm>
                        <a:prstGeom prst="rect"/>
                      </pic:spPr>
                    </pic:pic>
                  </a:graphicData>
                </a:graphic>
              </wp:inline>
            </w:drawing>
          </w:r>
        </w:p>
        <w:p>
          <w:pPr>
            <w:bidi/>
            <w:spacing w:before="0" w:after="0" w:line="240" w:lineRule="auto"/>
            <w:jc w:val="center"/>
          </w:pPr>
          <w:r>
            <w:rPr>
              <w:rFonts w:ascii="Calibri Light" w:hAnsi="Calibri Light" w:cs="Calibri Light"/>
              <w:b/>
              <w:bCs w:val="1"/>
              <w:i w:val="0"/>
              <w:color w:val="1F4E79"/>
              <w:sz w:val="18"/>
              <w:szCs w:val="18"/>
              <w:rtl/>
            </w:rPr>
            <w:t>التنمية المتكاملة</w:t>
          </w:r>
        </w:p>
        <w:p>
          <w:pPr>
            <w:bidi/>
            <w:spacing w:before="0" w:after="0" w:line="240" w:lineRule="auto"/>
            <w:jc w:val="center"/>
          </w:pPr>
          <w:r>
            <w:rPr>
              <w:rFonts w:ascii="Calibri Light" w:hAnsi="Calibri Light" w:cs="Calibri Light"/>
              <w:b w:val="0"/>
              <w:bCs w:val="0"/>
              <w:i w:val="0"/>
              <w:color w:val="595959"/>
              <w:sz w:val="13"/>
              <w:szCs w:val="13"/>
              <w:rtl/>
            </w:rPr>
            <w:t>Integrated Developments</w:t>
          </w:r>
        </w:p>
      </w:tc>
    </w:tr>
  </w:tbl>
  <w:tbl>
    <w:tblPr>
      <w:bidiVisual/>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1984"/>
      <w:gridCol w:w="5669"/>
      <w:gridCol w:w="2551"/>
    </w:tblGrid>
    <w:tr>
      <w:tc>
        <w:tcPr>
          <w:tcW w:type="dxa" w:w="3402"/>
          <w:tcBorders>
            <w:bottom w:val="single" w:sz="6" w:space="0" w:color="A6A6A6"/>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36" w:space="0" w:color="6AA84F"/>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c>
        <w:tcPr>
          <w:tcW w:type="dxa" w:w="3402"/>
          <w:tcBorders>
            <w:bottom w:val="single" w:sz="6" w:space="0" w:color="1F4E79"/>
          </w:tcBorders>
          <w:tcMar>
            <w:top w:w="0" w:type="dxa"/>
            <w:left w:w="0" w:type="dxa"/>
            <w:bottom w:w="0" w:type="dxa"/>
            <w:right w:w="0" w:type="dxa"/>
          </w:tcMar>
        </w:tcPr>
        <w:p>
          <w:pPr>
            <w:spacing w:before="0" w:after="0" w:line="168" w:lineRule="auto"/>
          </w:pPr>
          <w:r>
            <w:rPr>
              <w:rFonts w:ascii="Calibri Light" w:hAnsi="Calibri Light" w:cs="Calibri Light"/>
              <w:b w:val="0"/>
              <w:bCs w:val="0"/>
              <w:i w:val="0"/>
              <w:color w:val="203864"/>
              <w:sz w:val="4"/>
              <w:szCs w:val="4"/>
              <w:rtl/>
            </w:rP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Light" w:hAnsi="Calibri Light" w:cs="Calibri Ligh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الإضاءة الثانية: تعزيز الوعي بالسلوك والانضباط عبر البرامج التوعوية المنظمة</dc:title>
  <dc:subject>نموذج معايير التقويم والاعتماد المدرسي 2026 — نواتج التعلم</dc:subject>
  <dc:creator>المرشد الطلابي</dc:creator>
  <cp:keywords/>
  <dc:description>المؤشر: يلتزم المتعلمون بقواعد السلوك والانضباط المدرسي</dc:description>
  <cp:lastModifiedBy/>
  <cp:revision>1</cp:revision>
  <dcterms:created xsi:type="dcterms:W3CDTF">2013-12-23T23:15:00Z</dcterms:created>
  <dcterms:modified xsi:type="dcterms:W3CDTF">2013-12-23T23:15:00Z</dcterms:modified>
  <cp:category/>
</cp:coreProperties>
</file>