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jc w:val="center"/>
        <w:tblBorders>
          <w:top w:val="single" w:sz="2" w:space="0" w:color="0F4C5C"/>
          <w:left w:val="single" w:sz="2" w:space="0" w:color="0F4C5C"/>
          <w:bottom w:val="single" w:sz="2" w:space="0" w:color="0F4C5C"/>
          <w:right w:val="single" w:sz="2" w:space="0" w:color="0F4C5C"/>
          <w:insideH w:val="single" w:sz="2" w:space="0" w:color="0F4C5C"/>
          <w:insideV w:val="single" w:sz="2" w:space="0" w:color="0F4C5C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0F4C5C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bidi/>
              <w:spacing w:before="0" w:after="2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C9DDE2"/>
                <w:sz w:val="19"/>
                <w:szCs w:val="19"/>
                <w:rtl/>
              </w:rPr>
              <w:t>نموذج معايير التقويم والاعتماد المدرسي للعام 2026م</w:t>
            </w:r>
          </w:p>
          <w:p>
            <w:pPr>
              <w:bidi/>
              <w:spacing w:before="20" w:after="0" w:line="240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FFFFFF"/>
                <w:sz w:val="28"/>
                <w:szCs w:val="28"/>
                <w:rtl/>
              </w:rPr>
              <w:t>الإضاءة الثالثة: تضمين الالتزام بقواعد السلوك والمواظبة في الخطة التشغيلية</w:t>
            </w:r>
          </w:p>
        </w:tc>
      </w:tr>
    </w:tbl>
    <w:p>
      <w:pPr>
        <w:spacing w:before="40" w:after="0" w:line="252" w:lineRule="auto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8"/>
          <w:szCs w:val="8"/>
          <w:rtl/>
        </w:rPr>
      </w:r>
    </w:p>
    <w:tbl>
      <w:tblPr>
        <w:bidiVisual/>
        <w:tblW w:type="auto" w:w="0"/>
        <w:jc w:val="center"/>
        <w:tblBorders>
          <w:top w:val="single" w:sz="4" w:space="0" w:color="0F4C5C"/>
          <w:left w:val="single" w:sz="4" w:space="0" w:color="0F4C5C"/>
          <w:bottom w:val="single" w:sz="4" w:space="0" w:color="0F4C5C"/>
          <w:right w:val="single" w:sz="4" w:space="0" w:color="0F4C5C"/>
          <w:insideH w:val="single" w:sz="4" w:space="0" w:color="9FB8BF"/>
          <w:insideV w:val="single" w:sz="4" w:space="0" w:color="9FB8BF"/>
        </w:tblBorders>
        <w:tblLook w:firstColumn="1" w:firstRow="1" w:lastColumn="0" w:lastRow="0" w:noHBand="0" w:noVBand="1" w:val="04A0"/>
      </w:tblPr>
      <w:tblGrid>
        <w:gridCol w:w="5244"/>
        <w:gridCol w:w="5244"/>
      </w:tblGrid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المجال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نواتج التعلم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المعيار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المؤشر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1F2D33"/>
                <w:sz w:val="20"/>
                <w:szCs w:val="20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أولًا: الفكرة المحورية</w:t>
      </w:r>
    </w:p>
    <w:p>
      <w:pPr>
        <w:bidi/>
        <w:spacing w:before="0" w:after="80" w:line="288" w:lineRule="auto"/>
        <w:jc w:val="right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22"/>
          <w:szCs w:val="22"/>
          <w:rtl/>
        </w:rPr>
        <w:t>أن يتحول الالتزام بالسلوك والمواظبة من مطلبٍ عارض إلى بندٍ منظَّم في الخطة التشغيلية وبرامج المدرسة وأنشطتها، بأهدافٍ ومسؤولياتٍ وجدولٍ زمنيٍّ ومؤشرات، يتابع تنفيذها جميع منسوبي المدرسة.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ثانيًا: إثراء أدوار المرشد الطلابي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بنود إرشادية في الخطة: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صياغة بنود السلوك والمواظبة في الخطة التشغيلية (أهداف، أنشطة، مؤشرات، مسؤول، زمن) وربطها برؤية المدرسة.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دمج المهارات في الأنشطة: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إدماج المهارات السلوكية والانضباطية في الأنشطة الصفية واللاصفية (النوادي، خدمة المجتمع، الطابور الصباحي).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الجدولة والتقويم: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إدراج تقويم فصلي لأنشطة السلوك الإيجابي ضمن التقويم التشغيلي العام للمدرسة.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التوثيق والشواهد: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بناء ملف شواهد إرشادية (صور، تقارير، سجلات) يُستند إليه في تقارير التحسين المستمر.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ثالثًا: خطوات التنفيذ الموصى بها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1 -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مراجعة الخطة التشغيلية الحالية ورصد فجوات تضمين السلوك والمواظبة.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2 -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إدراج بنود كمية قابلة للقياس (عدد البرامج، نسبة الحضور، معدلات المخالفات).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3 -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توزيع الأدوار: المرشد الطلابي، وكيل شؤون الطلاب، المعلمون، الطلاب القادة.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4 -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متابعة التنفيذ في اجتماعات الإدارة الدورية وتوثيق الشواهد والمخرجات.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رابعًا: مؤشرات نجاح التحقيق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نسبة تنفيذ الأنشطة السلوكية المقررة في الخطة تتجاوز 90%.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اكتمال ملف الشواهد المرتبط بكل نشاط مخطط.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تحسن المؤشرات السلوكية في التقرير الفصلي للمدرسة.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خامسًا: سيناريو تطبيقي للمرشد الطلابي</w:t>
      </w:r>
    </w:p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9"/>
                <w:szCs w:val="19"/>
                <w:rtl/>
              </w:rPr>
              <w:t>تُظهر مراجعة الخطة التشغيلية غياب مؤشرات قياس للسلوك؛ فيضيف المرشد بنودًا كمية (نسبة الالتزام، عدد البرامج) ويوزع الأدوار، فيصبح التنفيذ قابلًا للتوثيق والقياس.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8"/>
                <w:szCs w:val="18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8"/>
                <w:szCs w:val="18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709" w:bottom="624" w:left="709" w:header="720" w:footer="283" w:gutter="0"/>
      <w:pgBorders w:offsetFrom="page">
        <w:top w:val="single" w:sz="8" w:space="20" w:color="0F4C5C"/>
        <w:left w:val="single" w:sz="8" w:space="20" w:color="0F4C5C"/>
        <w:bottom w:val="single" w:sz="8" w:space="20" w:color="0F4C5C"/>
        <w:right w:val="single" w:sz="8" w:space="20" w:color="0F4C5C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40" w:after="0" w:line="252" w:lineRule="auto"/>
      <w:jc w:val="center"/>
    </w:pPr>
    <w:r>
      <w:rPr>
        <w:rFonts w:ascii="Sakkal Majala" w:hAnsi="Sakkal Majala" w:cs="Sakkal Majala"/>
        <w:b w:val="0"/>
        <w:bCs w:val="0"/>
        <w:i w:val="0"/>
        <w:color w:val="6B7B80"/>
        <w:sz w:val="16"/>
        <w:szCs w:val="16"/>
        <w:rtl/>
      </w:rPr>
      <w:t>إعداد: المرشد الطلابي — وثيقة العمل الإرشادي | الإضاءة 3 من 8 | العام الدراسي 2026م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kkal Majala" w:hAnsi="Sakkal Majala" w:cs="Sakkal Majal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الثالثة: تضمين الالتزام بقواعد السلوك والمواظبة في الخطة التشغيلية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