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الأولى: توحيد الأداء في جميع مؤشرات معيار قيادة العملية التعليمية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دليل الإجراءات الموحّد: </w:t>
      </w:r>
      <w:r>
        <w:rPr>
          <w:rFonts w:ascii="Calibri Light" w:hAnsi="Calibri Light" w:cs="Calibri Light"/>
          <w:b w:val="0"/>
          <w:bCs w:val="0"/>
          <w:i w:val="0"/>
          <w:color w:val="203864"/>
          <w:sz w:val="20"/>
          <w:szCs w:val="20"/>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ربط الأهداف بالمؤشرات: </w:t>
      </w:r>
      <w:r>
        <w:rPr>
          <w:rFonts w:ascii="Calibri Light" w:hAnsi="Calibri Light" w:cs="Calibri Light"/>
          <w:b w:val="0"/>
          <w:bCs w:val="0"/>
          <w:i w:val="0"/>
          <w:color w:val="203864"/>
          <w:sz w:val="20"/>
          <w:szCs w:val="20"/>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تنسيق الأدوار الدوري: </w:t>
      </w:r>
      <w:r>
        <w:rPr>
          <w:rFonts w:ascii="Calibri Light" w:hAnsi="Calibri Light" w:cs="Calibri Light"/>
          <w:b w:val="0"/>
          <w:bCs w:val="0"/>
          <w:i w:val="0"/>
          <w:color w:val="203864"/>
          <w:sz w:val="20"/>
          <w:szCs w:val="20"/>
          <w:rtl/>
        </w:rPr>
        <w:t>عقد لقاءات نصف شهرية مع وكلاء المدرسة والمعلمين لتوحيد الفهم والتطبيق، وتبادل الممارسات الناجحة بين الفصول.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لوحة الأداء الموحّدة: </w:t>
      </w:r>
      <w:r>
        <w:rPr>
          <w:rFonts w:ascii="Calibri Light" w:hAnsi="Calibri Light" w:cs="Calibri Light"/>
          <w:b w:val="0"/>
          <w:bCs w:val="0"/>
          <w:i w:val="0"/>
          <w:color w:val="203864"/>
          <w:sz w:val="20"/>
          <w:szCs w:val="20"/>
          <w:rtl/>
        </w:rPr>
        <w:t>إعداد لوحة إرشادية موحدة تعرض المؤشرات الأساسية لحظيًا أمام جميع الأطراف المعنية لدعم القرار المبني على البيانات.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تحليل مؤشرات المعيار وربط كل مؤشر بدور إرشادي محدد عبر «مصفوفة الأدوار والمسؤوليات».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دليل الإجراءات ونماذج التوثيق الموحدة (سجل السلوك، محضر الجلسة الإرشادية، نموذج التواصل مع الأسرة).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عقد ورشة افتتاحية للهيئة التعليمية لتوحيد الفهم والتطبيق وتدريبهم على النماذج الموحدة.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المتابعة الشهرية للتطبيق الموحد وإصدار تقرير تحسيني قصير بمؤشرات كمية وشواهد.</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تطبيق الممارسات الموحّدة في جميع الفصول والمراحل دون استثناء.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نماذج التوثيق الموحّدة بنسبة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ارتفاع رضا المعلمين عن وضوح الأدوار إلى أكثر من 85%.</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1</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وضوح دليل الإجراءات الموحّد</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وجود دليل معتمد يغطي جميع المؤشرات ويُوزَّع على المعنيين.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تطابق الممارسات بين الفصول</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انخفاض التباين في تطبيق الإجراءات عبر الفصول والمراحل.</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اكتمال النماذج الموحدة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اعتماد نماذج التوثيق الموحدة في جميع الحالات دون استثناء.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انتظام التنسيق الدوري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انعقاد اللقاءات الدورية وفق الجدول وتوثيق محاضرها.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جاهزية لوحة المؤشرات</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تحديث دوري للمؤشرات وسهولة الوصول إليها من جميع الأطراف.</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دليل الإجراءات الإرشادية الموحّد (نسخة معتمدة).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نماذج التوثيق الموحدة وعينات مُعبأة منها.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محاضر لقاءات التنسيق الدورية.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لوحة المؤشرات الإرشادية (صور أو ملف رقمي).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التحسين الدورية الصادرة عن المرشد الطلابي.</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1</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يتوفر دليل إجراءات معتمد وموزَّع على المعلمين والوكلاء.</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تُستخدم نماذج التوثيق الموحدة في جميع الفصول.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تُعقد لقاءات التنسيق الدورية وفق الجدول الزمني.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تُحدَّث لوحة المؤشرات الإرشادية بشكل دوري.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الأدوار والمسؤوليات موزعة وموثقة في مصفوفة معتمدة.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تُصدَّر تقارير تحسينية دورية بمؤشرات كمية.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يتوفر تدريب للهيئة التعليمية على النماذج الموحدة.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1</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تحليل مؤشرات المعيار وإعداد مصفوفة الأدوار.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مصفوفة معتمدة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إعداد دليل الإجراءات ونماذج التوثيق.</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الوكلاء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 أسابيع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إصدار الدليل</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ورشة توحيد الفهم للهيئة التعليمية.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حضور 90%+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إطلاق لوحة المؤشرات وتحديثها.</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مسؤول البيانات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تحديث شهري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إصدار التقرير التحسيني الشهري.</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12 تقريرًا/عام</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مقاومة التغيير من بعض المعلمين.</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إشراكهم مبكرًا في الإعداد وتقديم الحوافز المعنوية.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تعارض أدوات التوثيق بين الفصول.</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اعتماد نموذج موحد واحد وتعميمه بمحضر رسمي.</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ضعف المتابعة بعد الإطلاق.</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ربط التحديث بجدول اجتماعات الإدارة الدورية.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يمكن لأي معلم أن يجد الإجراء المطلوب خلال دقيقة واحدة؟</w:t>
            </w:r>
          </w:p>
          <w:p>
            <w:pPr>
              <w:bidi/>
              <w:spacing w:before="0" w:after="20" w:line="264" w:lineRule="auto"/>
              <w:jc w:val="right"/>
            </w:pPr>
            <w:r>
              <w:rPr>
                <w:rFonts w:ascii="Calibri Light" w:hAnsi="Calibri Light" w:cs="Calibri Light"/>
                <w:b w:val="0"/>
                <w:bCs w:val="0"/>
                <w:i w:val="0"/>
                <w:color w:val="203864"/>
                <w:sz w:val="19"/>
                <w:szCs w:val="19"/>
                <w:rtl/>
              </w:rPr>
              <w:t>هل تتطابق نماذج التوثيق فعليًا بين جميع الفصول اليوم؟</w:t>
            </w:r>
          </w:p>
          <w:p>
            <w:pPr>
              <w:bidi/>
              <w:spacing w:before="0" w:after="20" w:line="264" w:lineRule="auto"/>
              <w:jc w:val="right"/>
            </w:pPr>
            <w:r>
              <w:rPr>
                <w:rFonts w:ascii="Calibri Light" w:hAnsi="Calibri Light" w:cs="Calibri Light"/>
                <w:b w:val="0"/>
                <w:bCs w:val="0"/>
                <w:i w:val="0"/>
                <w:color w:val="203864"/>
                <w:sz w:val="19"/>
                <w:szCs w:val="19"/>
                <w:rtl/>
              </w:rPr>
              <w:t>متى كانت آخر مرة حُدثت فيها لوحة المؤشرات؟</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sectPr w:rsidR="00FC693F" w:rsidRPr="0006063C" w:rsidSect="00034616">
      <w:headerReference w:type="default" r:id="rId9"/>
      <w:footerReference w:type="default" r:id="rId10"/>
      <w:pgSz w:w="11906" w:h="16838"/>
      <w:pgMar w:top="2013" w:right="850" w:bottom="1786" w:left="850" w:header="397"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175"/>
      <w:gridCol w:w="3969"/>
      <w:gridCol w:w="3061"/>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531"/>
            <w:gridCol w:w="1531"/>
          </w:tblGrid>
          <w:tr>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A60000"/>
                    <w:sz w:val="14"/>
                    <w:szCs w:val="14"/>
                    <w:rtl/>
                  </w:rPr>
                  <w:t>ISO 9001:2015</w:t>
                </w:r>
              </w:p>
              <w:p>
                <w:pPr>
                  <w:bidi/>
                  <w:spacing w:before="0" w:after="0" w:line="240" w:lineRule="auto"/>
                  <w:jc w:val="center"/>
                </w:pPr>
                <w:r>
                  <w:rPr>
                    <w:rFonts w:ascii="Calibri Light" w:hAnsi="Calibri Light" w:cs="Calibri Light"/>
                    <w:b w:val="0"/>
                    <w:bCs w:val="0"/>
                    <w:i w:val="0"/>
                    <w:color w:val="595959"/>
                    <w:sz w:val="11"/>
                    <w:szCs w:val="11"/>
                    <w:rtl/>
                  </w:rPr>
                  <w:t>CERTIFIED</w:t>
                </w:r>
              </w:p>
            </w:tc>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1F4E79"/>
                    <w:sz w:val="14"/>
                    <w:szCs w:val="14"/>
                    <w:rtl/>
                  </w:rPr>
                  <w:t>AiAA</w:t>
                </w:r>
              </w:p>
              <w:p>
                <w:pPr>
                  <w:bidi/>
                  <w:spacing w:before="0" w:after="0" w:line="240" w:lineRule="auto"/>
                  <w:jc w:val="center"/>
                </w:pPr>
                <w:r>
                  <w:rPr>
                    <w:rFonts w:ascii="Calibri Light" w:hAnsi="Calibri Light" w:cs="Calibri Light"/>
                    <w:b w:val="0"/>
                    <w:bCs w:val="0"/>
                    <w:i w:val="0"/>
                    <w:color w:val="595959"/>
                    <w:sz w:val="11"/>
                    <w:szCs w:val="11"/>
                    <w:rtl/>
                  </w:rPr>
                  <w:t>اعتماد دولي</w:t>
                </w:r>
              </w:p>
            </w:tc>
          </w:tr>
        </w:tbl>
        <w:p/>
      </w:tc>
      <w:tc>
        <w:tcPr>
          <w:tcW w:type="dxa" w:w="3402"/>
          <w:tcMar>
            <w:top w:w="0" w:type="dxa"/>
            <w:left w:w="0" w:type="dxa"/>
            <w:bottom w:w="0" w:type="dxa"/>
            <w:right w:w="0" w:type="dxa"/>
          </w:tcMar>
        </w:tcPr>
        <w:p>
          <w:pPr>
            <w:bidi/>
            <w:spacing w:before="0" w:after="20" w:line="240" w:lineRule="auto"/>
            <w:jc w:val="center"/>
          </w:pPr>
          <w:r>
            <w:rPr>
              <w:rFonts w:ascii="Calibri Light" w:hAnsi="Calibri Light" w:cs="Calibri Light"/>
              <w:b/>
              <w:bCs w:val="1"/>
              <w:i w:val="0"/>
              <w:color w:val="1F4E79"/>
              <w:sz w:val="17"/>
              <w:szCs w:val="17"/>
              <w:rtl/>
            </w:rPr>
            <w:t>التعليم المتقـدم يبنـي ...</w:t>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247"/>
            <w:gridCol w:w="1247"/>
            <w:gridCol w:w="1247"/>
          </w:tblGrid>
          <w:tr>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1" name="Picture 1"/>
                      <wp:cNvGraphicFramePr>
                        <a:graphicFrameLocks noChangeAspect="1"/>
                      </wp:cNvGraphicFramePr>
                      <a:graphic>
                        <a:graphicData uri="http://schemas.openxmlformats.org/drawingml/2006/picture">
                          <pic:pic>
                            <pic:nvPicPr>
                              <pic:cNvPr id="0" name="icon_person.png"/>
                              <pic:cNvPicPr/>
                            </pic:nvPicPr>
                            <pic:blipFill>
                              <a:blip r:embed="rId1"/>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المعرفة</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2" name="Picture 2"/>
                      <wp:cNvGraphicFramePr>
                        <a:graphicFrameLocks noChangeAspect="1"/>
                      </wp:cNvGraphicFramePr>
                      <a:graphic>
                        <a:graphicData uri="http://schemas.openxmlformats.org/drawingml/2006/picture">
                          <pic:pic>
                            <pic:nvPicPr>
                              <pic:cNvPr id="0" name="icon_chart.png"/>
                              <pic:cNvPicPr/>
                            </pic:nvPicPr>
                            <pic:blipFill>
                              <a:blip r:embed="rId2"/>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التكنولوجيا</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atom.png"/>
                              <pic:cNvPicPr/>
                            </pic:nvPicPr>
                            <pic:blipFill>
                              <a:blip r:embed="rId3"/>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العلوم</w:t>
                </w:r>
              </w:p>
            </w:tc>
          </w:tr>
        </w:tbl>
        <w:p/>
      </w:tc>
      <w:tc>
        <w:tcPr>
          <w:tcW w:type="dxa" w:w="3402"/>
          <w:tcMar>
            <w:top w:w="0" w:type="dxa"/>
            <w:left w:w="0" w:type="dxa"/>
            <w:bottom w:w="0" w:type="dxa"/>
            <w:right w:w="0" w:type="dxa"/>
          </w:tcMar>
        </w:tcPr>
        <w:p>
          <w:pPr>
            <w:bidi/>
            <w:spacing w:before="0" w:after="0" w:line="264" w:lineRule="auto"/>
            <w:jc w:val="center"/>
          </w:pPr>
          <w:r>
            <w:rPr>
              <w:rFonts w:ascii="Calibri Light" w:hAnsi="Calibri Light" w:cs="Calibri Light"/>
              <w:b/>
              <w:bCs w:val="1"/>
              <w:i w:val="0"/>
              <w:color w:val="1F4E79"/>
              <w:sz w:val="16"/>
              <w:szCs w:val="16"/>
              <w:rtl/>
            </w:rPr>
            <w:t xml:space="preserve">f   X   ◎   </w:t>
          </w:r>
          <w:r>
            <w:rPr>
              <w:rFonts w:ascii="Calibri Light" w:hAnsi="Calibri Light" w:cs="Calibri Light"/>
              <w:b/>
              <w:bCs w:val="1"/>
              <w:i w:val="0"/>
              <w:color w:val="1F4E79"/>
              <w:sz w:val="16"/>
              <w:szCs w:val="16"/>
              <w:rtl/>
            </w:rPr>
            <w:t>Ajailyanbu</w:t>
          </w:r>
        </w:p>
        <w:p>
          <w:pPr>
            <w:bidi/>
            <w:spacing w:before="0" w:after="0" w:line="264" w:lineRule="auto"/>
            <w:jc w:val="center"/>
          </w:pPr>
          <w:r>
            <w:rPr>
              <w:rFonts w:ascii="Calibri Light" w:hAnsi="Calibri Light" w:cs="Calibri Light"/>
              <w:b/>
              <w:bCs w:val="1"/>
              <w:i w:val="0"/>
              <w:color w:val="6AA84F"/>
              <w:sz w:val="16"/>
              <w:szCs w:val="16"/>
              <w:rtl/>
            </w:rPr>
            <w:t xml:space="preserve">☎   </w:t>
          </w:r>
          <w:r>
            <w:rPr>
              <w:rFonts w:ascii="Calibri Light" w:hAnsi="Calibri Light" w:cs="Calibri Light"/>
              <w:b w:val="0"/>
              <w:bCs w:val="0"/>
              <w:i w:val="0"/>
              <w:color w:val="1F4E79"/>
              <w:sz w:val="16"/>
              <w:szCs w:val="16"/>
              <w:rtl/>
            </w:rPr>
            <w:t>Nabualmarifa.edu.sa</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6520"/>
      <w:gridCol w:w="3685"/>
    </w:tblGrid>
    <w:tr>
      <w:tc>
        <w:tcPr>
          <w:tcW w:type="dxa" w:w="51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51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969"/>
      <w:gridCol w:w="3402"/>
      <w:gridCol w:w="2835"/>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891"/>
            <w:gridCol w:w="964"/>
          </w:tblGrid>
          <w:tr>
            <w:tc>
              <w:tcPr>
                <w:tcW w:type="dxa" w:w="1701"/>
                <w:tcMar>
                  <w:top w:w="0" w:type="dxa"/>
                  <w:left w:w="0" w:type="dxa"/>
                  <w:bottom w:w="0" w:type="dxa"/>
                  <w:right w:w="0" w:type="dxa"/>
                </w:tcMar>
              </w:tcPr>
              <w:p>
                <w:pPr>
                  <w:bidi/>
                  <w:spacing w:before="0" w:after="0" w:line="240" w:lineRule="auto"/>
                  <w:jc w:val="right"/>
                </w:pPr>
                <w:r>
                  <w:rPr>
                    <w:rFonts w:ascii="Calibri Light" w:hAnsi="Calibri Light" w:cs="Calibri Light"/>
                    <w:b/>
                    <w:bCs w:val="1"/>
                    <w:i w:val="0"/>
                    <w:color w:val="2E7D32"/>
                    <w:sz w:val="20"/>
                    <w:szCs w:val="20"/>
                    <w:rtl/>
                  </w:rPr>
                  <w:t>المملكة العربية السعودية</w:t>
                </w:r>
              </w:p>
              <w:p>
                <w:pPr>
                  <w:bidi/>
                  <w:spacing w:before="0" w:after="0" w:line="240" w:lineRule="auto"/>
                  <w:jc w:val="right"/>
                </w:pPr>
                <w:r>
                  <w:rPr>
                    <w:rFonts w:ascii="Calibri Light" w:hAnsi="Calibri Light" w:cs="Calibri Light"/>
                    <w:b/>
                    <w:bCs w:val="1"/>
                    <w:i w:val="0"/>
                    <w:color w:val="203864"/>
                    <w:sz w:val="17"/>
                    <w:szCs w:val="17"/>
                    <w:rtl/>
                  </w:rPr>
                  <w:t>وزارة التعليم</w:t>
                </w:r>
              </w:p>
              <w:p>
                <w:pPr>
                  <w:bidi/>
                  <w:spacing w:before="0" w:after="0" w:line="240" w:lineRule="auto"/>
                  <w:jc w:val="right"/>
                </w:pPr>
                <w:r>
                  <w:rPr>
                    <w:rFonts w:ascii="Calibri Light" w:hAnsi="Calibri Light" w:cs="Calibri Light"/>
                    <w:b w:val="0"/>
                    <w:bCs w:val="0"/>
                    <w:i w:val="0"/>
                    <w:color w:val="203864"/>
                    <w:sz w:val="15"/>
                    <w:szCs w:val="15"/>
                    <w:rtl/>
                  </w:rPr>
                  <w:t>الإدارة العامة للتعليم</w:t>
                </w:r>
              </w:p>
              <w:p>
                <w:pPr>
                  <w:bidi/>
                  <w:spacing w:before="0" w:after="0" w:line="240" w:lineRule="auto"/>
                  <w:jc w:val="right"/>
                </w:pPr>
                <w:r>
                  <w:rPr>
                    <w:rFonts w:ascii="Calibri Light" w:hAnsi="Calibri Light" w:cs="Calibri Light"/>
                    <w:b w:val="0"/>
                    <w:bCs w:val="0"/>
                    <w:i w:val="0"/>
                    <w:color w:val="203864"/>
                    <w:sz w:val="15"/>
                    <w:szCs w:val="15"/>
                    <w:rtl/>
                  </w:rPr>
                  <w:t>مكتب التعليم</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mark_ksa.png"/>
                              <pic:cNvPicPr/>
                            </pic:nvPicPr>
                            <pic:blipFill>
                              <a:blip r:embed="rId1"/>
                              <a:stretch>
                                <a:fillRect/>
                              </a:stretch>
                            </pic:blipFill>
                            <pic:spPr>
                              <a:xfrm>
                                <a:off x="0" y="0"/>
                                <a:ext cx="540000" cy="540000"/>
                              </a:xfrm>
                              <a:prstGeom prst="rect"/>
                            </pic:spPr>
                          </pic:pic>
                        </a:graphicData>
                      </a:graphic>
                    </wp:inline>
                  </w:drawing>
                </w:r>
              </w:p>
            </w:tc>
          </w:tr>
        </w:tbl>
        <w:p/>
      </w:tc>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268"/>
            <w:gridCol w:w="1020"/>
          </w:tblGrid>
          <w:tr>
            <w:tc>
              <w:tcPr>
                <w:tcW w:type="dxa" w:w="1701"/>
                <w:tcMar>
                  <w:top w:w="0" w:type="dxa"/>
                  <w:left w:w="0" w:type="dxa"/>
                  <w:bottom w:w="0" w:type="dxa"/>
                  <w:right w:w="0" w:type="dxa"/>
                </w:tcMar>
              </w:tcPr>
              <w:p>
                <w:pPr>
                  <w:bidi/>
                  <w:spacing w:before="0" w:after="0" w:line="276" w:lineRule="auto"/>
                  <w:jc w:val="right"/>
                </w:pPr>
                <w:r>
                  <w:rPr>
                    <w:rFonts w:ascii="Calibri Light" w:hAnsi="Calibri Light" w:cs="Calibri Light"/>
                    <w:b/>
                    <w:bCs w:val="1"/>
                    <w:i w:val="0"/>
                    <w:color w:val="1F4E79"/>
                    <w:sz w:val="22"/>
                    <w:szCs w:val="22"/>
                    <w:rtl/>
                  </w:rPr>
                  <w:t>مـدارس أجـيال للبنـات المـتـميزة</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mark_ajyal.png"/>
                              <pic:cNvPicPr/>
                            </pic:nvPicPr>
                            <pic:blipFill>
                              <a:blip r:embed="rId2"/>
                              <a:stretch>
                                <a:fillRect/>
                              </a:stretch>
                            </pic:blipFill>
                            <pic:spPr>
                              <a:xfrm>
                                <a:off x="0" y="0"/>
                                <a:ext cx="576000" cy="576000"/>
                              </a:xfrm>
                              <a:prstGeom prst="rect"/>
                            </pic:spPr>
                          </pic:pic>
                        </a:graphicData>
                      </a:graphic>
                    </wp:inline>
                  </w:drawing>
                </w:r>
              </w:p>
            </w:tc>
          </w:tr>
        </w:tbl>
        <w:p/>
      </w:tc>
      <w:tc>
        <w:tcPr>
          <w:tcW w:type="dxa" w:w="3402"/>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396000" cy="396000"/>
                <wp:docPr id="3" name="Picture 3"/>
                <wp:cNvGraphicFramePr>
                  <a:graphicFrameLocks noChangeAspect="1"/>
                </wp:cNvGraphicFramePr>
                <a:graphic>
                  <a:graphicData uri="http://schemas.openxmlformats.org/drawingml/2006/picture">
                    <pic:pic>
                      <pic:nvPicPr>
                        <pic:cNvPr id="0" name="mark_dev.png"/>
                        <pic:cNvPicPr/>
                      </pic:nvPicPr>
                      <pic:blipFill>
                        <a:blip r:embed="rId3"/>
                        <a:stretch>
                          <a:fillRect/>
                        </a:stretch>
                      </pic:blipFill>
                      <pic:spPr>
                        <a:xfrm>
                          <a:off x="0" y="0"/>
                          <a:ext cx="396000" cy="396000"/>
                        </a:xfrm>
                        <a:prstGeom prst="rect"/>
                      </pic:spPr>
                    </pic:pic>
                  </a:graphicData>
                </a:graphic>
              </wp:inline>
            </w:drawing>
          </w:r>
        </w:p>
        <w:p>
          <w:pPr>
            <w:bidi/>
            <w:spacing w:before="0" w:after="0" w:line="240" w:lineRule="auto"/>
            <w:jc w:val="center"/>
          </w:pPr>
          <w:r>
            <w:rPr>
              <w:rFonts w:ascii="Calibri Light" w:hAnsi="Calibri Light" w:cs="Calibri Light"/>
              <w:b/>
              <w:bCs w:val="1"/>
              <w:i w:val="0"/>
              <w:color w:val="1F4E79"/>
              <w:sz w:val="18"/>
              <w:szCs w:val="18"/>
              <w:rtl/>
            </w:rPr>
            <w:t>التنمية المتكاملة</w:t>
          </w:r>
        </w:p>
        <w:p>
          <w:pPr>
            <w:bidi/>
            <w:spacing w:before="0" w:after="0" w:line="240" w:lineRule="auto"/>
            <w:jc w:val="center"/>
          </w:pPr>
          <w:r>
            <w:rPr>
              <w:rFonts w:ascii="Calibri Light" w:hAnsi="Calibri Light" w:cs="Calibri Light"/>
              <w:b w:val="0"/>
              <w:bCs w:val="0"/>
              <w:i w:val="0"/>
              <w:color w:val="595959"/>
              <w:sz w:val="13"/>
              <w:szCs w:val="13"/>
              <w:rtl/>
            </w:rPr>
            <w:t>Integrated Developments</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984"/>
      <w:gridCol w:w="5669"/>
      <w:gridCol w:w="2551"/>
    </w:tblGrid>
    <w:tr>
      <w:tc>
        <w:tcPr>
          <w:tcW w:type="dxa" w:w="3402"/>
          <w:tcBorders>
            <w:bottom w:val="single" w:sz="6" w:space="0" w:color="A6A6A6"/>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Light" w:hAnsi="Calibri Light" w:cs="Calibri Ligh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الأولى: توحيد الأداء في جميع مؤشرات معيار قيادة العملية التعليمية</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