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الإضاءة الثانية: تعزيز الوعي بالسلوك والانضباط عبر البرامج التوعوية المنظمة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المجال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نواتج التعلم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المعيار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المؤشر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الفكرة المحورية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1"/>
          <w:szCs w:val="21"/>
          <w:rtl/>
        </w:rPr>
        <w:t>أن يسبق الوعي الجزاء؛ برامج توعوية مخططة تشرح لائحة قواعد السلوك والمواظبة للمتعلمين والهيئة التعليمية وأولياء الأمور بلغة واضحة ومدخلات متجددة، فتترسخ القيم وتُرسَّخ الالتزامات قبل أي إجراء جزائي.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إثراء أدوار المرشد الطلابي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برنامج «وعي وانضباط» السنوي: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خطة توعوية متدرجة (لقاءات، بطاقات إرشادية، مقاطع قصيرة، مسابقات) موجهة للمتعلمين في مختلف المراحل.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توعية أولياء الأمور: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لقاء بداية العام، ونشرة القواعد، وقناة تواصل فعّالة (مجموعة تواصل/منصة) لشرح اللوائح وتوضيح التوقعات.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حقيبة توعوية للهيئة التعليمية: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إرشادات موحّدة للغة التعامل الإيجابي وإدارة الفصل، ونشر الممارسات الناجحة بين المعلمين.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الحملات والمناسبات: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أسبوع الانضباط المدرسي، والطابور التوعوي، والفعاليات المرتبطة بالصحة النفسية والسلوك الإيجابي.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خطوات التنفيذ الموصى بها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تحليل الاحتياج التوعوي باستبيان قصير للمعلمين والمتعلمين ورصد الفجوات المعرفية والسلوكية.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بناء الخطة التوعوية بمؤشرات حضور وتفاعل، وتوزيعها على فترات العام الدراسي.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التنفيذ بالشراكة مع الوكلاء والإعلام المدرسي والقادة الطلابيين.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قياس الأثر باختبار معرفي قصير (قبل/بعد) وملاحظة سلوكية ميدانية.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رابعًا: مؤشرات نجاح التحقيق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وصول الرسالة التوعوية إلى أكثر من 90% من المتعلمين والأسر.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انخفاض المخالفات السلوكية المتكررة خلال الفصل الدراسي.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تفاعل أولياء الأمور مع اللقاءات والنشرات التوعوية.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خامسًا: سيناريو تطبيقي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قبل بداية الفصل الثاني يطلق المرشد أسبوع «وعي وانضباط» بلقاءات قصيرة وبطاقات ومسابقات؛ فتتباطأ المخالفات المتكررة، وتزداد مشاركة الأسر في اللقاءات التوعوية.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7"/>
                <w:szCs w:val="17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7"/>
                <w:szCs w:val="17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(أ): معايير التقويم ومستويات الإتقان — الإضاءة 2</w:t>
            </w:r>
          </w:p>
        </w:tc>
      </w:tr>
    </w:tbl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يُقوَّم تطبيق هذه الإضاءة عبر المعايير الآتية بمستويات إتقان أربعة، وتُجمع الدرجات موزونة بالوزن النسبي لكل معيار للوصول إلى الحكم الإجمالي.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مستويات الإتقان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1474"/>
        <w:gridCol w:w="1134"/>
        <w:gridCol w:w="7597"/>
      </w:tblGrid>
      <w:tr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المستوى</w:t>
            </w:r>
          </w:p>
        </w:tc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الدرجة</w:t>
            </w:r>
          </w:p>
        </w:tc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وصف الأداء العام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متقن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4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أداء مثالي ومستدام، يوثَّق بشهود واضحة، ويُحتذى به كنموذج.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متمكن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3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منتظِم وجيد مع فجوات طفيفة لا تؤثر على النتيجة الإجمالية.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نامٍ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2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قائم لكنه متذبذب أو جزئي، ويحتاج متابعة ودعمًا دوريًا.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مبتدئ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1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محدود أو متوقف، ويحتاج خطة تدخل عاجلة.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معايير التقويم الخاصة بالإضاءة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2381"/>
        <w:gridCol w:w="4876"/>
        <w:gridCol w:w="1020"/>
        <w:gridCol w:w="1928"/>
      </w:tblGrid>
      <w:tr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معيار التقويم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وصف الأداء المأمول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الوزن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تقدير المُقوِّم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تغطية الخطة التوعوية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تنوع البرامج واستهداف المتعلمين والهيئة التعليمية والأسر.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جودة المحتوى التوعوي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وضوح اللغة وملاءمة الفئات العمرية وتجدد الوسائط.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انتظام التنفيذ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الالتزام بالجدول الزمني وعدد اللقاءات المنفذة.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قياس الأثر التوعوي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أدوات قياس قبلية وبعدية موثقة للبرامج.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شراكة الأسر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نسبة حضور الأسر وتفاعلهم مع النشرات واللقاءات.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طريقة احتساب الحكم الإجمالي: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الدرجة الكلية = مجموع (درجة كل معيار × وزنه) ÷ 4 — والنتيجة: 3.5 فأعلى: متقن | 2.5–3.4: متمكن | 1.5–2.4: نامٍ | أقل من 1.5: مبتدئ (تُعد خطة تدخل عاجلة).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شواهد الإنجاز المطلوبة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الخطة التوعوية السنوية المعتمدة.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عينات من المواد التوعوية (بطاقات، مقاطع، نشرات).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سجلات الحضور واللقاءات التوعوية.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نتائج القياس القبلي/البعدي وتحليلها.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تقارير مشاركة أولياء الأمور في اللقاءات.</w:t>
      </w:r>
    </w:p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(ب): استمارة المتابعة والتقويم — الإضاءة 2</w:t>
            </w:r>
          </w:p>
        </w:tc>
      </w:tr>
    </w:tbl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7FAF2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المدرسة: ....................................    |    الفصل/الشعبة: ..............    |    التاريخ: ......... / ......... / 1447هـ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اسم المُقوِّم: ....................................    |    الصفة: ( مرشد طلابي / وكيل / مشرف )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بنود الملاحظة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6350"/>
        <w:gridCol w:w="1247"/>
        <w:gridCol w:w="1304"/>
        <w:gridCol w:w="1304"/>
      </w:tblGrid>
      <w:tr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بند الملاحظة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مطابق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جزئيًا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غير مطابق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توجد خطة توعوية سنوية معتمدة بمؤشرات حضور وتفاعل.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تتنوع الوسائط: لقاءات، بطاقات، مقاطع، مسابقات.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تستهدف البرامج المتعلمين والهيئة التعليمية وأولياء الأمور.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يُقاس أثر البرامج بالقياس القبلي/البعدي.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تُوثَّق أعداد الحضور والتفاعل لكل برنامج.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تُحيَّن البرامج وفق النتائج والملاحظات.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تُستثمر المناسبات والطابور التوعوي في التوعية.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ملخص التقدير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عدد البنود المطابقة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المطابقة جزئيًا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غير المطابقة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النسبة الكلية</w:t>
            </w:r>
          </w:p>
        </w:tc>
      </w:tr>
      <w:tr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التوصية والتوقيع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التوصية:   ☐ مطابق    ☐ مطابق جزئيًا (تُعد خطة تحسين)    ☐ غير مطابق (تُعد خطة تدخل)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ملاحظات المُقوِّم: ................................................................................................................................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توقيع المُقوِّم: ......................        توقيع مدير المدرسة: ......................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(ج): خطة العمل والتحديات — الإضاءة 2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خطة العمل المختصرة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4082"/>
        <w:gridCol w:w="2041"/>
        <w:gridCol w:w="1361"/>
        <w:gridCol w:w="2721"/>
      </w:tblGrid>
      <w:tr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الإجراء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المسؤول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المدة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مؤشر النجاح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تحليل الاحتياج التوعوي باستبيان قصير.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أسبوعان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تقرير الحاجات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بناء الخطة التوعوية وتوزيعها على العام.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3 أسابيع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خطة معتمدة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تنفيذ البرامج بالشراكة مع القادة الطلابيين.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+ الإعلام المدرسي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مستمر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نسبة الإنجاز 90%+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لقاءات أولياء الأمور التوعوية.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فصليًا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حضور 70%+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قياس الأثر وإصدار التقرير.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فصليًا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تقرير موثق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تحديات متوقعة وسبل التغلب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4082"/>
        <w:gridCol w:w="6123"/>
      </w:tblGrid>
      <w:tr>
        <w:tc>
          <w:tcPr>
            <w:tcW w:type="dxa" w:w="5103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التحدي المتوقع</w:t>
            </w:r>
          </w:p>
        </w:tc>
        <w:tc>
          <w:tcPr>
            <w:tcW w:type="dxa" w:w="5103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سبل التغلب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رتابة البرامج وضعف التفاعل.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تجديد الأشكال وإشراك الطلاب في التصميم والتنفيذ.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ضعف حضور الأسر.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تنويع المواعيد والقنوات (حضور وعن بُعد).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صعوبة قياس الأثر.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اعتماد أدوات قياس بسيطة وسريعة موحدة.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أسئلة التقويم الذاتي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هل تستجيب البرامج لاحتياجات فعلية رُصدت ببيانات؟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ما نسبة الأسر الذين وصلتهم الرسالة التوعوية فعلًا؟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هل لدينا قياس أثر لكل برنامج أم للمجموع فقط؟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1F4E79"/>
                <w:sz w:val="17"/>
                <w:szCs w:val="17"/>
                <w:rtl/>
              </w:rPr>
              <w:t>إرشاد: يُراجع المرشد هذه الأسئلة شهريًا، ويوثّق الإجابات وخطوات التحسين في ملف التحسين المستمر.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13" w:right="850" w:bottom="1786" w:left="85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175"/>
      <w:gridCol w:w="3969"/>
      <w:gridCol w:w="3061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531"/>
            <w:gridCol w:w="1531"/>
          </w:tblGrid>
          <w:tr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A60000"/>
                    <w:sz w:val="14"/>
                    <w:szCs w:val="14"/>
                    <w:rtl/>
                  </w:rPr>
                  <w:t>ISO 9001:2015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CERTIFIED</w:t>
                </w:r>
              </w:p>
            </w:tc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14"/>
                    <w:szCs w:val="14"/>
                    <w:rtl/>
                  </w:rPr>
                  <w:t>AiAA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اعتماد دولي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2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7"/>
              <w:szCs w:val="17"/>
              <w:rtl/>
            </w:rPr>
            <w:t>التعليم المتقـدم يبنـي ...</w:t>
          </w:r>
        </w:p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247"/>
            <w:gridCol w:w="1247"/>
            <w:gridCol w:w="1247"/>
          </w:tblGrid>
          <w:tr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person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المعرفة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chart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التكنولوجيا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atom.png"/>
                              <pic:cNvPicPr/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العلوم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 xml:space="preserve">f   X   ◎   </w:t>
          </w: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>Ajailyanbu</w:t>
          </w:r>
        </w:p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6AA84F"/>
              <w:sz w:val="16"/>
              <w:szCs w:val="16"/>
              <w:rtl/>
            </w:rPr>
            <w:t xml:space="preserve">☎   </w:t>
          </w:r>
          <w:r>
            <w:rPr>
              <w:rFonts w:ascii="Calibri Light" w:hAnsi="Calibri Light" w:cs="Calibri Light"/>
              <w:b w:val="0"/>
              <w:bCs w:val="0"/>
              <w:i w:val="0"/>
              <w:color w:val="1F4E79"/>
              <w:sz w:val="16"/>
              <w:szCs w:val="16"/>
              <w:rtl/>
            </w:rPr>
            <w:t>Nabualmarifa.edu.sa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6520"/>
      <w:gridCol w:w="3685"/>
    </w:tblGrid>
    <w:tr>
      <w:tc>
        <w:tcPr>
          <w:tcW w:type="dxa" w:w="51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51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969"/>
      <w:gridCol w:w="3402"/>
      <w:gridCol w:w="2835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891"/>
            <w:gridCol w:w="964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E7D32"/>
                    <w:sz w:val="20"/>
                    <w:szCs w:val="20"/>
                    <w:rtl/>
                  </w:rPr>
                  <w:t>المملكة العربية السعودية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03864"/>
                    <w:sz w:val="17"/>
                    <w:szCs w:val="17"/>
                    <w:rtl/>
                  </w:rPr>
                  <w:t>وزارة التعليم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الإدارة العامة للتعليم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مكتب التعليم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40000" cy="54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ksa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40000" cy="54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268"/>
            <w:gridCol w:w="1020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76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22"/>
                    <w:szCs w:val="22"/>
                    <w:rtl/>
                  </w:rPr>
                  <w:t>مـدارس أجـيال للبنـات المـتـميزة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76000" cy="576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ajyal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6000" cy="576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52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396000" cy="39600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rk_dev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8"/>
              <w:szCs w:val="18"/>
              <w:rtl/>
            </w:rPr>
            <w:t>التنمية المتكاملة</w:t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 w:val="0"/>
              <w:bCs w:val="0"/>
              <w:i w:val="0"/>
              <w:color w:val="595959"/>
              <w:sz w:val="13"/>
              <w:szCs w:val="13"/>
              <w:rtl/>
            </w:rPr>
            <w:t>Integrated Developments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1984"/>
      <w:gridCol w:w="5669"/>
      <w:gridCol w:w="2551"/>
    </w:tblGrid>
    <w:tr>
      <w:tc>
        <w:tcPr>
          <w:tcW w:type="dxa" w:w="3402"/>
          <w:tcBorders>
            <w:bottom w:val="single" w:sz="6" w:space="0" w:color="A6A6A6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 Light" w:hAnsi="Calibri Light" w:cs="Calibri Ligh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الثانية: تعزيز الوعي بالسلوك والانضباط عبر البرامج التوعوية المنظمة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