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الإضاءة الرابعة: المتابعة اليومية للحضور والانصراف والسلوك ومعالجة الانحرافات</w:t>
            </w:r>
          </w:p>
        </w:tc>
      </w:tr>
    </w:tbl>
    <w:tbl>
      <w:tblPr>
        <w:bidiVisual/>
        <w:tblW w:type="auto" w:w="0"/>
        <w:jc w:val="center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814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المجال</w:t>
            </w:r>
          </w:p>
        </w:tc>
        <w:tc>
          <w:tcPr>
            <w:tcW w:type="dxa" w:w="839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نواتج التعلم</w:t>
            </w:r>
          </w:p>
        </w:tc>
      </w:tr>
      <w:tr>
        <w:tc>
          <w:tcPr>
            <w:tcW w:type="dxa" w:w="1814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المعيار</w:t>
            </w:r>
          </w:p>
        </w:tc>
        <w:tc>
          <w:tcPr>
            <w:tcW w:type="dxa" w:w="839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التطور الشخصي والصحي والاجتماعي</w:t>
            </w:r>
          </w:p>
        </w:tc>
      </w:tr>
      <w:tr>
        <w:tc>
          <w:tcPr>
            <w:tcW w:type="dxa" w:w="1814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المؤشر</w:t>
            </w:r>
          </w:p>
        </w:tc>
        <w:tc>
          <w:tcPr>
            <w:tcW w:type="dxa" w:w="839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9"/>
                <w:szCs w:val="19"/>
                <w:rtl/>
              </w:rPr>
              <w:t>يلتزم المتعلمون بقواعد السلوك والانضباط المدرسي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الفكرة المحورية</w:t>
      </w:r>
    </w:p>
    <w:p>
      <w:pPr>
        <w:bidi/>
        <w:spacing w:before="0" w:after="60" w:line="276" w:lineRule="auto"/>
        <w:jc w:val="right"/>
      </w:pPr>
      <w:r>
        <w:rPr>
          <w:rFonts w:ascii="Calibri Light" w:hAnsi="Calibri Light" w:cs="Calibri Light"/>
          <w:b w:val="0"/>
          <w:bCs w:val="0"/>
          <w:i w:val="0"/>
          <w:color w:val="203864"/>
          <w:sz w:val="21"/>
          <w:szCs w:val="21"/>
          <w:rtl/>
        </w:rPr>
        <w:t>رصدٌ يومي دقيق بالتنسيق مع وكلاء المدرسة والمعلمين؛ لاكتشاف حالات الغياب والتأخر والمخالفات مبكرًا، ومعالجتها بالتواصل مع أولياء الأمور وفق الأنظمة والتعليمات المنظمة، مع مراعاة خصوصية الحالات الفردية.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إثراء أدوار المرشد الطلابي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لوحة المتابعة اليومية: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تحديث بيانات الحضور والانصراف والمخالفات يوميًا (لوحة رقمية أو سجل منظم) بالتنسيق مع وكيل الشؤون الطلابية.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بروتوكول تصعيد متفق عليه: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غياب يوم ← تواصل مع الأسرة؛ غياب ثلاثة أيام ← جلسة إرشادية؛ استمرار الحالة ← الإجراءات النظامية المعمول بها.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قناة تنسيق سريعة: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تنسيق يومي مع الوكلاء والمعلمين عبر مجموعة عمل واستمارة إلكترونية للرصد الفوري.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الدعم الفردي: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إنشاء ملف متابعة فردي للمتعلمين ذوي الحالات المتكررة، وخطط دعم تعاونية مع الأسرة.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خطوات التنفيذ الموصى بها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1 -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توحيد نموذج الرصد اليومي (حضور/تأخر/مخالفات) وتدريب المعلمين على التوثيق الفوري.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2 -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تفعيل التواصل مع الأسرة خلال 24 ساعة للحالات المتجددة عبر القنوات الرسمية.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3 -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إصدار تقرير أسبوعي مختصر للإدارة يبرز الحالات المزمنة وسبل معالجتها.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4 -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تصميم خطط علاجية فردية للحالات المتكررة ومراجعتها شهريًا.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رابعًا: مؤشرات نجاح التحقيق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مؤشر: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دقة التوثيق اليومي تتجاوز 95%.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مؤشر: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التواصل مع الأسرة خلال 24 ساعة في أغلب الحالات المتجددة.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مؤشر: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انخفاض حالات التأخر والغياب المزمن ربع سنويًا.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خامسًا: سيناريو تطبيقي للمرشد الطلابي</w:t>
      </w:r>
    </w:p>
    <w:tbl>
      <w:tblPr>
        <w:bidiVisual/>
        <w:tblW w:type="auto" w:w="0"/>
        <w:tblBorders>
          <w:top w:val="single" w:sz="4" w:space="0" w:color="6AA84F"/>
          <w:left w:val="single" w:sz="4" w:space="0" w:color="6AA84F"/>
          <w:bottom w:val="single" w:sz="4" w:space="0" w:color="6AA84F"/>
          <w:right w:val="single" w:sz="4" w:space="0" w:color="6AA84F"/>
          <w:insideH w:val="single" w:sz="4" w:space="0" w:color="6AA84F"/>
          <w:insideV w:val="single" w:sz="4" w:space="0" w:color="6AA84F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7EC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يظهر سجل الرصد تأخر متعلم أربع مرات في أسبوعين؛ يتواصل المرشد مع الأسرة خلال 24 ساعة، ويعقد جلسة قصيرة، ويتابع التحسن أسبوعيًا حتى تستقر الحالة.</w:t>
            </w:r>
          </w:p>
        </w:tc>
      </w:tr>
    </w:tbl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7"/>
                <w:szCs w:val="17"/>
                <w:rtl/>
              </w:rPr>
              <w:t>أدوات التقويم وفق النموذج:   ☑ استبانة المعلم   ☐ استبانة المتعلم   ☐ استبانة الأسرة   ☑ المقابلات   ☑ تحليل الوثائق   ☐ الملاحظة الصفية   ☐ ملاحظة بيئة التعلم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7"/>
                <w:szCs w:val="17"/>
                <w:rtl/>
              </w:rPr>
              <w:t>أفضل ممارسة للمرشد الطلابي: جمع شواهد المؤشر دوريًا عبر الأدوات المحددة أعلاه، وتوثيقها في ملف التحسين المستمر.</w:t>
            </w:r>
          </w:p>
        </w:tc>
      </w:tr>
    </w:tbl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(أ): معايير التقويم ومستويات الإتقان — الإضاءة 4</w:t>
            </w:r>
          </w:p>
        </w:tc>
      </w:tr>
    </w:tbl>
    <w:p>
      <w:pPr>
        <w:bidi/>
        <w:spacing w:before="0" w:after="60" w:line="276" w:lineRule="auto"/>
        <w:jc w:val="right"/>
      </w:pP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يُقوَّم تطبيق هذه الإضاءة عبر المعايير الآتية بمستويات إتقان أربعة، وتُجمع الدرجات موزونة بالوزن النسبي لكل معيار للوصول إلى الحكم الإجمالي.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مستويات الإتقان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1474"/>
        <w:gridCol w:w="1134"/>
        <w:gridCol w:w="7597"/>
      </w:tblGrid>
      <w:tr>
        <w:tc>
          <w:tcPr>
            <w:tcW w:type="dxa" w:w="3402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المستوى</w:t>
            </w:r>
          </w:p>
        </w:tc>
        <w:tc>
          <w:tcPr>
            <w:tcW w:type="dxa" w:w="3402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الدرجة</w:t>
            </w:r>
          </w:p>
        </w:tc>
        <w:tc>
          <w:tcPr>
            <w:tcW w:type="dxa" w:w="3402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وصف الأداء العام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متقن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4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أداء مثالي ومستدام، يوثَّق بشهود واضحة، ويُحتذى به كنموذج.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متمكن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3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الأداء منتظِم وجيد مع فجوات طفيفة لا تؤثر على النتيجة الإجمالية.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نامٍ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2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الأداء قائم لكنه متذبذب أو جزئي، ويحتاج متابعة ودعمًا دوريًا.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مبتدئ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1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الأداء محدود أو متوقف، ويحتاج خطة تدخل عاجلة.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معايير التقويم الخاصة بالإضاءة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2381"/>
        <w:gridCol w:w="4876"/>
        <w:gridCol w:w="1020"/>
        <w:gridCol w:w="1928"/>
      </w:tblGrid>
      <w:tr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معيار التقويم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وصف الأداء المأمول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الوزن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تقدير المُقوِّم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دقة التوثيق اليومي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سجلات محدثة يوميًا ومطابقة للواقع الميداني.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25%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سرعة الاستجابة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التواصل مع الأسرة خلال 24 ساعة للحالات المتجددة.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20%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تطبيق بروتوكول التصعيد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التزام مراحل المعالجة المتفق عليها بالترتيب.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20%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الملفات الفردية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خطط دعم للحالات المتكررة ومراجعتها.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20%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تحليل الأنماط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تقارير أسبوعية تبرز الحالات المزمنة وسبل معالجتها.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15%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</w:tbl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طريقة احتساب الحكم الإجمالي: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الدرجة الكلية = مجموع (درجة كل معيار × وزنه) ÷ 4 — والنتيجة: 3.5 فأعلى: متقن | 2.5–3.4: متمكن | 1.5–2.4: نامٍ | أقل من 1.5: مبتدئ (تُعد خطة تدخل عاجلة).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شواهد الإنجاز المطلوبة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سجل الرصد اليومي (نموذجان: حضور/مخالفات).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سجل التواصل مع الأسر (اتصالات/رسائل).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خطط الدعم الفردية للحالات المتكررة.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التقرير الأسبوعي للإدارة.</w:t>
      </w:r>
    </w:p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(ب): استمارة المتابعة والتقويم — الإضاءة 4</w:t>
            </w:r>
          </w:p>
        </w:tc>
      </w:tr>
    </w:tbl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7FA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المدرسة: ....................................    |    الفصل/الشعبة: ..............    |    التاريخ: ......... / ......... / 1447هـ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اسم المُقوِّم: ....................................    |    الصفة: ( مرشد طلابي / وكيل / مشرف )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بنود الملاحظة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6350"/>
        <w:gridCol w:w="1247"/>
        <w:gridCol w:w="1304"/>
        <w:gridCol w:w="1304"/>
      </w:tblGrid>
      <w:tr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بند الملاحظة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مطابق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جزئيًا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غير مطابق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السجل اليومي للحضور والانصراف محدث ودقيق.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يتم التواصل مع الأسرة خلال 24 ساعة للحالات المتجددة.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بروتوكول التصعيد مطبَّق وموثق بالترتيب.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للحالات المتكررة خطط دعم فردية موثقة.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التقارير الأسبوعية منتظمة وواضحة.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البيانات مطابقة للسجلات الرسمية.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تُحترم خصوصية الحالات الفردية.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ملخص التقدير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عدد البنود المطابقة</w:t>
            </w:r>
          </w:p>
        </w:tc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المطابقة جزئيًا</w:t>
            </w:r>
          </w:p>
        </w:tc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غير المطابقة</w:t>
            </w:r>
          </w:p>
        </w:tc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النسبة الكلية</w:t>
            </w:r>
          </w:p>
        </w:tc>
      </w:tr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التوصية والتوقيع</w:t>
      </w:r>
    </w:p>
    <w:tbl>
      <w:tblPr>
        <w:bidiVisual/>
        <w:tblW w:type="auto" w:w="0"/>
        <w:tblBorders>
          <w:top w:val="single" w:sz="4" w:space="0" w:color="6AA84F"/>
          <w:left w:val="single" w:sz="4" w:space="0" w:color="6AA84F"/>
          <w:bottom w:val="single" w:sz="4" w:space="0" w:color="6AA84F"/>
          <w:right w:val="single" w:sz="4" w:space="0" w:color="6AA84F"/>
          <w:insideH w:val="single" w:sz="4" w:space="0" w:color="6AA84F"/>
          <w:insideV w:val="single" w:sz="4" w:space="0" w:color="6AA84F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7EC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9"/>
                <w:szCs w:val="19"/>
                <w:rtl/>
              </w:rPr>
              <w:t>التوصية:   ☐ مطابق    ☐ مطابق جزئيًا (تُعد خطة تحسين)    ☐ غير مطابق (تُعد خطة تدخل)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ملاحظات المُقوِّم: ................................................................................................................................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توقيع المُقوِّم: ......................        توقيع مدير المدرسة: ......................</w:t>
            </w:r>
          </w:p>
        </w:tc>
      </w:tr>
    </w:tbl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(ج): خطة العمل والتحديات — الإضاءة 4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خطة العمل المختصرة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4082"/>
        <w:gridCol w:w="2041"/>
        <w:gridCol w:w="1361"/>
        <w:gridCol w:w="2721"/>
      </w:tblGrid>
      <w:tr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الإجراء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المسؤول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المدة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مؤشر النجاح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توحيد نموذج الرصد اليومي وتدريب المعلمين.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+ الوكلاء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أسبوعان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نموذج معتمد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تفعيل التواصل السريع مع الأسر.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الطلابي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مستمر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استجابة 24 ساعة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مراجعة الحالات المزمنة وخطط الدعم.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الطلابي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شهري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ملفات محدثة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إصدار التقرير الأسبوعي.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الطلابي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أسبوعي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52 تقريرًا/عام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تحليل الأنماط ربع سنويًا.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+ مسؤول البيانات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ربع سنوي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تقرير تحليلي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تحديات متوقعة وسبل التغلب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4082"/>
        <w:gridCol w:w="6123"/>
      </w:tblGrid>
      <w:tr>
        <w:tc>
          <w:tcPr>
            <w:tcW w:type="dxa" w:w="5103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التحدي المتوقع</w:t>
            </w:r>
          </w:p>
        </w:tc>
        <w:tc>
          <w:tcPr>
            <w:tcW w:type="dxa" w:w="5103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سبل التغلب</w:t>
            </w:r>
          </w:p>
        </w:tc>
      </w:tr>
      <w:tr>
        <w:tc>
          <w:tcPr>
            <w:tcW w:type="dxa" w:w="5103"/>
            <w:shd w:val="clear" w:color="auto" w:fill="FBF3F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ثقل التوثيق على المعلمين.</w:t>
            </w:r>
          </w:p>
        </w:tc>
        <w:tc>
          <w:tcPr>
            <w:tcW w:type="dxa" w:w="510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تبسيط النموذج وجعله إلكترونيًا قدر الإمكان.</w:t>
            </w:r>
          </w:p>
        </w:tc>
      </w:tr>
      <w:tr>
        <w:tc>
          <w:tcPr>
            <w:tcW w:type="dxa" w:w="5103"/>
            <w:shd w:val="clear" w:color="auto" w:fill="FBF3F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تأخر التواصل مع الأسر.</w:t>
            </w:r>
          </w:p>
        </w:tc>
        <w:tc>
          <w:tcPr>
            <w:tcW w:type="dxa" w:w="510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تفويض الوكيل بالاتصال الأولي عند الحاجة.</w:t>
            </w:r>
          </w:p>
        </w:tc>
      </w:tr>
      <w:tr>
        <w:tc>
          <w:tcPr>
            <w:tcW w:type="dxa" w:w="5103"/>
            <w:shd w:val="clear" w:color="auto" w:fill="FBF3F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تسرب بيانات الحالات الحساسة.</w:t>
            </w:r>
          </w:p>
        </w:tc>
        <w:tc>
          <w:tcPr>
            <w:tcW w:type="dxa" w:w="510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ملفات مقفلة وصلاحيات وصول محددة.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أسئلة التقويم الذاتي للمرشد الطلابي</w:t>
      </w:r>
    </w:p>
    <w:tbl>
      <w:tblPr>
        <w:bidiVisual/>
        <w:tblW w:type="auto" w:w="0"/>
        <w:tblBorders>
          <w:top w:val="single" w:sz="4" w:space="0" w:color="6AA84F"/>
          <w:left w:val="single" w:sz="4" w:space="0" w:color="6AA84F"/>
          <w:bottom w:val="single" w:sz="4" w:space="0" w:color="6AA84F"/>
          <w:right w:val="single" w:sz="4" w:space="0" w:color="6AA84F"/>
          <w:insideH w:val="single" w:sz="4" w:space="0" w:color="6AA84F"/>
          <w:insideV w:val="single" w:sz="4" w:space="0" w:color="6AA84F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7EC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هل كل حالة غياب أو تأخر لها أثر موثق في السجل؟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كم حالة تأخرت معالجتها أكثر من 48 ساعة هذا الأسبوع؟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هل خطط الدعم الفردية تُراجع فعلًا أم تُكتب وتُحفظ؟</w:t>
            </w:r>
          </w:p>
        </w:tc>
      </w:tr>
    </w:tbl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1F4E79"/>
                <w:sz w:val="17"/>
                <w:szCs w:val="17"/>
                <w:rtl/>
              </w:rPr>
              <w:t>إرشاد: يُراجع المرشد هذه الأسئلة شهريًا، ويوثّق الإجابات وخطوات التحسين في ملف التحسين المستمر.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2013" w:right="850" w:bottom="1786" w:left="85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3175"/>
      <w:gridCol w:w="3969"/>
      <w:gridCol w:w="3061"/>
    </w:tblGrid>
    <w:tr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/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1531"/>
            <w:gridCol w:w="1531"/>
          </w:tblGrid>
          <w:tr>
            <w:tc>
              <w:tcPr>
                <w:tcW w:type="dxa" w:w="1701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20" w:type="dxa"/>
                  <w:left w:w="40" w:type="dxa"/>
                  <w:bottom w:w="20" w:type="dxa"/>
                  <w:right w:w="4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A60000"/>
                    <w:sz w:val="14"/>
                    <w:szCs w:val="14"/>
                    <w:rtl/>
                  </w:rPr>
                  <w:t>ISO 9001:2015</w:t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CERTIFIED</w:t>
                </w:r>
              </w:p>
            </w:tc>
            <w:tc>
              <w:tcPr>
                <w:tcW w:type="dxa" w:w="1701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20" w:type="dxa"/>
                  <w:left w:w="40" w:type="dxa"/>
                  <w:bottom w:w="20" w:type="dxa"/>
                  <w:right w:w="4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1F4E79"/>
                    <w:sz w:val="14"/>
                    <w:szCs w:val="14"/>
                    <w:rtl/>
                  </w:rPr>
                  <w:t>AiAA</w:t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اعتماد دولي</w:t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bidi/>
            <w:spacing w:before="0" w:after="20" w:line="240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7"/>
              <w:szCs w:val="17"/>
              <w:rtl/>
            </w:rPr>
            <w:t>التعليم المتقـدم يبنـي ...</w:t>
          </w:r>
        </w:p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1247"/>
            <w:gridCol w:w="1247"/>
            <w:gridCol w:w="1247"/>
          </w:tblGrid>
          <w:tr>
            <w:tc>
              <w:tcPr>
                <w:tcW w:type="dxa" w:w="1134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198000" cy="198000"/>
                      <wp:docPr id="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con_person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00" cy="198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المعرفة</w:t>
                </w:r>
              </w:p>
            </w:tc>
            <w:tc>
              <w:tcPr>
                <w:tcW w:type="dxa" w:w="1134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198000" cy="198000"/>
                      <wp:docPr id="2" name="Picture 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con_chart.png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00" cy="198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التكنولوجيا</w:t>
                </w:r>
              </w:p>
            </w:tc>
            <w:tc>
              <w:tcPr>
                <w:tcW w:type="dxa" w:w="1134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198000" cy="198000"/>
                      <wp:docPr id="3" name="Picture 3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con_atom.png"/>
                              <pic:cNvPicPr/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00" cy="198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العلوم</w:t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bidi/>
            <w:spacing w:before="0" w:after="0" w:line="264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6"/>
              <w:szCs w:val="16"/>
              <w:rtl/>
            </w:rPr>
            <w:t xml:space="preserve">f   X   ◎   </w:t>
          </w: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6"/>
              <w:szCs w:val="16"/>
              <w:rtl/>
            </w:rPr>
            <w:t>Ajailyanbu</w:t>
          </w:r>
        </w:p>
        <w:p>
          <w:pPr>
            <w:bidi/>
            <w:spacing w:before="0" w:after="0" w:line="264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6AA84F"/>
              <w:sz w:val="16"/>
              <w:szCs w:val="16"/>
              <w:rtl/>
            </w:rPr>
            <w:t xml:space="preserve">☎   </w:t>
          </w:r>
          <w:r>
            <w:rPr>
              <w:rFonts w:ascii="Calibri Light" w:hAnsi="Calibri Light" w:cs="Calibri Light"/>
              <w:b w:val="0"/>
              <w:bCs w:val="0"/>
              <w:i w:val="0"/>
              <w:color w:val="1F4E79"/>
              <w:sz w:val="16"/>
              <w:szCs w:val="16"/>
              <w:rtl/>
            </w:rPr>
            <w:t>Nabualmarifa.edu.sa</w:t>
          </w:r>
        </w:p>
      </w:tc>
    </w:tr>
  </w:tbl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6520"/>
      <w:gridCol w:w="3685"/>
    </w:tblGrid>
    <w:tr>
      <w:tc>
        <w:tcPr>
          <w:tcW w:type="dxa" w:w="5102"/>
          <w:tcBorders>
            <w:bottom w:val="single" w:sz="6" w:space="0" w:color="1F4E79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  <w:tc>
        <w:tcPr>
          <w:tcW w:type="dxa" w:w="5102"/>
          <w:tcBorders>
            <w:bottom w:val="single" w:sz="36" w:space="0" w:color="6AA84F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3969"/>
      <w:gridCol w:w="3402"/>
      <w:gridCol w:w="2835"/>
    </w:tblGrid>
    <w:tr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/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2891"/>
            <w:gridCol w:w="964"/>
          </w:tblGrid>
          <w:tr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2E7D32"/>
                    <w:sz w:val="20"/>
                    <w:szCs w:val="20"/>
                    <w:rtl/>
                  </w:rPr>
                  <w:t>المملكة العربية السعودية</w:t>
                </w:r>
              </w:p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203864"/>
                    <w:sz w:val="17"/>
                    <w:szCs w:val="17"/>
                    <w:rtl/>
                  </w:rPr>
                  <w:t>وزارة التعليم</w:t>
                </w:r>
              </w:p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203864"/>
                    <w:sz w:val="15"/>
                    <w:szCs w:val="15"/>
                    <w:rtl/>
                  </w:rPr>
                  <w:t>الإدارة العامة للتعليم</w:t>
                </w:r>
              </w:p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203864"/>
                    <w:sz w:val="15"/>
                    <w:szCs w:val="15"/>
                    <w:rtl/>
                  </w:rPr>
                  <w:t>مكتب التعليم</w:t>
                </w:r>
              </w:p>
            </w:tc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52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540000" cy="540000"/>
                      <wp:docPr id="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mark_ksa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0000" cy="540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/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2268"/>
            <w:gridCol w:w="1020"/>
          </w:tblGrid>
          <w:tr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76" w:lineRule="auto"/>
                  <w:jc w:val="right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1F4E79"/>
                    <w:sz w:val="22"/>
                    <w:szCs w:val="22"/>
                    <w:rtl/>
                  </w:rPr>
                  <w:t>مـدارس أجـيال للبنـات المـتـميزة</w:t>
                </w:r>
              </w:p>
            </w:tc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52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576000" cy="576000"/>
                      <wp:docPr id="2" name="Picture 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mark_ajyal.png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6000" cy="576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bidi/>
            <w:spacing w:before="0" w:after="0" w:line="252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rk_dev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bidi/>
            <w:spacing w:before="0" w:after="0" w:line="240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8"/>
              <w:szCs w:val="18"/>
              <w:rtl/>
            </w:rPr>
            <w:t>التنمية المتكاملة</w:t>
          </w:r>
        </w:p>
        <w:p>
          <w:pPr>
            <w:bidi/>
            <w:spacing w:before="0" w:after="0" w:line="240" w:lineRule="auto"/>
            <w:jc w:val="center"/>
          </w:pPr>
          <w:r>
            <w:rPr>
              <w:rFonts w:ascii="Calibri Light" w:hAnsi="Calibri Light" w:cs="Calibri Light"/>
              <w:b w:val="0"/>
              <w:bCs w:val="0"/>
              <w:i w:val="0"/>
              <w:color w:val="595959"/>
              <w:sz w:val="13"/>
              <w:szCs w:val="13"/>
              <w:rtl/>
            </w:rPr>
            <w:t>Integrated Developments</w:t>
          </w:r>
        </w:p>
      </w:tc>
    </w:tr>
  </w:tbl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1984"/>
      <w:gridCol w:w="5669"/>
      <w:gridCol w:w="2551"/>
    </w:tblGrid>
    <w:tr>
      <w:tc>
        <w:tcPr>
          <w:tcW w:type="dxa" w:w="3402"/>
          <w:tcBorders>
            <w:bottom w:val="single" w:sz="6" w:space="0" w:color="A6A6A6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  <w:tc>
        <w:tcPr>
          <w:tcW w:type="dxa" w:w="3402"/>
          <w:tcBorders>
            <w:bottom w:val="single" w:sz="36" w:space="0" w:color="6AA84F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  <w:tc>
        <w:tcPr>
          <w:tcW w:type="dxa" w:w="3402"/>
          <w:tcBorders>
            <w:bottom w:val="single" w:sz="6" w:space="0" w:color="1F4E79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 Light" w:hAnsi="Calibri Light" w:cs="Calibri Ligh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الإضاءة الرابعة: المتابعة اليومية للحضور والانصراف والسلوك ومعالجة الانحرافات</dc:title>
  <dc:subject>نموذج معايير التقويم والاعتماد المدرسي 2026 — نواتج التعلم</dc:subject>
  <dc:creator>المرشد الطلابي</dc:creator>
  <cp:keywords/>
  <dc:description>المؤشر: يلتزم المتعلمون بقواعد السلوك والانضباط المدرسي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