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auto" w:w="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bidi/>
              <w:spacing w:before="0" w:after="0" w:line="264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24"/>
                <w:szCs w:val="24"/>
                <w:rtl/>
              </w:rPr>
              <w:t>الإضاءة الخامسة: تعزيز السلوك الإيجابي عبر برامج التحفيز والتكريم</w:t>
            </w:r>
          </w:p>
        </w:tc>
      </w:tr>
    </w:tbl>
    <w:tbl>
      <w:tblPr>
        <w:bidiVisual/>
        <w:tblW w:type="auto" w:w="0"/>
        <w:jc w:val="center"/>
        <w:tblBorders>
          <w:top w:val="single" w:sz="4" w:space="0" w:color="B7C9DA"/>
          <w:left w:val="single" w:sz="4" w:space="0" w:color="B7C9DA"/>
          <w:bottom w:val="single" w:sz="4" w:space="0" w:color="B7C9DA"/>
          <w:right w:val="single" w:sz="4" w:space="0" w:color="B7C9DA"/>
          <w:insideH w:val="single" w:sz="4" w:space="0" w:color="B7C9DA"/>
          <w:insideV w:val="single" w:sz="4" w:space="0" w:color="B7C9DA"/>
        </w:tblBorders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1814"/>
            <w:shd w:val="clear" w:color="auto" w:fill="DCE6F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1F4E79"/>
                <w:sz w:val="18"/>
                <w:szCs w:val="18"/>
                <w:rtl/>
              </w:rPr>
              <w:t>المجال</w:t>
            </w:r>
          </w:p>
        </w:tc>
        <w:tc>
          <w:tcPr>
            <w:tcW w:type="dxa" w:w="839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نواتج التعلم</w:t>
            </w:r>
          </w:p>
        </w:tc>
      </w:tr>
      <w:tr>
        <w:tc>
          <w:tcPr>
            <w:tcW w:type="dxa" w:w="1814"/>
            <w:shd w:val="clear" w:color="auto" w:fill="DCE6F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1F4E79"/>
                <w:sz w:val="18"/>
                <w:szCs w:val="18"/>
                <w:rtl/>
              </w:rPr>
              <w:t>المعيار</w:t>
            </w:r>
          </w:p>
        </w:tc>
        <w:tc>
          <w:tcPr>
            <w:tcW w:type="dxa" w:w="839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التطور الشخصي والصحي والاجتماعي</w:t>
            </w:r>
          </w:p>
        </w:tc>
      </w:tr>
      <w:tr>
        <w:tc>
          <w:tcPr>
            <w:tcW w:type="dxa" w:w="1814"/>
            <w:shd w:val="clear" w:color="auto" w:fill="DCE6F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1F4E79"/>
                <w:sz w:val="18"/>
                <w:szCs w:val="18"/>
                <w:rtl/>
              </w:rPr>
              <w:t>المؤشر</w:t>
            </w:r>
          </w:p>
        </w:tc>
        <w:tc>
          <w:tcPr>
            <w:tcW w:type="dxa" w:w="839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9"/>
                <w:szCs w:val="19"/>
                <w:rtl/>
              </w:rPr>
              <w:t>يلتزم المتعلمون بقواعد السلوك والانضباط المدرسي</w:t>
            </w:r>
          </w:p>
        </w:tc>
      </w:tr>
    </w:tbl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أولًا: الفكرة المحورية</w:t>
      </w:r>
    </w:p>
    <w:p>
      <w:pPr>
        <w:bidi/>
        <w:spacing w:before="0" w:after="60" w:line="276" w:lineRule="auto"/>
        <w:jc w:val="right"/>
      </w:pPr>
      <w:r>
        <w:rPr>
          <w:rFonts w:ascii="Calibri Light" w:hAnsi="Calibri Light" w:cs="Calibri Light"/>
          <w:b w:val="0"/>
          <w:bCs w:val="0"/>
          <w:i w:val="0"/>
          <w:color w:val="203864"/>
          <w:sz w:val="21"/>
          <w:szCs w:val="21"/>
          <w:rtl/>
        </w:rPr>
        <w:t>أن الجزاء الإيجابي أثبت أثرًا من الزجر؛ برامج تحفيزية متنوعة تُعلي من قيمة الالتزام وتُثبّت السلوك السوي عبر تكريم المتعلمين الملتزمين بقواعد السلوك في الطابور الصباحي والفصول والمنصات المدرسية.</w:t>
      </w:r>
    </w:p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ثانيًا: إثراء أدوار المرشد الطلابي</w:t>
      </w:r>
    </w:p>
    <w:p>
      <w:pPr>
        <w:bidi/>
        <w:spacing w:before="0" w:after="40" w:line="269" w:lineRule="auto"/>
        <w:ind w:right="198" w:hanging="198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◆ </w:t>
      </w:r>
      <w:r>
        <w:rPr>
          <w:rFonts w:ascii="Calibri Light" w:hAnsi="Calibri Light" w:cs="Calibri Light"/>
          <w:b/>
          <w:bCs w:val="1"/>
          <w:i w:val="0"/>
          <w:color w:val="1F4E79"/>
          <w:sz w:val="20"/>
          <w:szCs w:val="20"/>
          <w:rtl/>
        </w:rPr>
        <w:t xml:space="preserve">برنامج «طالب الأسبوع/الفصل»: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معايير شفافة (الالتزام، المواظبة، الأخلاق، المبادرة) يرشح لها المعلمون وزملاء الصف.</w:t>
      </w:r>
    </w:p>
    <w:p>
      <w:pPr>
        <w:bidi/>
        <w:spacing w:before="0" w:after="40" w:line="269" w:lineRule="auto"/>
        <w:ind w:right="198" w:hanging="198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◆ </w:t>
      </w:r>
      <w:r>
        <w:rPr>
          <w:rFonts w:ascii="Calibri Light" w:hAnsi="Calibri Light" w:cs="Calibri Light"/>
          <w:b/>
          <w:bCs w:val="1"/>
          <w:i w:val="0"/>
          <w:color w:val="1F4E79"/>
          <w:sz w:val="20"/>
          <w:szCs w:val="20"/>
          <w:rtl/>
        </w:rPr>
        <w:t xml:space="preserve">تنويع أشكال التكريم: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شهادات، أوسمة، لوحة شرف، إعلان على المنصات المدرسية، ومكافآت رمزية تُحفّز دون مبالغة.</w:t>
      </w:r>
    </w:p>
    <w:p>
      <w:pPr>
        <w:bidi/>
        <w:spacing w:before="0" w:after="40" w:line="269" w:lineRule="auto"/>
        <w:ind w:right="198" w:hanging="198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◆ </w:t>
      </w:r>
      <w:r>
        <w:rPr>
          <w:rFonts w:ascii="Calibri Light" w:hAnsi="Calibri Light" w:cs="Calibri Light"/>
          <w:b/>
          <w:bCs w:val="1"/>
          <w:i w:val="0"/>
          <w:color w:val="1F4E79"/>
          <w:sz w:val="20"/>
          <w:szCs w:val="20"/>
          <w:rtl/>
        </w:rPr>
        <w:t xml:space="preserve">التحفيز الجماعي: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مسابقة الفصول الملتزمة (كأس الانضباط) لتنمية روح الفريق والمسؤولية المشتركة.</w:t>
      </w:r>
    </w:p>
    <w:p>
      <w:pPr>
        <w:bidi/>
        <w:spacing w:before="0" w:after="40" w:line="269" w:lineRule="auto"/>
        <w:ind w:right="198" w:hanging="198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◆ </w:t>
      </w:r>
      <w:r>
        <w:rPr>
          <w:rFonts w:ascii="Calibri Light" w:hAnsi="Calibri Light" w:cs="Calibri Light"/>
          <w:b/>
          <w:bCs w:val="1"/>
          <w:i w:val="0"/>
          <w:color w:val="1F4E79"/>
          <w:sz w:val="20"/>
          <w:szCs w:val="20"/>
          <w:rtl/>
        </w:rPr>
        <w:t xml:space="preserve">إشراف الطلاب: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إشراك القادة الطلابيين في الترشيح والتحكيم والتنظيم لترسيخ ملكية السلوك الإيجابي.</w:t>
      </w:r>
    </w:p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ثالثًا: خطوات التنفيذ الموصى بها</w:t>
      </w:r>
    </w:p>
    <w:p>
      <w:pPr>
        <w:bidi/>
        <w:spacing w:before="0" w:after="40" w:line="269" w:lineRule="auto"/>
        <w:ind w:right="283" w:hanging="283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1 -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إعلان معايير التكريم ونشرها بشفافية على جميع المتعلمين.</w:t>
      </w:r>
    </w:p>
    <w:p>
      <w:pPr>
        <w:bidi/>
        <w:spacing w:before="0" w:after="40" w:line="269" w:lineRule="auto"/>
        <w:ind w:right="283" w:hanging="283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2 -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جدولة التكريم (طابور الأحد، لقاء شهري) والالتزام الدقيق بها.</w:t>
      </w:r>
    </w:p>
    <w:p>
      <w:pPr>
        <w:bidi/>
        <w:spacing w:before="0" w:after="40" w:line="269" w:lineRule="auto"/>
        <w:ind w:right="283" w:hanging="283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3 -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توثيق التكريم ومشاركته مع الأسر لتوسيع أثر التحفيز.</w:t>
      </w:r>
    </w:p>
    <w:p>
      <w:pPr>
        <w:bidi/>
        <w:spacing w:before="0" w:after="40" w:line="269" w:lineRule="auto"/>
        <w:ind w:right="283" w:hanging="283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4 -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قياس أثر التحفيز عبر استبانة المتعلم/المعلم ومقارنة المؤشرات قبل وبعد.</w:t>
      </w:r>
    </w:p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رابعًا: مؤشرات نجاح التحقيق</w:t>
      </w:r>
    </w:p>
    <w:p>
      <w:pPr>
        <w:bidi/>
        <w:spacing w:before="0" w:after="40" w:line="269" w:lineRule="auto"/>
        <w:ind w:right="198" w:hanging="198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✓ </w:t>
      </w:r>
      <w:r>
        <w:rPr>
          <w:rFonts w:ascii="Calibri Light" w:hAnsi="Calibri Light" w:cs="Calibri Light"/>
          <w:b/>
          <w:bCs w:val="1"/>
          <w:i w:val="0"/>
          <w:color w:val="1F4E79"/>
          <w:sz w:val="20"/>
          <w:szCs w:val="20"/>
          <w:rtl/>
        </w:rPr>
        <w:t xml:space="preserve">مؤشر: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ارتفاع نسبة المكرمين من إجمالي المتعلمين فصليًا.</w:t>
      </w:r>
    </w:p>
    <w:p>
      <w:pPr>
        <w:bidi/>
        <w:spacing w:before="0" w:after="40" w:line="269" w:lineRule="auto"/>
        <w:ind w:right="198" w:hanging="198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✓ </w:t>
      </w:r>
      <w:r>
        <w:rPr>
          <w:rFonts w:ascii="Calibri Light" w:hAnsi="Calibri Light" w:cs="Calibri Light"/>
          <w:b/>
          <w:bCs w:val="1"/>
          <w:i w:val="0"/>
          <w:color w:val="1F4E79"/>
          <w:sz w:val="20"/>
          <w:szCs w:val="20"/>
          <w:rtl/>
        </w:rPr>
        <w:t xml:space="preserve">مؤشر: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تحسن التزام الفصول المستهدفة بالمقارنة مع بداية العام.</w:t>
      </w:r>
    </w:p>
    <w:p>
      <w:pPr>
        <w:bidi/>
        <w:spacing w:before="0" w:after="40" w:line="269" w:lineRule="auto"/>
        <w:ind w:right="198" w:hanging="198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✓ </w:t>
      </w:r>
      <w:r>
        <w:rPr>
          <w:rFonts w:ascii="Calibri Light" w:hAnsi="Calibri Light" w:cs="Calibri Light"/>
          <w:b/>
          <w:bCs w:val="1"/>
          <w:i w:val="0"/>
          <w:color w:val="1F4E79"/>
          <w:sz w:val="20"/>
          <w:szCs w:val="20"/>
          <w:rtl/>
        </w:rPr>
        <w:t xml:space="preserve">مؤشر: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رضا المتعلمين عن عدالة معايير التكريم يتجاوز 85%.</w:t>
      </w:r>
    </w:p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خامسًا: سيناريو تطبيقي للمرشد الطلابي</w:t>
      </w:r>
    </w:p>
    <w:tbl>
      <w:tblPr>
        <w:bidiVisual/>
        <w:tblW w:type="auto" w:w="0"/>
        <w:tblBorders>
          <w:top w:val="single" w:sz="4" w:space="0" w:color="6AA84F"/>
          <w:left w:val="single" w:sz="4" w:space="0" w:color="6AA84F"/>
          <w:bottom w:val="single" w:sz="4" w:space="0" w:color="6AA84F"/>
          <w:right w:val="single" w:sz="4" w:space="0" w:color="6AA84F"/>
          <w:insideH w:val="single" w:sz="4" w:space="0" w:color="6AA84F"/>
          <w:insideV w:val="single" w:sz="4" w:space="0" w:color="6AA84F"/>
        </w:tblBorders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2F7EC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bidi/>
              <w:spacing w:before="0" w:after="20" w:line="264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يكرم المرشد في طابور الأحد فصلًا كاملًا التزم بالمواظبة؛ يُوثَّق التكريم ويُرسل للأسر، فتنعكس الملاحظة الإيجابية على انضباط بقية الفصول.</w:t>
            </w:r>
          </w:p>
        </w:tc>
      </w:tr>
    </w:tbl>
    <w:tbl>
      <w:tblPr>
        <w:bidiVisual/>
        <w:tblW w:type="auto" w:w="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DF3F8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bidi/>
              <w:spacing w:before="0" w:after="20" w:line="264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1F4E79"/>
                <w:sz w:val="17"/>
                <w:szCs w:val="17"/>
                <w:rtl/>
              </w:rPr>
              <w:t>أدوات التقويم وفق النموذج:   ☑ استبانة المعلم   ☐ استبانة المتعلم   ☐ استبانة الأسرة   ☑ المقابلات   ☑ تحليل الوثائق   ☐ الملاحظة الصفية   ☐ ملاحظة بيئة التعلم</w:t>
            </w:r>
          </w:p>
          <w:p>
            <w:pPr>
              <w:bidi/>
              <w:spacing w:before="0" w:after="20" w:line="264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7"/>
                <w:szCs w:val="17"/>
                <w:rtl/>
              </w:rPr>
              <w:t>أفضل ممارسة للمرشد الطلابي: جمع شواهد المؤشر دوريًا عبر الأدوات المحددة أعلاه، وتوثيقها في ملف التحسين المستمر.</w:t>
            </w:r>
          </w:p>
        </w:tc>
      </w:tr>
    </w:tbl>
    <w:p>
      <w:r>
        <w:br w:type="page"/>
      </w:r>
    </w:p>
    <w:tbl>
      <w:tblPr>
        <w:bidiVisual/>
        <w:tblW w:type="auto" w:w="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bidi/>
              <w:spacing w:before="0" w:after="0" w:line="264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24"/>
                <w:szCs w:val="24"/>
                <w:rtl/>
              </w:rPr>
              <w:t>ملحق (أ): معايير التقويم ومستويات الإتقان — الإضاءة 5</w:t>
            </w:r>
          </w:p>
        </w:tc>
      </w:tr>
    </w:tbl>
    <w:p>
      <w:pPr>
        <w:bidi/>
        <w:spacing w:before="0" w:after="60" w:line="276" w:lineRule="auto"/>
        <w:jc w:val="right"/>
      </w:pP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يُقوَّم تطبيق هذه الإضاءة عبر المعايير الآتية بمستويات إتقان أربعة، وتُجمع الدرجات موزونة بالوزن النسبي لكل معيار للوصول إلى الحكم الإجمالي.</w:t>
      </w:r>
    </w:p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أولًا: مستويات الإتقان</w:t>
      </w:r>
    </w:p>
    <w:tbl>
      <w:tblPr>
        <w:bidiVisual/>
        <w:tblW w:type="auto" w:w="0"/>
        <w:tblBorders>
          <w:top w:val="single" w:sz="4" w:space="0" w:color="B7C9DA"/>
          <w:left w:val="single" w:sz="4" w:space="0" w:color="B7C9DA"/>
          <w:bottom w:val="single" w:sz="4" w:space="0" w:color="B7C9DA"/>
          <w:right w:val="single" w:sz="4" w:space="0" w:color="B7C9DA"/>
          <w:insideH w:val="single" w:sz="4" w:space="0" w:color="B7C9DA"/>
          <w:insideV w:val="single" w:sz="4" w:space="0" w:color="B7C9DA"/>
        </w:tblBorders>
        <w:tblLook w:firstColumn="1" w:firstRow="1" w:lastColumn="0" w:lastRow="0" w:noHBand="0" w:noVBand="1" w:val="04A0"/>
      </w:tblPr>
      <w:tblGrid>
        <w:gridCol w:w="1474"/>
        <w:gridCol w:w="1134"/>
        <w:gridCol w:w="7597"/>
      </w:tblGrid>
      <w:tr>
        <w:tc>
          <w:tcPr>
            <w:tcW w:type="dxa" w:w="3402"/>
            <w:shd w:val="clear" w:color="auto" w:fill="1F4E79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المستوى</w:t>
            </w:r>
          </w:p>
        </w:tc>
        <w:tc>
          <w:tcPr>
            <w:tcW w:type="dxa" w:w="3402"/>
            <w:shd w:val="clear" w:color="auto" w:fill="1F4E79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الدرجة</w:t>
            </w:r>
          </w:p>
        </w:tc>
        <w:tc>
          <w:tcPr>
            <w:tcW w:type="dxa" w:w="3402"/>
            <w:shd w:val="clear" w:color="auto" w:fill="1F4E79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وصف الأداء العام</w:t>
            </w:r>
          </w:p>
        </w:tc>
      </w:tr>
      <w:tr>
        <w:tc>
          <w:tcPr>
            <w:tcW w:type="dxa" w:w="3402"/>
            <w:shd w:val="clear" w:color="auto" w:fill="DCE6F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متقن</w:t>
            </w:r>
          </w:p>
        </w:tc>
        <w:tc>
          <w:tcPr>
            <w:tcW w:type="dxa" w:w="3402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4</w:t>
            </w:r>
          </w:p>
        </w:tc>
        <w:tc>
          <w:tcPr>
            <w:tcW w:type="dxa" w:w="3402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أداء مثالي ومستدام، يوثَّق بشهود واضحة، ويُحتذى به كنموذج.</w:t>
            </w:r>
          </w:p>
        </w:tc>
      </w:tr>
      <w:tr>
        <w:tc>
          <w:tcPr>
            <w:tcW w:type="dxa" w:w="3402"/>
            <w:shd w:val="clear" w:color="auto" w:fill="DCE6F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متمكن</w:t>
            </w:r>
          </w:p>
        </w:tc>
        <w:tc>
          <w:tcPr>
            <w:tcW w:type="dxa" w:w="3402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3</w:t>
            </w:r>
          </w:p>
        </w:tc>
        <w:tc>
          <w:tcPr>
            <w:tcW w:type="dxa" w:w="3402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الأداء منتظِم وجيد مع فجوات طفيفة لا تؤثر على النتيجة الإجمالية.</w:t>
            </w:r>
          </w:p>
        </w:tc>
      </w:tr>
      <w:tr>
        <w:tc>
          <w:tcPr>
            <w:tcW w:type="dxa" w:w="3402"/>
            <w:shd w:val="clear" w:color="auto" w:fill="DCE6F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نامٍ</w:t>
            </w:r>
          </w:p>
        </w:tc>
        <w:tc>
          <w:tcPr>
            <w:tcW w:type="dxa" w:w="3402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2</w:t>
            </w:r>
          </w:p>
        </w:tc>
        <w:tc>
          <w:tcPr>
            <w:tcW w:type="dxa" w:w="3402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الأداء قائم لكنه متذبذب أو جزئي، ويحتاج متابعة ودعمًا دوريًا.</w:t>
            </w:r>
          </w:p>
        </w:tc>
      </w:tr>
      <w:tr>
        <w:tc>
          <w:tcPr>
            <w:tcW w:type="dxa" w:w="3402"/>
            <w:shd w:val="clear" w:color="auto" w:fill="DCE6F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مبتدئ</w:t>
            </w:r>
          </w:p>
        </w:tc>
        <w:tc>
          <w:tcPr>
            <w:tcW w:type="dxa" w:w="3402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1</w:t>
            </w:r>
          </w:p>
        </w:tc>
        <w:tc>
          <w:tcPr>
            <w:tcW w:type="dxa" w:w="3402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الأداء محدود أو متوقف، ويحتاج خطة تدخل عاجلة.</w:t>
            </w:r>
          </w:p>
        </w:tc>
      </w:tr>
    </w:tbl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ثانيًا: معايير التقويم الخاصة بالإضاءة</w:t>
      </w:r>
    </w:p>
    <w:tbl>
      <w:tblPr>
        <w:bidiVisual/>
        <w:tblW w:type="auto" w:w="0"/>
        <w:tblBorders>
          <w:top w:val="single" w:sz="4" w:space="0" w:color="B7C9DA"/>
          <w:left w:val="single" w:sz="4" w:space="0" w:color="B7C9DA"/>
          <w:bottom w:val="single" w:sz="4" w:space="0" w:color="B7C9DA"/>
          <w:right w:val="single" w:sz="4" w:space="0" w:color="B7C9DA"/>
          <w:insideH w:val="single" w:sz="4" w:space="0" w:color="B7C9DA"/>
          <w:insideV w:val="single" w:sz="4" w:space="0" w:color="B7C9DA"/>
        </w:tblBorders>
        <w:tblLook w:firstColumn="1" w:firstRow="1" w:lastColumn="0" w:lastRow="0" w:noHBand="0" w:noVBand="1" w:val="04A0"/>
      </w:tblPr>
      <w:tblGrid>
        <w:gridCol w:w="2381"/>
        <w:gridCol w:w="4876"/>
        <w:gridCol w:w="1020"/>
        <w:gridCol w:w="1928"/>
      </w:tblGrid>
      <w:tr>
        <w:tc>
          <w:tcPr>
            <w:tcW w:type="dxa" w:w="2551"/>
            <w:shd w:val="clear" w:color="auto" w:fill="6AA84F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معيار التقويم</w:t>
            </w:r>
          </w:p>
        </w:tc>
        <w:tc>
          <w:tcPr>
            <w:tcW w:type="dxa" w:w="2551"/>
            <w:shd w:val="clear" w:color="auto" w:fill="6AA84F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وصف الأداء المأمول</w:t>
            </w:r>
          </w:p>
        </w:tc>
        <w:tc>
          <w:tcPr>
            <w:tcW w:type="dxa" w:w="2551"/>
            <w:shd w:val="clear" w:color="auto" w:fill="6AA84F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الوزن</w:t>
            </w:r>
          </w:p>
        </w:tc>
        <w:tc>
          <w:tcPr>
            <w:tcW w:type="dxa" w:w="2551"/>
            <w:shd w:val="clear" w:color="auto" w:fill="6AA84F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تقدير المُقوِّم</w:t>
            </w:r>
          </w:p>
        </w:tc>
      </w:tr>
      <w:tr>
        <w:tc>
          <w:tcPr>
            <w:tcW w:type="dxa" w:w="2551"/>
            <w:shd w:val="clear" w:color="auto" w:fill="F2F7EC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شفافية المعايير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معايير التكريم معلنة ومفهومة للجميع.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20%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____ / 4</w:t>
            </w:r>
          </w:p>
        </w:tc>
      </w:tr>
      <w:tr>
        <w:tc>
          <w:tcPr>
            <w:tcW w:type="dxa" w:w="2551"/>
            <w:shd w:val="clear" w:color="auto" w:fill="F2F7EC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تنوع أشكال التحفيز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تعدد وسائل التكريم المناسبة والملائمة.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20%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____ / 4</w:t>
            </w:r>
          </w:p>
        </w:tc>
      </w:tr>
      <w:tr>
        <w:tc>
          <w:tcPr>
            <w:tcW w:type="dxa" w:w="2551"/>
            <w:shd w:val="clear" w:color="auto" w:fill="F2F7EC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انتظام التكريم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الالتزام بالجدولة (أسبوعي/شهري) دون تعثر.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20%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____ / 4</w:t>
            </w:r>
          </w:p>
        </w:tc>
      </w:tr>
      <w:tr>
        <w:tc>
          <w:tcPr>
            <w:tcW w:type="dxa" w:w="2551"/>
            <w:shd w:val="clear" w:color="auto" w:fill="F2F7EC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العدالة والشمول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توزيع التكريم على الفصول والمراحل بإنصاف.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20%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____ / 4</w:t>
            </w:r>
          </w:p>
        </w:tc>
      </w:tr>
      <w:tr>
        <w:tc>
          <w:tcPr>
            <w:tcW w:type="dxa" w:w="2551"/>
            <w:shd w:val="clear" w:color="auto" w:fill="F2F7EC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قياس الأثر التحفيزي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استبانات رضا ومقارنة مؤشرات السلوك.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20%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____ / 4</w:t>
            </w:r>
          </w:p>
        </w:tc>
      </w:tr>
    </w:tbl>
    <w:tbl>
      <w:tblPr>
        <w:bidiVisual/>
        <w:tblW w:type="auto" w:w="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DF3F8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bidi/>
              <w:spacing w:before="0" w:after="20" w:line="264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1F4E79"/>
                <w:sz w:val="18"/>
                <w:szCs w:val="18"/>
                <w:rtl/>
              </w:rPr>
              <w:t>طريقة احتساب الحكم الإجمالي:</w:t>
            </w:r>
          </w:p>
          <w:p>
            <w:pPr>
              <w:bidi/>
              <w:spacing w:before="0" w:after="20" w:line="264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الدرجة الكلية = مجموع (درجة كل معيار × وزنه) ÷ 4 — والنتيجة: 3.5 فأعلى: متقن | 2.5–3.4: متمكن | 1.5–2.4: نامٍ | أقل من 1.5: مبتدئ (تُعد خطة تدخل عاجلة).</w:t>
            </w:r>
          </w:p>
        </w:tc>
      </w:tr>
    </w:tbl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ثالثًا: شواهد الإنجاز المطلوبة</w:t>
      </w:r>
    </w:p>
    <w:p>
      <w:pPr>
        <w:bidi/>
        <w:spacing w:before="0" w:after="40" w:line="269" w:lineRule="auto"/>
        <w:ind w:right="198" w:hanging="198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◆ </w:t>
      </w:r>
      <w:r>
        <w:rPr>
          <w:rFonts w:ascii="Calibri Light" w:hAnsi="Calibri Light" w:cs="Calibri Light"/>
          <w:b/>
          <w:bCs w:val="1"/>
          <w:i w:val="0"/>
          <w:color w:val="1F4E79"/>
          <w:sz w:val="20"/>
          <w:szCs w:val="20"/>
          <w:rtl/>
        </w:rPr>
        <w:t xml:space="preserve">شاهد: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معايير التكريم المعتمدة والمعلنة.</w:t>
      </w:r>
    </w:p>
    <w:p>
      <w:pPr>
        <w:bidi/>
        <w:spacing w:before="0" w:after="40" w:line="269" w:lineRule="auto"/>
        <w:ind w:right="198" w:hanging="198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◆ </w:t>
      </w:r>
      <w:r>
        <w:rPr>
          <w:rFonts w:ascii="Calibri Light" w:hAnsi="Calibri Light" w:cs="Calibri Light"/>
          <w:b/>
          <w:bCs w:val="1"/>
          <w:i w:val="0"/>
          <w:color w:val="1F4E79"/>
          <w:sz w:val="20"/>
          <w:szCs w:val="20"/>
          <w:rtl/>
        </w:rPr>
        <w:t xml:space="preserve">شاهد: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سجل التكريم (أسماء، تواريخ، معايير).</w:t>
      </w:r>
    </w:p>
    <w:p>
      <w:pPr>
        <w:bidi/>
        <w:spacing w:before="0" w:after="40" w:line="269" w:lineRule="auto"/>
        <w:ind w:right="198" w:hanging="198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◆ </w:t>
      </w:r>
      <w:r>
        <w:rPr>
          <w:rFonts w:ascii="Calibri Light" w:hAnsi="Calibri Light" w:cs="Calibri Light"/>
          <w:b/>
          <w:bCs w:val="1"/>
          <w:i w:val="0"/>
          <w:color w:val="1F4E79"/>
          <w:sz w:val="20"/>
          <w:szCs w:val="20"/>
          <w:rtl/>
        </w:rPr>
        <w:t xml:space="preserve">شاهد: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صور الفعاليات ولوحات الشرف.</w:t>
      </w:r>
    </w:p>
    <w:p>
      <w:pPr>
        <w:bidi/>
        <w:spacing w:before="0" w:after="40" w:line="269" w:lineRule="auto"/>
        <w:ind w:right="198" w:hanging="198"/>
        <w:jc w:val="right"/>
      </w:pPr>
      <w:r>
        <w:rPr>
          <w:rFonts w:ascii="Calibri Light" w:hAnsi="Calibri Light" w:cs="Calibri Light"/>
          <w:b/>
          <w:bCs w:val="1"/>
          <w:i w:val="0"/>
          <w:color w:val="6AA84F"/>
          <w:sz w:val="20"/>
          <w:szCs w:val="20"/>
          <w:rtl/>
        </w:rPr>
        <w:t xml:space="preserve">◆ </w:t>
      </w:r>
      <w:r>
        <w:rPr>
          <w:rFonts w:ascii="Calibri Light" w:hAnsi="Calibri Light" w:cs="Calibri Light"/>
          <w:b/>
          <w:bCs w:val="1"/>
          <w:i w:val="0"/>
          <w:color w:val="1F4E79"/>
          <w:sz w:val="20"/>
          <w:szCs w:val="20"/>
          <w:rtl/>
        </w:rPr>
        <w:t xml:space="preserve">شاهد: </w:t>
      </w:r>
      <w:r>
        <w:rPr>
          <w:rFonts w:ascii="Calibri Light" w:hAnsi="Calibri Light" w:cs="Calibri Light"/>
          <w:b w:val="0"/>
          <w:bCs w:val="0"/>
          <w:i w:val="0"/>
          <w:color w:val="203864"/>
          <w:sz w:val="20"/>
          <w:szCs w:val="20"/>
          <w:rtl/>
        </w:rPr>
        <w:t>نتائج استبانات الرضا وتحليلها.</w:t>
      </w:r>
    </w:p>
    <w:p>
      <w:r>
        <w:br w:type="page"/>
      </w:r>
    </w:p>
    <w:tbl>
      <w:tblPr>
        <w:bidiVisual/>
        <w:tblW w:type="auto" w:w="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bidi/>
              <w:spacing w:before="0" w:after="0" w:line="264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24"/>
                <w:szCs w:val="24"/>
                <w:rtl/>
              </w:rPr>
              <w:t>ملحق (ب): استمارة المتابعة والتقويم — الإضاءة 5</w:t>
            </w:r>
          </w:p>
        </w:tc>
      </w:tr>
    </w:tbl>
    <w:tbl>
      <w:tblPr>
        <w:bidiVisual/>
        <w:tblW w:type="auto" w:w="0"/>
        <w:tblBorders>
          <w:top w:val="single" w:sz="4" w:space="0" w:color="B7C9DA"/>
          <w:left w:val="single" w:sz="4" w:space="0" w:color="B7C9DA"/>
          <w:bottom w:val="single" w:sz="4" w:space="0" w:color="B7C9DA"/>
          <w:right w:val="single" w:sz="4" w:space="0" w:color="B7C9DA"/>
          <w:insideH w:val="single" w:sz="4" w:space="0" w:color="B7C9DA"/>
          <w:insideV w:val="single" w:sz="4" w:space="0" w:color="B7C9DA"/>
        </w:tblBorders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7FAF2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bidi/>
              <w:spacing w:before="0" w:after="20" w:line="264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المدرسة: ....................................    |    الفصل/الشعبة: ..............    |    التاريخ: ......... / ......... / 1447هـ</w:t>
            </w:r>
          </w:p>
          <w:p>
            <w:pPr>
              <w:bidi/>
              <w:spacing w:before="0" w:after="20" w:line="264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اسم المُقوِّم: ....................................    |    الصفة: ( مرشد طلابي / وكيل / مشرف )</w:t>
            </w:r>
          </w:p>
        </w:tc>
      </w:tr>
    </w:tbl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أولًا: بنود الملاحظة</w:t>
      </w:r>
    </w:p>
    <w:tbl>
      <w:tblPr>
        <w:bidiVisual/>
        <w:tblW w:type="auto" w:w="0"/>
        <w:tblBorders>
          <w:top w:val="single" w:sz="4" w:space="0" w:color="B7C9DA"/>
          <w:left w:val="single" w:sz="4" w:space="0" w:color="B7C9DA"/>
          <w:bottom w:val="single" w:sz="4" w:space="0" w:color="B7C9DA"/>
          <w:right w:val="single" w:sz="4" w:space="0" w:color="B7C9DA"/>
          <w:insideH w:val="single" w:sz="4" w:space="0" w:color="B7C9DA"/>
          <w:insideV w:val="single" w:sz="4" w:space="0" w:color="B7C9DA"/>
        </w:tblBorders>
        <w:tblLook w:firstColumn="1" w:firstRow="1" w:lastColumn="0" w:lastRow="0" w:noHBand="0" w:noVBand="1" w:val="04A0"/>
      </w:tblPr>
      <w:tblGrid>
        <w:gridCol w:w="6350"/>
        <w:gridCol w:w="1247"/>
        <w:gridCol w:w="1304"/>
        <w:gridCol w:w="1304"/>
      </w:tblGrid>
      <w:tr>
        <w:tc>
          <w:tcPr>
            <w:tcW w:type="dxa" w:w="2551"/>
            <w:shd w:val="clear" w:color="auto" w:fill="6AA84F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بند الملاحظة</w:t>
            </w:r>
          </w:p>
        </w:tc>
        <w:tc>
          <w:tcPr>
            <w:tcW w:type="dxa" w:w="2551"/>
            <w:shd w:val="clear" w:color="auto" w:fill="6AA84F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مطابق</w:t>
            </w:r>
          </w:p>
        </w:tc>
        <w:tc>
          <w:tcPr>
            <w:tcW w:type="dxa" w:w="2551"/>
            <w:shd w:val="clear" w:color="auto" w:fill="6AA84F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جزئيًا</w:t>
            </w:r>
          </w:p>
        </w:tc>
        <w:tc>
          <w:tcPr>
            <w:tcW w:type="dxa" w:w="2551"/>
            <w:shd w:val="clear" w:color="auto" w:fill="6AA84F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غير مطابق</w:t>
            </w:r>
          </w:p>
        </w:tc>
      </w:tr>
      <w:tr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معايير التكريم معلنة بشفافية قبل التنفيذ.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</w:tr>
      <w:tr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أشكال التحفيز متنوعة (شهادات، أوسمة، لوحة شرف، مكافآت).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</w:tr>
      <w:tr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التكريم منتظم حسب الجدولة المعلنة.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</w:tr>
      <w:tr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التوزيع عادل بين الفصول والمراحل.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</w:tr>
      <w:tr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الأسر مشاركة ومساءلة عبر إشعارات التكريم.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</w:tr>
      <w:tr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الأثر التحفيزي مُقاس بمؤشرات.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</w:tr>
      <w:tr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الطلاب شركاء في الترشيح والتحكيم.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  <w:tc>
          <w:tcPr>
            <w:tcW w:type="dxa" w:w="2551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22"/>
                <w:szCs w:val="22"/>
                <w:rtl/>
              </w:rPr>
              <w:t>☐</w:t>
            </w:r>
          </w:p>
        </w:tc>
      </w:tr>
    </w:tbl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ثانيًا: ملخص التقدير</w:t>
      </w:r>
    </w:p>
    <w:tbl>
      <w:tblPr>
        <w:bidiVisual/>
        <w:tblW w:type="auto" w:w="0"/>
        <w:tblBorders>
          <w:top w:val="single" w:sz="4" w:space="0" w:color="B7C9DA"/>
          <w:left w:val="single" w:sz="4" w:space="0" w:color="B7C9DA"/>
          <w:bottom w:val="single" w:sz="4" w:space="0" w:color="B7C9DA"/>
          <w:right w:val="single" w:sz="4" w:space="0" w:color="B7C9DA"/>
          <w:insideH w:val="single" w:sz="4" w:space="0" w:color="B7C9DA"/>
          <w:insideV w:val="single" w:sz="4" w:space="0" w:color="B7C9DA"/>
        </w:tblBorders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عدد البنود المطابقة</w:t>
            </w:r>
          </w:p>
        </w:tc>
        <w:tc>
          <w:tcPr>
            <w:tcW w:type="dxa" w:w="2551"/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المطابقة جزئيًا</w:t>
            </w:r>
          </w:p>
        </w:tc>
        <w:tc>
          <w:tcPr>
            <w:tcW w:type="dxa" w:w="2551"/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غير المطابقة</w:t>
            </w:r>
          </w:p>
        </w:tc>
        <w:tc>
          <w:tcPr>
            <w:tcW w:type="dxa" w:w="2551"/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النسبة الكلية</w:t>
            </w:r>
          </w:p>
        </w:tc>
      </w:tr>
      <w:tr>
        <w:tc>
          <w:tcPr>
            <w:tcW w:type="dxa" w:w="255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20"/>
                <w:szCs w:val="20"/>
                <w:rtl/>
              </w:rPr>
              <w:t>..............</w:t>
            </w:r>
          </w:p>
        </w:tc>
        <w:tc>
          <w:tcPr>
            <w:tcW w:type="dxa" w:w="255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20"/>
                <w:szCs w:val="20"/>
                <w:rtl/>
              </w:rPr>
              <w:t>..............</w:t>
            </w:r>
          </w:p>
        </w:tc>
        <w:tc>
          <w:tcPr>
            <w:tcW w:type="dxa" w:w="255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20"/>
                <w:szCs w:val="20"/>
                <w:rtl/>
              </w:rPr>
              <w:t>..............</w:t>
            </w:r>
          </w:p>
        </w:tc>
        <w:tc>
          <w:tcPr>
            <w:tcW w:type="dxa" w:w="255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20"/>
                <w:szCs w:val="20"/>
                <w:rtl/>
              </w:rPr>
              <w:t>..............</w:t>
            </w:r>
          </w:p>
        </w:tc>
      </w:tr>
    </w:tbl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ثالثًا: التوصية والتوقيع</w:t>
      </w:r>
    </w:p>
    <w:tbl>
      <w:tblPr>
        <w:bidiVisual/>
        <w:tblW w:type="auto" w:w="0"/>
        <w:tblBorders>
          <w:top w:val="single" w:sz="4" w:space="0" w:color="6AA84F"/>
          <w:left w:val="single" w:sz="4" w:space="0" w:color="6AA84F"/>
          <w:bottom w:val="single" w:sz="4" w:space="0" w:color="6AA84F"/>
          <w:right w:val="single" w:sz="4" w:space="0" w:color="6AA84F"/>
          <w:insideH w:val="single" w:sz="4" w:space="0" w:color="6AA84F"/>
          <w:insideV w:val="single" w:sz="4" w:space="0" w:color="6AA84F"/>
        </w:tblBorders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2F7EC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bidi/>
              <w:spacing w:before="0" w:after="20" w:line="264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9"/>
                <w:szCs w:val="19"/>
                <w:rtl/>
              </w:rPr>
              <w:t>التوصية:   ☐ مطابق    ☐ مطابق جزئيًا (تُعد خطة تحسين)    ☐ غير مطابق (تُعد خطة تدخل)</w:t>
            </w:r>
          </w:p>
          <w:p>
            <w:pPr>
              <w:bidi/>
              <w:spacing w:before="0" w:after="20" w:line="264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ملاحظات المُقوِّم: ................................................................................................................................</w:t>
            </w:r>
          </w:p>
          <w:p>
            <w:pPr>
              <w:bidi/>
              <w:spacing w:before="0" w:after="20" w:line="264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توقيع المُقوِّم: ......................        توقيع مدير المدرسة: ......................</w:t>
            </w:r>
          </w:p>
        </w:tc>
      </w:tr>
    </w:tbl>
    <w:p>
      <w:r>
        <w:br w:type="page"/>
      </w:r>
    </w:p>
    <w:tbl>
      <w:tblPr>
        <w:bidiVisual/>
        <w:tblW w:type="auto" w:w="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bidi/>
              <w:spacing w:before="0" w:after="0" w:line="264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24"/>
                <w:szCs w:val="24"/>
                <w:rtl/>
              </w:rPr>
              <w:t>ملحق (ج): خطة العمل والتحديات — الإضاءة 5</w:t>
            </w:r>
          </w:p>
        </w:tc>
      </w:tr>
    </w:tbl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أولًا: خطة العمل المختصرة</w:t>
      </w:r>
    </w:p>
    <w:tbl>
      <w:tblPr>
        <w:bidiVisual/>
        <w:tblW w:type="auto" w:w="0"/>
        <w:tblBorders>
          <w:top w:val="single" w:sz="4" w:space="0" w:color="B7C9DA"/>
          <w:left w:val="single" w:sz="4" w:space="0" w:color="B7C9DA"/>
          <w:bottom w:val="single" w:sz="4" w:space="0" w:color="B7C9DA"/>
          <w:right w:val="single" w:sz="4" w:space="0" w:color="B7C9DA"/>
          <w:insideH w:val="single" w:sz="4" w:space="0" w:color="B7C9DA"/>
          <w:insideV w:val="single" w:sz="4" w:space="0" w:color="B7C9DA"/>
        </w:tblBorders>
        <w:tblLook w:firstColumn="1" w:firstRow="1" w:lastColumn="0" w:lastRow="0" w:noHBand="0" w:noVBand="1" w:val="04A0"/>
      </w:tblPr>
      <w:tblGrid>
        <w:gridCol w:w="4082"/>
        <w:gridCol w:w="2041"/>
        <w:gridCol w:w="1361"/>
        <w:gridCol w:w="2721"/>
      </w:tblGrid>
      <w:tr>
        <w:tc>
          <w:tcPr>
            <w:tcW w:type="dxa" w:w="2551"/>
            <w:shd w:val="clear" w:color="auto" w:fill="6AA84F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الإجراء</w:t>
            </w:r>
          </w:p>
        </w:tc>
        <w:tc>
          <w:tcPr>
            <w:tcW w:type="dxa" w:w="2551"/>
            <w:shd w:val="clear" w:color="auto" w:fill="6AA84F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المسؤول</w:t>
            </w:r>
          </w:p>
        </w:tc>
        <w:tc>
          <w:tcPr>
            <w:tcW w:type="dxa" w:w="2551"/>
            <w:shd w:val="clear" w:color="auto" w:fill="6AA84F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المدة</w:t>
            </w:r>
          </w:p>
        </w:tc>
        <w:tc>
          <w:tcPr>
            <w:tcW w:type="dxa" w:w="2551"/>
            <w:shd w:val="clear" w:color="auto" w:fill="6AA84F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مؤشر النجاح</w:t>
            </w:r>
          </w:p>
        </w:tc>
      </w:tr>
      <w:tr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إعلان معايير التكريم ونشرها.</w:t>
            </w:r>
          </w:p>
        </w:tc>
        <w:tc>
          <w:tcPr>
            <w:tcW w:type="dxa" w:w="2551"/>
            <w:shd w:val="clear" w:color="auto" w:fill="F2F7EC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المرشد الطلابي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بداية العام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نشر 100%</w:t>
            </w:r>
          </w:p>
        </w:tc>
      </w:tr>
      <w:tr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جدولة التكريم (طابور/شهري).</w:t>
            </w:r>
          </w:p>
        </w:tc>
        <w:tc>
          <w:tcPr>
            <w:tcW w:type="dxa" w:w="2551"/>
            <w:shd w:val="clear" w:color="auto" w:fill="F2F7EC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المرشد + الوكلاء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مستمر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التزام 100%</w:t>
            </w:r>
          </w:p>
        </w:tc>
      </w:tr>
      <w:tr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توثيق التكريم وإشراك الأسر.</w:t>
            </w:r>
          </w:p>
        </w:tc>
        <w:tc>
          <w:tcPr>
            <w:tcW w:type="dxa" w:w="2551"/>
            <w:shd w:val="clear" w:color="auto" w:fill="F2F7EC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المرشد الطلابي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مستمر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إشعارات مرسلة</w:t>
            </w:r>
          </w:p>
        </w:tc>
      </w:tr>
      <w:tr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مسابقة الفصول الملتزمة.</w:t>
            </w:r>
          </w:p>
        </w:tc>
        <w:tc>
          <w:tcPr>
            <w:tcW w:type="dxa" w:w="2551"/>
            <w:shd w:val="clear" w:color="auto" w:fill="F2F7EC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القادة الطلابيون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فصليًا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مشاركة 80%+</w:t>
            </w:r>
          </w:p>
        </w:tc>
      </w:tr>
      <w:tr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قياس الأثر وتقارير الرضا.</w:t>
            </w:r>
          </w:p>
        </w:tc>
        <w:tc>
          <w:tcPr>
            <w:tcW w:type="dxa" w:w="2551"/>
            <w:shd w:val="clear" w:color="auto" w:fill="F2F7EC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المرشد الطلابي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فصليًا</w:t>
            </w:r>
          </w:p>
        </w:tc>
        <w:tc>
          <w:tcPr>
            <w:tcW w:type="dxa" w:w="2551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رضا 85%+</w:t>
            </w:r>
          </w:p>
        </w:tc>
      </w:tr>
    </w:tbl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ثانيًا: تحديات متوقعة وسبل التغلب</w:t>
      </w:r>
    </w:p>
    <w:tbl>
      <w:tblPr>
        <w:bidiVisual/>
        <w:tblW w:type="auto" w:w="0"/>
        <w:tblBorders>
          <w:top w:val="single" w:sz="4" w:space="0" w:color="B7C9DA"/>
          <w:left w:val="single" w:sz="4" w:space="0" w:color="B7C9DA"/>
          <w:bottom w:val="single" w:sz="4" w:space="0" w:color="B7C9DA"/>
          <w:right w:val="single" w:sz="4" w:space="0" w:color="B7C9DA"/>
          <w:insideH w:val="single" w:sz="4" w:space="0" w:color="B7C9DA"/>
          <w:insideV w:val="single" w:sz="4" w:space="0" w:color="B7C9DA"/>
        </w:tblBorders>
        <w:tblLook w:firstColumn="1" w:firstRow="1" w:lastColumn="0" w:lastRow="0" w:noHBand="0" w:noVBand="1" w:val="04A0"/>
      </w:tblPr>
      <w:tblGrid>
        <w:gridCol w:w="4082"/>
        <w:gridCol w:w="6123"/>
      </w:tblGrid>
      <w:tr>
        <w:tc>
          <w:tcPr>
            <w:tcW w:type="dxa" w:w="5103"/>
            <w:shd w:val="clear" w:color="auto" w:fill="1F4E79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التحدي المتوقع</w:t>
            </w:r>
          </w:p>
        </w:tc>
        <w:tc>
          <w:tcPr>
            <w:tcW w:type="dxa" w:w="5103"/>
            <w:shd w:val="clear" w:color="auto" w:fill="1F4E79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center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FFFFFF"/>
                <w:sz w:val="18"/>
                <w:szCs w:val="18"/>
                <w:rtl/>
              </w:rPr>
              <w:t>سبل التغلب</w:t>
            </w:r>
          </w:p>
        </w:tc>
      </w:tr>
      <w:tr>
        <w:tc>
          <w:tcPr>
            <w:tcW w:type="dxa" w:w="5103"/>
            <w:shd w:val="clear" w:color="auto" w:fill="FBF3F3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إحساس بعض الطلاب بالإقصاء.</w:t>
            </w:r>
          </w:p>
        </w:tc>
        <w:tc>
          <w:tcPr>
            <w:tcW w:type="dxa" w:w="5103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تنويع المعايير والاستفادة من التحفيز الجماعي.</w:t>
            </w:r>
          </w:p>
        </w:tc>
      </w:tr>
      <w:tr>
        <w:tc>
          <w:tcPr>
            <w:tcW w:type="dxa" w:w="5103"/>
            <w:shd w:val="clear" w:color="auto" w:fill="FBF3F3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التحفيز المادي المفرط.</w:t>
            </w:r>
          </w:p>
        </w:tc>
        <w:tc>
          <w:tcPr>
            <w:tcW w:type="dxa" w:w="5103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التركيز على التحفيز المعنوي والرمزي.</w:t>
            </w:r>
          </w:p>
        </w:tc>
      </w:tr>
      <w:tr>
        <w:tc>
          <w:tcPr>
            <w:tcW w:type="dxa" w:w="5103"/>
            <w:shd w:val="clear" w:color="auto" w:fill="FBF3F3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/>
                <w:bCs w:val="1"/>
                <w:i w:val="0"/>
                <w:color w:val="203864"/>
                <w:sz w:val="18"/>
                <w:szCs w:val="18"/>
                <w:rtl/>
              </w:rPr>
              <w:t>ركود التكريم مع انشغال الأنشطة.</w:t>
            </w:r>
          </w:p>
        </w:tc>
        <w:tc>
          <w:tcPr>
            <w:tcW w:type="dxa" w:w="5103"/>
            <w:tcMar>
              <w:top w:w="30" w:type="dxa"/>
              <w:left w:w="80" w:type="dxa"/>
              <w:bottom w:w="30" w:type="dxa"/>
              <w:right w:w="80" w:type="dxa"/>
            </w:tcMar>
          </w:tcPr>
          <w:p>
            <w:pPr>
              <w:bidi/>
              <w:spacing w:before="0" w:after="0" w:line="252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8"/>
                <w:szCs w:val="18"/>
                <w:rtl/>
              </w:rPr>
              <w:t>جدولة ثابتة لا تتأثر بالضغط المدرسي.</w:t>
            </w:r>
          </w:p>
        </w:tc>
      </w:tr>
    </w:tbl>
    <w:p>
      <w:pPr>
        <w:shd w:val="clear" w:color="auto" w:fill="6AA84F"/>
        <w:bidi/>
        <w:spacing w:before="100" w:after="60" w:line="252" w:lineRule="auto"/>
        <w:ind w:left="68" w:right="68"/>
        <w:jc w:val="right"/>
      </w:pPr>
      <w:r>
        <w:rPr>
          <w:rFonts w:ascii="Calibri Light" w:hAnsi="Calibri Light" w:cs="Calibri Light"/>
          <w:b/>
          <w:bCs w:val="1"/>
          <w:i w:val="0"/>
          <w:color w:val="FFFFFF"/>
          <w:sz w:val="21"/>
          <w:szCs w:val="21"/>
          <w:rtl/>
        </w:rPr>
        <w:t xml:space="preserve">  ثالثًا: أسئلة التقويم الذاتي للمرشد الطلابي</w:t>
      </w:r>
    </w:p>
    <w:tbl>
      <w:tblPr>
        <w:bidiVisual/>
        <w:tblW w:type="auto" w:w="0"/>
        <w:tblBorders>
          <w:top w:val="single" w:sz="4" w:space="0" w:color="6AA84F"/>
          <w:left w:val="single" w:sz="4" w:space="0" w:color="6AA84F"/>
          <w:bottom w:val="single" w:sz="4" w:space="0" w:color="6AA84F"/>
          <w:right w:val="single" w:sz="4" w:space="0" w:color="6AA84F"/>
          <w:insideH w:val="single" w:sz="4" w:space="0" w:color="6AA84F"/>
          <w:insideV w:val="single" w:sz="4" w:space="0" w:color="6AA84F"/>
        </w:tblBorders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2F7EC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bidi/>
              <w:spacing w:before="0" w:after="20" w:line="264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هل يعرف كل متعلم معايير التكريم قبل نهاية الأسبوع الأول؟</w:t>
            </w:r>
          </w:p>
          <w:p>
            <w:pPr>
              <w:bidi/>
              <w:spacing w:before="0" w:after="20" w:line="264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هل التكريم موزّع أم يتركز على الفصول نفسها؟</w:t>
            </w:r>
          </w:p>
          <w:p>
            <w:pPr>
              <w:bidi/>
              <w:spacing w:before="0" w:after="20" w:line="264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203864"/>
                <w:sz w:val="19"/>
                <w:szCs w:val="19"/>
                <w:rtl/>
              </w:rPr>
              <w:t>متى قسنا آخر مرة أثر التحفيز على السلوك؟</w:t>
            </w:r>
          </w:p>
        </w:tc>
      </w:tr>
    </w:tbl>
    <w:tbl>
      <w:tblPr>
        <w:bidiVisual/>
        <w:tblW w:type="auto" w:w="0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DF3F8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bidi/>
              <w:spacing w:before="0" w:after="20" w:line="264" w:lineRule="auto"/>
              <w:jc w:val="right"/>
            </w:pPr>
            <w:r>
              <w:rPr>
                <w:rFonts w:ascii="Calibri Light" w:hAnsi="Calibri Light" w:cs="Calibri Light"/>
                <w:b w:val="0"/>
                <w:bCs w:val="0"/>
                <w:i w:val="0"/>
                <w:color w:val="1F4E79"/>
                <w:sz w:val="17"/>
                <w:szCs w:val="17"/>
                <w:rtl/>
              </w:rPr>
              <w:t>إرشاد: يُراجع المرشد هذه الأسئلة شهريًا، ويوثّق الإجابات وخطوات التحسين في ملف التحسين المستمر.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2013" w:right="850" w:bottom="1786" w:left="850" w:header="397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bidiVisual/>
      <w:tblW w:type="auto" w:w="0"/>
      <w:tblBorders>
        <w:top w:val="none" w:sz="0" w:color="auto"/>
        <w:left w:val="none" w:sz="0" w:color="auto"/>
        <w:bottom w:val="none" w:sz="0" w:color="auto"/>
        <w:right w:val="none" w:sz="0" w:color="auto"/>
        <w:insideH w:val="none" w:sz="0" w:color="auto"/>
        <w:insideV w:val="none" w:sz="0" w:color="auto"/>
      </w:tblBorders>
      <w:tblLook w:firstColumn="1" w:firstRow="1" w:lastColumn="0" w:lastRow="0" w:noHBand="0" w:noVBand="1" w:val="04A0"/>
    </w:tblPr>
    <w:tblGrid>
      <w:gridCol w:w="3175"/>
      <w:gridCol w:w="3969"/>
      <w:gridCol w:w="3061"/>
    </w:tblGrid>
    <w:tr>
      <w:tc>
        <w:tcPr>
          <w:tcW w:type="dxa" w:w="3402"/>
          <w:tcMar>
            <w:top w:w="0" w:type="dxa"/>
            <w:left w:w="0" w:type="dxa"/>
            <w:bottom w:w="0" w:type="dxa"/>
            <w:right w:w="0" w:type="dxa"/>
          </w:tcMar>
        </w:tcPr>
        <w:p/>
        <w:tbl>
          <w:tblPr>
            <w:bidiVisual/>
            <w:tblW w:type="auto" w:w="0"/>
            <w:tbl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blBorders>
            <w:tblLook w:firstColumn="1" w:firstRow="1" w:lastColumn="0" w:lastRow="0" w:noHBand="0" w:noVBand="1" w:val="04A0"/>
          </w:tblPr>
          <w:tblGrid>
            <w:gridCol w:w="1531"/>
            <w:gridCol w:w="1531"/>
          </w:tblGrid>
          <w:tr>
            <w:tc>
              <w:tcPr>
                <w:tcW w:type="dxa" w:w="1701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20" w:type="dxa"/>
                  <w:left w:w="40" w:type="dxa"/>
                  <w:bottom w:w="20" w:type="dxa"/>
                  <w:right w:w="40" w:type="dxa"/>
                </w:tcMar>
              </w:tcPr>
              <w:p>
                <w:pPr>
                  <w:bidi/>
                  <w:spacing w:before="0" w:after="0" w:line="240" w:lineRule="auto"/>
                  <w:jc w:val="center"/>
                </w:pPr>
                <w:r>
                  <w:rPr>
                    <w:rFonts w:ascii="Calibri Light" w:hAnsi="Calibri Light" w:cs="Calibri Light"/>
                    <w:b/>
                    <w:bCs w:val="1"/>
                    <w:i w:val="0"/>
                    <w:color w:val="A60000"/>
                    <w:sz w:val="14"/>
                    <w:szCs w:val="14"/>
                    <w:rtl/>
                  </w:rPr>
                  <w:t>ISO 9001:2015</w:t>
                </w:r>
              </w:p>
              <w:p>
                <w:pPr>
                  <w:bidi/>
                  <w:spacing w:before="0" w:after="0" w:line="240" w:lineRule="auto"/>
                  <w:jc w:val="center"/>
                </w:pPr>
                <w:r>
                  <w:rPr>
                    <w:rFonts w:ascii="Calibri Light" w:hAnsi="Calibri Light" w:cs="Calibri Light"/>
                    <w:b w:val="0"/>
                    <w:bCs w:val="0"/>
                    <w:i w:val="0"/>
                    <w:color w:val="595959"/>
                    <w:sz w:val="11"/>
                    <w:szCs w:val="11"/>
                    <w:rtl/>
                  </w:rPr>
                  <w:t>CERTIFIED</w:t>
                </w:r>
              </w:p>
            </w:tc>
            <w:tc>
              <w:tcPr>
                <w:tcW w:type="dxa" w:w="1701"/>
                <w:tcBorders>
                  <w:top w:val="single" w:sz="4" w:space="0" w:color="BFBFBF"/>
                  <w:left w:val="single" w:sz="4" w:space="0" w:color="BFBFBF"/>
                  <w:bottom w:val="single" w:sz="4" w:space="0" w:color="BFBFBF"/>
                  <w:right w:val="single" w:sz="4" w:space="0" w:color="BFBFBF"/>
                </w:tcBorders>
                <w:tcMar>
                  <w:top w:w="20" w:type="dxa"/>
                  <w:left w:w="40" w:type="dxa"/>
                  <w:bottom w:w="20" w:type="dxa"/>
                  <w:right w:w="40" w:type="dxa"/>
                </w:tcMar>
              </w:tcPr>
              <w:p>
                <w:pPr>
                  <w:bidi/>
                  <w:spacing w:before="0" w:after="0" w:line="240" w:lineRule="auto"/>
                  <w:jc w:val="center"/>
                </w:pPr>
                <w:r>
                  <w:rPr>
                    <w:rFonts w:ascii="Calibri Light" w:hAnsi="Calibri Light" w:cs="Calibri Light"/>
                    <w:b/>
                    <w:bCs w:val="1"/>
                    <w:i w:val="0"/>
                    <w:color w:val="1F4E79"/>
                    <w:sz w:val="14"/>
                    <w:szCs w:val="14"/>
                    <w:rtl/>
                  </w:rPr>
                  <w:t>AiAA</w:t>
                </w:r>
              </w:p>
              <w:p>
                <w:pPr>
                  <w:bidi/>
                  <w:spacing w:before="0" w:after="0" w:line="240" w:lineRule="auto"/>
                  <w:jc w:val="center"/>
                </w:pPr>
                <w:r>
                  <w:rPr>
                    <w:rFonts w:ascii="Calibri Light" w:hAnsi="Calibri Light" w:cs="Calibri Light"/>
                    <w:b w:val="0"/>
                    <w:bCs w:val="0"/>
                    <w:i w:val="0"/>
                    <w:color w:val="595959"/>
                    <w:sz w:val="11"/>
                    <w:szCs w:val="11"/>
                    <w:rtl/>
                  </w:rPr>
                  <w:t>اعتماد دولي</w:t>
                </w:r>
              </w:p>
            </w:tc>
          </w:tr>
        </w:tbl>
        <w:p/>
      </w:tc>
      <w:tc>
        <w:tcPr>
          <w:tcW w:type="dxa" w:w="3402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bidi/>
            <w:spacing w:before="0" w:after="20" w:line="240" w:lineRule="auto"/>
            <w:jc w:val="center"/>
          </w:pPr>
          <w:r>
            <w:rPr>
              <w:rFonts w:ascii="Calibri Light" w:hAnsi="Calibri Light" w:cs="Calibri Light"/>
              <w:b/>
              <w:bCs w:val="1"/>
              <w:i w:val="0"/>
              <w:color w:val="1F4E79"/>
              <w:sz w:val="17"/>
              <w:szCs w:val="17"/>
              <w:rtl/>
            </w:rPr>
            <w:t>التعليم المتقـدم يبنـي ...</w:t>
          </w:r>
        </w:p>
        <w:tbl>
          <w:tblPr>
            <w:bidiVisual/>
            <w:tblW w:type="auto" w:w="0"/>
            <w:tbl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blBorders>
            <w:tblLook w:firstColumn="1" w:firstRow="1" w:lastColumn="0" w:lastRow="0" w:noHBand="0" w:noVBand="1" w:val="04A0"/>
          </w:tblPr>
          <w:tblGrid>
            <w:gridCol w:w="1247"/>
            <w:gridCol w:w="1247"/>
            <w:gridCol w:w="1247"/>
          </w:tblGrid>
          <w:tr>
            <w:tc>
              <w:tcPr>
                <w:tcW w:type="dxa" w:w="1134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>
                <w:pPr>
                  <w:bidi/>
                  <w:spacing w:before="0" w:after="0" w:line="240" w:lineRule="auto"/>
                  <w:jc w:val="center"/>
                </w:pPr>
                <w:r>
                  <w:drawing>
                    <wp:inline xmlns:a="http://schemas.openxmlformats.org/drawingml/2006/main" xmlns:pic="http://schemas.openxmlformats.org/drawingml/2006/picture">
                      <wp:extent cx="198000" cy="198000"/>
                      <wp:docPr id="1" name="Picture 1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con_person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8000" cy="1980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>
                <w:pPr>
                  <w:bidi/>
                  <w:spacing w:before="0" w:after="0" w:line="240" w:lineRule="auto"/>
                  <w:jc w:val="center"/>
                </w:pPr>
                <w:r>
                  <w:rPr>
                    <w:rFonts w:ascii="Calibri Light" w:hAnsi="Calibri Light" w:cs="Calibri Light"/>
                    <w:b w:val="0"/>
                    <w:bCs w:val="0"/>
                    <w:i w:val="0"/>
                    <w:color w:val="595959"/>
                    <w:sz w:val="11"/>
                    <w:szCs w:val="11"/>
                    <w:rtl/>
                  </w:rPr>
                  <w:t>المعرفة</w:t>
                </w:r>
              </w:p>
            </w:tc>
            <w:tc>
              <w:tcPr>
                <w:tcW w:type="dxa" w:w="1134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>
                <w:pPr>
                  <w:bidi/>
                  <w:spacing w:before="0" w:after="0" w:line="240" w:lineRule="auto"/>
                  <w:jc w:val="center"/>
                </w:pPr>
                <w:r>
                  <w:drawing>
                    <wp:inline xmlns:a="http://schemas.openxmlformats.org/drawingml/2006/main" xmlns:pic="http://schemas.openxmlformats.org/drawingml/2006/picture">
                      <wp:extent cx="198000" cy="198000"/>
                      <wp:docPr id="2" name="Picture 2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con_chart.png"/>
                              <pic:cNvPicPr/>
                            </pic:nvPicPr>
                            <pic:blipFill>
                              <a:blip r:embed="rId2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8000" cy="1980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>
                <w:pPr>
                  <w:bidi/>
                  <w:spacing w:before="0" w:after="0" w:line="240" w:lineRule="auto"/>
                  <w:jc w:val="center"/>
                </w:pPr>
                <w:r>
                  <w:rPr>
                    <w:rFonts w:ascii="Calibri Light" w:hAnsi="Calibri Light" w:cs="Calibri Light"/>
                    <w:b w:val="0"/>
                    <w:bCs w:val="0"/>
                    <w:i w:val="0"/>
                    <w:color w:val="595959"/>
                    <w:sz w:val="11"/>
                    <w:szCs w:val="11"/>
                    <w:rtl/>
                  </w:rPr>
                  <w:t>التكنولوجيا</w:t>
                </w:r>
              </w:p>
            </w:tc>
            <w:tc>
              <w:tcPr>
                <w:tcW w:type="dxa" w:w="1134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>
                <w:pPr>
                  <w:bidi/>
                  <w:spacing w:before="0" w:after="0" w:line="240" w:lineRule="auto"/>
                  <w:jc w:val="center"/>
                </w:pPr>
                <w:r>
                  <w:drawing>
                    <wp:inline xmlns:a="http://schemas.openxmlformats.org/drawingml/2006/main" xmlns:pic="http://schemas.openxmlformats.org/drawingml/2006/picture">
                      <wp:extent cx="198000" cy="198000"/>
                      <wp:docPr id="3" name="Picture 3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con_atom.png"/>
                              <pic:cNvPicPr/>
                            </pic:nvPicPr>
                            <pic:blipFill>
                              <a:blip r:embed="rId3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8000" cy="1980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>
                <w:pPr>
                  <w:bidi/>
                  <w:spacing w:before="0" w:after="0" w:line="240" w:lineRule="auto"/>
                  <w:jc w:val="center"/>
                </w:pPr>
                <w:r>
                  <w:rPr>
                    <w:rFonts w:ascii="Calibri Light" w:hAnsi="Calibri Light" w:cs="Calibri Light"/>
                    <w:b w:val="0"/>
                    <w:bCs w:val="0"/>
                    <w:i w:val="0"/>
                    <w:color w:val="595959"/>
                    <w:sz w:val="11"/>
                    <w:szCs w:val="11"/>
                    <w:rtl/>
                  </w:rPr>
                  <w:t>العلوم</w:t>
                </w:r>
              </w:p>
            </w:tc>
          </w:tr>
        </w:tbl>
        <w:p/>
      </w:tc>
      <w:tc>
        <w:tcPr>
          <w:tcW w:type="dxa" w:w="3402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bidi/>
            <w:spacing w:before="0" w:after="0" w:line="264" w:lineRule="auto"/>
            <w:jc w:val="center"/>
          </w:pPr>
          <w:r>
            <w:rPr>
              <w:rFonts w:ascii="Calibri Light" w:hAnsi="Calibri Light" w:cs="Calibri Light"/>
              <w:b/>
              <w:bCs w:val="1"/>
              <w:i w:val="0"/>
              <w:color w:val="1F4E79"/>
              <w:sz w:val="16"/>
              <w:szCs w:val="16"/>
              <w:rtl/>
            </w:rPr>
            <w:t xml:space="preserve">f   X   ◎   </w:t>
          </w:r>
          <w:r>
            <w:rPr>
              <w:rFonts w:ascii="Calibri Light" w:hAnsi="Calibri Light" w:cs="Calibri Light"/>
              <w:b/>
              <w:bCs w:val="1"/>
              <w:i w:val="0"/>
              <w:color w:val="1F4E79"/>
              <w:sz w:val="16"/>
              <w:szCs w:val="16"/>
              <w:rtl/>
            </w:rPr>
            <w:t>Ajailyanbu</w:t>
          </w:r>
        </w:p>
        <w:p>
          <w:pPr>
            <w:bidi/>
            <w:spacing w:before="0" w:after="0" w:line="264" w:lineRule="auto"/>
            <w:jc w:val="center"/>
          </w:pPr>
          <w:r>
            <w:rPr>
              <w:rFonts w:ascii="Calibri Light" w:hAnsi="Calibri Light" w:cs="Calibri Light"/>
              <w:b/>
              <w:bCs w:val="1"/>
              <w:i w:val="0"/>
              <w:color w:val="6AA84F"/>
              <w:sz w:val="16"/>
              <w:szCs w:val="16"/>
              <w:rtl/>
            </w:rPr>
            <w:t xml:space="preserve">☎   </w:t>
          </w:r>
          <w:r>
            <w:rPr>
              <w:rFonts w:ascii="Calibri Light" w:hAnsi="Calibri Light" w:cs="Calibri Light"/>
              <w:b w:val="0"/>
              <w:bCs w:val="0"/>
              <w:i w:val="0"/>
              <w:color w:val="1F4E79"/>
              <w:sz w:val="16"/>
              <w:szCs w:val="16"/>
              <w:rtl/>
            </w:rPr>
            <w:t>Nabualmarifa.edu.sa</w:t>
          </w:r>
        </w:p>
      </w:tc>
    </w:tr>
  </w:tbl>
  <w:tbl>
    <w:tblPr>
      <w:bidiVisual/>
      <w:tblW w:type="auto" w:w="0"/>
      <w:tblBorders>
        <w:top w:val="none" w:sz="0" w:color="auto"/>
        <w:left w:val="none" w:sz="0" w:color="auto"/>
        <w:bottom w:val="none" w:sz="0" w:color="auto"/>
        <w:right w:val="none" w:sz="0" w:color="auto"/>
        <w:insideH w:val="none" w:sz="0" w:color="auto"/>
        <w:insideV w:val="none" w:sz="0" w:color="auto"/>
      </w:tblBorders>
      <w:tblLook w:firstColumn="1" w:firstRow="1" w:lastColumn="0" w:lastRow="0" w:noHBand="0" w:noVBand="1" w:val="04A0"/>
    </w:tblPr>
    <w:tblGrid>
      <w:gridCol w:w="6520"/>
      <w:gridCol w:w="3685"/>
    </w:tblGrid>
    <w:tr>
      <w:tc>
        <w:tcPr>
          <w:tcW w:type="dxa" w:w="5102"/>
          <w:tcBorders>
            <w:bottom w:val="single" w:sz="6" w:space="0" w:color="1F4E79"/>
          </w:tcBorders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168" w:lineRule="auto"/>
          </w:pPr>
          <w:r>
            <w:rPr>
              <w:rFonts w:ascii="Calibri Light" w:hAnsi="Calibri Light" w:cs="Calibri Light"/>
              <w:b w:val="0"/>
              <w:bCs w:val="0"/>
              <w:i w:val="0"/>
              <w:color w:val="203864"/>
              <w:sz w:val="4"/>
              <w:szCs w:val="4"/>
              <w:rtl/>
            </w:rPr>
          </w:r>
        </w:p>
      </w:tc>
      <w:tc>
        <w:tcPr>
          <w:tcW w:type="dxa" w:w="5102"/>
          <w:tcBorders>
            <w:bottom w:val="single" w:sz="36" w:space="0" w:color="6AA84F"/>
          </w:tcBorders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168" w:lineRule="auto"/>
          </w:pPr>
          <w:r>
            <w:rPr>
              <w:rFonts w:ascii="Calibri Light" w:hAnsi="Calibri Light" w:cs="Calibri Light"/>
              <w:b w:val="0"/>
              <w:bCs w:val="0"/>
              <w:i w:val="0"/>
              <w:color w:val="203864"/>
              <w:sz w:val="4"/>
              <w:szCs w:val="4"/>
              <w:rtl/>
            </w:rPr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bidiVisual/>
      <w:tblW w:type="auto" w:w="0"/>
      <w:tblBorders>
        <w:top w:val="none" w:sz="0" w:color="auto"/>
        <w:left w:val="none" w:sz="0" w:color="auto"/>
        <w:bottom w:val="none" w:sz="0" w:color="auto"/>
        <w:right w:val="none" w:sz="0" w:color="auto"/>
        <w:insideH w:val="none" w:sz="0" w:color="auto"/>
        <w:insideV w:val="none" w:sz="0" w:color="auto"/>
      </w:tblBorders>
      <w:tblLook w:firstColumn="1" w:firstRow="1" w:lastColumn="0" w:lastRow="0" w:noHBand="0" w:noVBand="1" w:val="04A0"/>
    </w:tblPr>
    <w:tblGrid>
      <w:gridCol w:w="3969"/>
      <w:gridCol w:w="3402"/>
      <w:gridCol w:w="2835"/>
    </w:tblGrid>
    <w:tr>
      <w:tc>
        <w:tcPr>
          <w:tcW w:type="dxa" w:w="3402"/>
          <w:tcMar>
            <w:top w:w="0" w:type="dxa"/>
            <w:left w:w="0" w:type="dxa"/>
            <w:bottom w:w="0" w:type="dxa"/>
            <w:right w:w="0" w:type="dxa"/>
          </w:tcMar>
        </w:tcPr>
        <w:p/>
        <w:tbl>
          <w:tblPr>
            <w:bidiVisual/>
            <w:tblW w:type="auto" w:w="0"/>
            <w:tbl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blBorders>
            <w:tblLook w:firstColumn="1" w:firstRow="1" w:lastColumn="0" w:lastRow="0" w:noHBand="0" w:noVBand="1" w:val="04A0"/>
          </w:tblPr>
          <w:tblGrid>
            <w:gridCol w:w="2891"/>
            <w:gridCol w:w="964"/>
          </w:tblGrid>
          <w:tr>
            <w:tc>
              <w:tcPr>
                <w:tcW w:type="dxa" w:w="1701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>
                <w:pPr>
                  <w:bidi/>
                  <w:spacing w:before="0" w:after="0" w:line="240" w:lineRule="auto"/>
                  <w:jc w:val="right"/>
                </w:pPr>
                <w:r>
                  <w:rPr>
                    <w:rFonts w:ascii="Calibri Light" w:hAnsi="Calibri Light" w:cs="Calibri Light"/>
                    <w:b/>
                    <w:bCs w:val="1"/>
                    <w:i w:val="0"/>
                    <w:color w:val="2E7D32"/>
                    <w:sz w:val="20"/>
                    <w:szCs w:val="20"/>
                    <w:rtl/>
                  </w:rPr>
                  <w:t>المملكة العربية السعودية</w:t>
                </w:r>
              </w:p>
              <w:p>
                <w:pPr>
                  <w:bidi/>
                  <w:spacing w:before="0" w:after="0" w:line="240" w:lineRule="auto"/>
                  <w:jc w:val="right"/>
                </w:pPr>
                <w:r>
                  <w:rPr>
                    <w:rFonts w:ascii="Calibri Light" w:hAnsi="Calibri Light" w:cs="Calibri Light"/>
                    <w:b/>
                    <w:bCs w:val="1"/>
                    <w:i w:val="0"/>
                    <w:color w:val="203864"/>
                    <w:sz w:val="17"/>
                    <w:szCs w:val="17"/>
                    <w:rtl/>
                  </w:rPr>
                  <w:t>وزارة التعليم</w:t>
                </w:r>
              </w:p>
              <w:p>
                <w:pPr>
                  <w:bidi/>
                  <w:spacing w:before="0" w:after="0" w:line="240" w:lineRule="auto"/>
                  <w:jc w:val="right"/>
                </w:pPr>
                <w:r>
                  <w:rPr>
                    <w:rFonts w:ascii="Calibri Light" w:hAnsi="Calibri Light" w:cs="Calibri Light"/>
                    <w:b w:val="0"/>
                    <w:bCs w:val="0"/>
                    <w:i w:val="0"/>
                    <w:color w:val="203864"/>
                    <w:sz w:val="15"/>
                    <w:szCs w:val="15"/>
                    <w:rtl/>
                  </w:rPr>
                  <w:t>الإدارة العامة للتعليم</w:t>
                </w:r>
              </w:p>
              <w:p>
                <w:pPr>
                  <w:bidi/>
                  <w:spacing w:before="0" w:after="0" w:line="240" w:lineRule="auto"/>
                  <w:jc w:val="right"/>
                </w:pPr>
                <w:r>
                  <w:rPr>
                    <w:rFonts w:ascii="Calibri Light" w:hAnsi="Calibri Light" w:cs="Calibri Light"/>
                    <w:b w:val="0"/>
                    <w:bCs w:val="0"/>
                    <w:i w:val="0"/>
                    <w:color w:val="203864"/>
                    <w:sz w:val="15"/>
                    <w:szCs w:val="15"/>
                    <w:rtl/>
                  </w:rPr>
                  <w:t>مكتب التعليم</w:t>
                </w:r>
              </w:p>
            </w:tc>
            <w:tc>
              <w:tcPr>
                <w:tcW w:type="dxa" w:w="1701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>
                <w:pPr>
                  <w:bidi/>
                  <w:spacing w:before="0" w:after="0" w:line="252" w:lineRule="auto"/>
                  <w:jc w:val="center"/>
                </w:pPr>
                <w:r>
                  <w:drawing>
                    <wp:inline xmlns:a="http://schemas.openxmlformats.org/drawingml/2006/main" xmlns:pic="http://schemas.openxmlformats.org/drawingml/2006/picture">
                      <wp:extent cx="540000" cy="540000"/>
                      <wp:docPr id="1" name="Picture 1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mark_ksa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40000" cy="5400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/>
      </w:tc>
      <w:tc>
        <w:tcPr>
          <w:tcW w:type="dxa" w:w="3402"/>
          <w:tcMar>
            <w:top w:w="0" w:type="dxa"/>
            <w:left w:w="0" w:type="dxa"/>
            <w:bottom w:w="0" w:type="dxa"/>
            <w:right w:w="0" w:type="dxa"/>
          </w:tcMar>
        </w:tcPr>
        <w:p/>
        <w:tbl>
          <w:tblPr>
            <w:bidiVisual/>
            <w:tblW w:type="auto" w:w="0"/>
            <w:tbl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blBorders>
            <w:tblLook w:firstColumn="1" w:firstRow="1" w:lastColumn="0" w:lastRow="0" w:noHBand="0" w:noVBand="1" w:val="04A0"/>
          </w:tblPr>
          <w:tblGrid>
            <w:gridCol w:w="2268"/>
            <w:gridCol w:w="1020"/>
          </w:tblGrid>
          <w:tr>
            <w:tc>
              <w:tcPr>
                <w:tcW w:type="dxa" w:w="1701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>
                <w:pPr>
                  <w:bidi/>
                  <w:spacing w:before="0" w:after="0" w:line="276" w:lineRule="auto"/>
                  <w:jc w:val="right"/>
                </w:pPr>
                <w:r>
                  <w:rPr>
                    <w:rFonts w:ascii="Calibri Light" w:hAnsi="Calibri Light" w:cs="Calibri Light"/>
                    <w:b/>
                    <w:bCs w:val="1"/>
                    <w:i w:val="0"/>
                    <w:color w:val="1F4E79"/>
                    <w:sz w:val="22"/>
                    <w:szCs w:val="22"/>
                    <w:rtl/>
                  </w:rPr>
                  <w:t>مـدارس أجـيال للبنـات المـتـميزة</w:t>
                </w:r>
              </w:p>
            </w:tc>
            <w:tc>
              <w:tcPr>
                <w:tcW w:type="dxa" w:w="1701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>
                <w:pPr>
                  <w:bidi/>
                  <w:spacing w:before="0" w:after="0" w:line="252" w:lineRule="auto"/>
                  <w:jc w:val="center"/>
                </w:pPr>
                <w:r>
                  <w:drawing>
                    <wp:inline xmlns:a="http://schemas.openxmlformats.org/drawingml/2006/main" xmlns:pic="http://schemas.openxmlformats.org/drawingml/2006/picture">
                      <wp:extent cx="576000" cy="576000"/>
                      <wp:docPr id="2" name="Picture 2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mark_ajyal.png"/>
                              <pic:cNvPicPr/>
                            </pic:nvPicPr>
                            <pic:blipFill>
                              <a:blip r:embed="rId2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76000" cy="5760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/>
      </w:tc>
      <w:tc>
        <w:tcPr>
          <w:tcW w:type="dxa" w:w="3402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bidi/>
            <w:spacing w:before="0" w:after="0" w:line="252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396000" cy="396000"/>
                <wp:docPr id="3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mark_dev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6000" cy="39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bidi/>
            <w:spacing w:before="0" w:after="0" w:line="240" w:lineRule="auto"/>
            <w:jc w:val="center"/>
          </w:pPr>
          <w:r>
            <w:rPr>
              <w:rFonts w:ascii="Calibri Light" w:hAnsi="Calibri Light" w:cs="Calibri Light"/>
              <w:b/>
              <w:bCs w:val="1"/>
              <w:i w:val="0"/>
              <w:color w:val="1F4E79"/>
              <w:sz w:val="18"/>
              <w:szCs w:val="18"/>
              <w:rtl/>
            </w:rPr>
            <w:t>التنمية المتكاملة</w:t>
          </w:r>
        </w:p>
        <w:p>
          <w:pPr>
            <w:bidi/>
            <w:spacing w:before="0" w:after="0" w:line="240" w:lineRule="auto"/>
            <w:jc w:val="center"/>
          </w:pPr>
          <w:r>
            <w:rPr>
              <w:rFonts w:ascii="Calibri Light" w:hAnsi="Calibri Light" w:cs="Calibri Light"/>
              <w:b w:val="0"/>
              <w:bCs w:val="0"/>
              <w:i w:val="0"/>
              <w:color w:val="595959"/>
              <w:sz w:val="13"/>
              <w:szCs w:val="13"/>
              <w:rtl/>
            </w:rPr>
            <w:t>Integrated Developments</w:t>
          </w:r>
        </w:p>
      </w:tc>
    </w:tr>
  </w:tbl>
  <w:tbl>
    <w:tblPr>
      <w:bidiVisual/>
      <w:tblW w:type="auto" w:w="0"/>
      <w:tblBorders>
        <w:top w:val="none" w:sz="0" w:color="auto"/>
        <w:left w:val="none" w:sz="0" w:color="auto"/>
        <w:bottom w:val="none" w:sz="0" w:color="auto"/>
        <w:right w:val="none" w:sz="0" w:color="auto"/>
        <w:insideH w:val="none" w:sz="0" w:color="auto"/>
        <w:insideV w:val="none" w:sz="0" w:color="auto"/>
      </w:tblBorders>
      <w:tblLook w:firstColumn="1" w:firstRow="1" w:lastColumn="0" w:lastRow="0" w:noHBand="0" w:noVBand="1" w:val="04A0"/>
    </w:tblPr>
    <w:tblGrid>
      <w:gridCol w:w="1984"/>
      <w:gridCol w:w="5669"/>
      <w:gridCol w:w="2551"/>
    </w:tblGrid>
    <w:tr>
      <w:tc>
        <w:tcPr>
          <w:tcW w:type="dxa" w:w="3402"/>
          <w:tcBorders>
            <w:bottom w:val="single" w:sz="6" w:space="0" w:color="A6A6A6"/>
          </w:tcBorders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168" w:lineRule="auto"/>
          </w:pPr>
          <w:r>
            <w:rPr>
              <w:rFonts w:ascii="Calibri Light" w:hAnsi="Calibri Light" w:cs="Calibri Light"/>
              <w:b w:val="0"/>
              <w:bCs w:val="0"/>
              <w:i w:val="0"/>
              <w:color w:val="203864"/>
              <w:sz w:val="4"/>
              <w:szCs w:val="4"/>
              <w:rtl/>
            </w:rPr>
          </w:r>
        </w:p>
      </w:tc>
      <w:tc>
        <w:tcPr>
          <w:tcW w:type="dxa" w:w="3402"/>
          <w:tcBorders>
            <w:bottom w:val="single" w:sz="36" w:space="0" w:color="6AA84F"/>
          </w:tcBorders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168" w:lineRule="auto"/>
          </w:pPr>
          <w:r>
            <w:rPr>
              <w:rFonts w:ascii="Calibri Light" w:hAnsi="Calibri Light" w:cs="Calibri Light"/>
              <w:b w:val="0"/>
              <w:bCs w:val="0"/>
              <w:i w:val="0"/>
              <w:color w:val="203864"/>
              <w:sz w:val="4"/>
              <w:szCs w:val="4"/>
              <w:rtl/>
            </w:rPr>
          </w:r>
        </w:p>
      </w:tc>
      <w:tc>
        <w:tcPr>
          <w:tcW w:type="dxa" w:w="3402"/>
          <w:tcBorders>
            <w:bottom w:val="single" w:sz="6" w:space="0" w:color="1F4E79"/>
          </w:tcBorders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168" w:lineRule="auto"/>
          </w:pPr>
          <w:r>
            <w:rPr>
              <w:rFonts w:ascii="Calibri Light" w:hAnsi="Calibri Light" w:cs="Calibri Light"/>
              <w:b w:val="0"/>
              <w:bCs w:val="0"/>
              <w:i w:val="0"/>
              <w:color w:val="203864"/>
              <w:sz w:val="4"/>
              <w:szCs w:val="4"/>
              <w:rtl/>
            </w:rPr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 Light" w:hAnsi="Calibri Light" w:cs="Calibri Light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5.png"/><Relationship Id="rId3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الإضاءة الخامسة: تعزيز السلوك الإيجابي عبر برامج التحفيز والتكريم</dc:title>
  <dc:subject>نموذج معايير التقويم والاعتماد المدرسي 2026 — نواتج التعلم</dc:subject>
  <dc:creator>المرشد الطلابي</dc:creator>
  <cp:keywords/>
  <dc:description>المؤشر: يلتزم المتعلمون بقواعد السلوك والانضباط المدرسي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