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السابعة: تهيئة بيئة مدرسية منظمة وآمنة تعزز الانضباط المدرسي</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البيئة المنظمة تُعلّم الانضباط قبل أي كلمة؛ تنظيم الاصطفاف، وضبط حركة المتعلمين داخل المدرسة، والمحافظة على نظافة المرافق، ووضوح التعليمات السلوكية في جميع أرجاء المدرسة، كلها رسائل صامتة تصنع سلوكًا راسخًا.</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الخريطة السلوكية للمدرسة: </w:t>
      </w:r>
      <w:r>
        <w:rPr>
          <w:rFonts w:ascii="Calibri Light" w:hAnsi="Calibri Light" w:cs="Calibri Light"/>
          <w:b w:val="0"/>
          <w:bCs w:val="0"/>
          <w:i w:val="0"/>
          <w:color w:val="203864"/>
          <w:sz w:val="20"/>
          <w:szCs w:val="20"/>
          <w:rtl/>
        </w:rPr>
        <w:t>لافتات إرشادية واضحة في الممرات والفناء والكافتيريا والمرافق تذكّر بالقواعد بلغة بصرية محببة.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تنظيم الطابور والحركة: </w:t>
      </w:r>
      <w:r>
        <w:rPr>
          <w:rFonts w:ascii="Calibri Light" w:hAnsi="Calibri Light" w:cs="Calibri Light"/>
          <w:b w:val="0"/>
          <w:bCs w:val="0"/>
          <w:i w:val="0"/>
          <w:color w:val="203864"/>
          <w:sz w:val="20"/>
          <w:szCs w:val="20"/>
          <w:rtl/>
        </w:rPr>
        <w:t>خطة اصطفاف ومسارات حركة ومواعيد ذروة، بمناوبات مراقبة منسقة مع الوكلاء.</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النظافة والانضباط البيئي: </w:t>
      </w:r>
      <w:r>
        <w:rPr>
          <w:rFonts w:ascii="Calibri Light" w:hAnsi="Calibri Light" w:cs="Calibri Light"/>
          <w:b w:val="0"/>
          <w:bCs w:val="0"/>
          <w:i w:val="0"/>
          <w:color w:val="203864"/>
          <w:sz w:val="20"/>
          <w:szCs w:val="20"/>
          <w:rtl/>
        </w:rPr>
        <w:t>حملة «مدرستنا نظيفة» بمسؤوليات طلابية موزعة وتقييم أسبوعي ملموس.</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مناخ آمن ومحمي: </w:t>
      </w:r>
      <w:r>
        <w:rPr>
          <w:rFonts w:ascii="Calibri Light" w:hAnsi="Calibri Light" w:cs="Calibri Light"/>
          <w:b w:val="0"/>
          <w:bCs w:val="0"/>
          <w:i w:val="0"/>
          <w:color w:val="203864"/>
          <w:sz w:val="20"/>
          <w:szCs w:val="20"/>
          <w:rtl/>
        </w:rPr>
        <w:t>مكافحة التنمر، وصندوق شكاوى آمن، والاستجابة السريعة للحوادث بالتنسيق مع الإدارة.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جولة تشخيصية مع الوكلاء لرصد نقاط الضعف البيئية وتحديد الأولويات.</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إعداد خطة التنظيم (المسارات، اللافتات، المناوبات) وتنفيذها تدريجيًا.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تدريب الطلاب القادة على قيادة الطابور والتنسيق وضبط حركة الزملاء.</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مراجعة أسبوعية للبيئة المدرسية وتعديل الخطة وفق الملاحظات.</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انخفاض الازدحام والحوادث الميدانية في فترات الذروة.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تقييم بصري أسبوعي لنظافة المرافق بمستوى جيد جدًا فأعلى.</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التزام المتعلمين بالمسارات والتعليمات السلوكية المعلنة.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ازدحام في ممر الفناء وقت الفسحة؛ فيعيد المرشد ترتيب المسارات ويضع اللافتات ويوزع المناوبات، فتنخفض الحوادث الميدانية خلال أسبوعين.</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7</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الوضوح البصري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لافتات إرشادية كافية وواضحة في المرافق كافة.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تنظيم الحركة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مسارات واضحة وطابور منظم ومنتظم.</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النظافة والصيانة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تقييم أسبوعي منتظم لحالة المرافق.</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الأمان المدرسي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انخفاض الحوادث والاستجابة السريعة للطوارئ.</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مشاركة الطلاب</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أدوار طلابية فاعلة في قيادة البيئة المدرسية.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خريطة المدرسة السلوكية (مسارات ولافتات).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خطة الطابور وتنظيم الحركة.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تقارير تقييم النظافة الأسبوعية.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سجل الحوادث والاستجابة.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سجل أدوار الطلاب القادة.</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7</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اللافتات الإرشادية واضحة وكافية في المرافق.</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المسارات محددة بوضوح ومنظمة.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الطابور الصباحي منتظم وفق الخطة.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المرافق نظيفة وتُقيَّم أسبوعيًا.</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الحوادث تُعالج بسرعة وتُوثَّق.</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صندوق الشكاوى آمن وفعّال.</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الطلاب شركاء في تنظيم البيئة.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7</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جولة تشخيصية لرصد نقاط الضعف.</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الوكلاء</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تشخيصي</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إعداد خطة التنظيم واللافتات.</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أسبوعان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خطة معتمدة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تدريب الطلاب القادة على القيادة.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شهري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قادة مدرَّبون</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حملة مدرستنا نظيفة.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الطلاب + المرشد</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تقييم أسبوعي</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مراجعة أسبوعية وتعديل الخطة.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تقارير موثقة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ازدحام الفترات الذروة.</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جدولة المسارات وتعزيز المناوبات في الذروة.</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تكرار الحوادث في المرافق نفسها.</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معالجة بيئية (صيانة/تنظيم) لا أفراد فقط.</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إهمال النظافة بعد الحماس الأول.</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مسؤوليات طلابية موزعة وتقييم مرئي.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يتحرك المتعلمون في مسارات واضحة دون ازدحام؟</w:t>
            </w:r>
          </w:p>
          <w:p>
            <w:pPr>
              <w:bidi/>
              <w:spacing w:before="0" w:after="20" w:line="264" w:lineRule="auto"/>
              <w:jc w:val="right"/>
            </w:pPr>
            <w:r>
              <w:rPr>
                <w:rFonts w:ascii="Calibri Light" w:hAnsi="Calibri Light" w:cs="Calibri Light"/>
                <w:b w:val="0"/>
                <w:bCs w:val="0"/>
                <w:i w:val="0"/>
                <w:color w:val="203864"/>
                <w:sz w:val="19"/>
                <w:szCs w:val="19"/>
                <w:rtl/>
              </w:rPr>
              <w:t>أي مرافق تكرر فيها الحوادث؟ ولماذا؟</w:t>
            </w:r>
          </w:p>
          <w:p>
            <w:pPr>
              <w:bidi/>
              <w:spacing w:before="0" w:after="20" w:line="264" w:lineRule="auto"/>
              <w:jc w:val="right"/>
            </w:pPr>
            <w:r>
              <w:rPr>
                <w:rFonts w:ascii="Calibri Light" w:hAnsi="Calibri Light" w:cs="Calibri Light"/>
                <w:b w:val="0"/>
                <w:bCs w:val="0"/>
                <w:i w:val="0"/>
                <w:color w:val="203864"/>
                <w:sz w:val="19"/>
                <w:szCs w:val="19"/>
                <w:rtl/>
              </w:rPr>
              <w:t>هل التعليمات السلوكية مرئية في كل أرجاء المدرسة؟</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sectPr w:rsidR="00FC693F" w:rsidRPr="0006063C" w:rsidSect="00034616">
      <w:headerReference w:type="default" r:id="rId9"/>
      <w:footerReference w:type="default" r:id="rId10"/>
      <w:pgSz w:w="11906" w:h="16838"/>
      <w:pgMar w:top="2013" w:right="850" w:bottom="1786" w:left="850" w:header="397"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3175"/>
      <w:gridCol w:w="3969"/>
      <w:gridCol w:w="3061"/>
    </w:tblGrid>
    <w:tr>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531"/>
            <w:gridCol w:w="1531"/>
          </w:tblGrid>
          <w:tr>
            <w:tc>
              <w:tcPr>
                <w:tcW w:type="dxa" w:w="1701"/>
                <w:tcBorders>
                  <w:top w:val="single" w:sz="4" w:space="0" w:color="BFBFBF"/>
                  <w:left w:val="single" w:sz="4" w:space="0" w:color="BFBFBF"/>
                  <w:bottom w:val="single" w:sz="4" w:space="0" w:color="BFBFBF"/>
                  <w:right w:val="single" w:sz="4" w:space="0" w:color="BFBFBF"/>
                </w:tcBorders>
                <w:tcMar>
                  <w:top w:w="20" w:type="dxa"/>
                  <w:left w:w="40" w:type="dxa"/>
                  <w:bottom w:w="20" w:type="dxa"/>
                  <w:right w:w="40" w:type="dxa"/>
                </w:tcMar>
              </w:tcPr>
              <w:p>
                <w:pPr>
                  <w:bidi/>
                  <w:spacing w:before="0" w:after="0" w:line="240" w:lineRule="auto"/>
                  <w:jc w:val="center"/>
                </w:pPr>
                <w:r>
                  <w:rPr>
                    <w:rFonts w:ascii="Calibri Light" w:hAnsi="Calibri Light" w:cs="Calibri Light"/>
                    <w:b/>
                    <w:bCs w:val="1"/>
                    <w:i w:val="0"/>
                    <w:color w:val="A60000"/>
                    <w:sz w:val="14"/>
                    <w:szCs w:val="14"/>
                    <w:rtl/>
                  </w:rPr>
                  <w:t>ISO 9001:2015</w:t>
                </w:r>
              </w:p>
              <w:p>
                <w:pPr>
                  <w:bidi/>
                  <w:spacing w:before="0" w:after="0" w:line="240" w:lineRule="auto"/>
                  <w:jc w:val="center"/>
                </w:pPr>
                <w:r>
                  <w:rPr>
                    <w:rFonts w:ascii="Calibri Light" w:hAnsi="Calibri Light" w:cs="Calibri Light"/>
                    <w:b w:val="0"/>
                    <w:bCs w:val="0"/>
                    <w:i w:val="0"/>
                    <w:color w:val="595959"/>
                    <w:sz w:val="11"/>
                    <w:szCs w:val="11"/>
                    <w:rtl/>
                  </w:rPr>
                  <w:t>CERTIFIED</w:t>
                </w:r>
              </w:p>
            </w:tc>
            <w:tc>
              <w:tcPr>
                <w:tcW w:type="dxa" w:w="1701"/>
                <w:tcBorders>
                  <w:top w:val="single" w:sz="4" w:space="0" w:color="BFBFBF"/>
                  <w:left w:val="single" w:sz="4" w:space="0" w:color="BFBFBF"/>
                  <w:bottom w:val="single" w:sz="4" w:space="0" w:color="BFBFBF"/>
                  <w:right w:val="single" w:sz="4" w:space="0" w:color="BFBFBF"/>
                </w:tcBorders>
                <w:tcMar>
                  <w:top w:w="20" w:type="dxa"/>
                  <w:left w:w="40" w:type="dxa"/>
                  <w:bottom w:w="20" w:type="dxa"/>
                  <w:right w:w="40" w:type="dxa"/>
                </w:tcMar>
              </w:tcPr>
              <w:p>
                <w:pPr>
                  <w:bidi/>
                  <w:spacing w:before="0" w:after="0" w:line="240" w:lineRule="auto"/>
                  <w:jc w:val="center"/>
                </w:pPr>
                <w:r>
                  <w:rPr>
                    <w:rFonts w:ascii="Calibri Light" w:hAnsi="Calibri Light" w:cs="Calibri Light"/>
                    <w:b/>
                    <w:bCs w:val="1"/>
                    <w:i w:val="0"/>
                    <w:color w:val="1F4E79"/>
                    <w:sz w:val="14"/>
                    <w:szCs w:val="14"/>
                    <w:rtl/>
                  </w:rPr>
                  <w:t>AiAA</w:t>
                </w:r>
              </w:p>
              <w:p>
                <w:pPr>
                  <w:bidi/>
                  <w:spacing w:before="0" w:after="0" w:line="240" w:lineRule="auto"/>
                  <w:jc w:val="center"/>
                </w:pPr>
                <w:r>
                  <w:rPr>
                    <w:rFonts w:ascii="Calibri Light" w:hAnsi="Calibri Light" w:cs="Calibri Light"/>
                    <w:b w:val="0"/>
                    <w:bCs w:val="0"/>
                    <w:i w:val="0"/>
                    <w:color w:val="595959"/>
                    <w:sz w:val="11"/>
                    <w:szCs w:val="11"/>
                    <w:rtl/>
                  </w:rPr>
                  <w:t>اعتماد دولي</w:t>
                </w:r>
              </w:p>
            </w:tc>
          </w:tr>
        </w:tbl>
        <w:p/>
      </w:tc>
      <w:tc>
        <w:tcPr>
          <w:tcW w:type="dxa" w:w="3402"/>
          <w:tcMar>
            <w:top w:w="0" w:type="dxa"/>
            <w:left w:w="0" w:type="dxa"/>
            <w:bottom w:w="0" w:type="dxa"/>
            <w:right w:w="0" w:type="dxa"/>
          </w:tcMar>
        </w:tcPr>
        <w:p>
          <w:pPr>
            <w:bidi/>
            <w:spacing w:before="0" w:after="20" w:line="240" w:lineRule="auto"/>
            <w:jc w:val="center"/>
          </w:pPr>
          <w:r>
            <w:rPr>
              <w:rFonts w:ascii="Calibri Light" w:hAnsi="Calibri Light" w:cs="Calibri Light"/>
              <w:b/>
              <w:bCs w:val="1"/>
              <w:i w:val="0"/>
              <w:color w:val="1F4E79"/>
              <w:sz w:val="17"/>
              <w:szCs w:val="17"/>
              <w:rtl/>
            </w:rPr>
            <w:t>التعليم المتقـدم يبنـي ...</w:t>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247"/>
            <w:gridCol w:w="1247"/>
            <w:gridCol w:w="1247"/>
          </w:tblGrid>
          <w:tr>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1" name="Picture 1"/>
                      <wp:cNvGraphicFramePr>
                        <a:graphicFrameLocks noChangeAspect="1"/>
                      </wp:cNvGraphicFramePr>
                      <a:graphic>
                        <a:graphicData uri="http://schemas.openxmlformats.org/drawingml/2006/picture">
                          <pic:pic>
                            <pic:nvPicPr>
                              <pic:cNvPr id="0" name="icon_person.png"/>
                              <pic:cNvPicPr/>
                            </pic:nvPicPr>
                            <pic:blipFill>
                              <a:blip r:embed="rId1"/>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المعرفة</w:t>
                </w:r>
              </w:p>
            </w:tc>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2" name="Picture 2"/>
                      <wp:cNvGraphicFramePr>
                        <a:graphicFrameLocks noChangeAspect="1"/>
                      </wp:cNvGraphicFramePr>
                      <a:graphic>
                        <a:graphicData uri="http://schemas.openxmlformats.org/drawingml/2006/picture">
                          <pic:pic>
                            <pic:nvPicPr>
                              <pic:cNvPr id="0" name="icon_chart.png"/>
                              <pic:cNvPicPr/>
                            </pic:nvPicPr>
                            <pic:blipFill>
                              <a:blip r:embed="rId2"/>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التكنولوجيا</w:t>
                </w:r>
              </w:p>
            </w:tc>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3" name="Picture 3"/>
                      <wp:cNvGraphicFramePr>
                        <a:graphicFrameLocks noChangeAspect="1"/>
                      </wp:cNvGraphicFramePr>
                      <a:graphic>
                        <a:graphicData uri="http://schemas.openxmlformats.org/drawingml/2006/picture">
                          <pic:pic>
                            <pic:nvPicPr>
                              <pic:cNvPr id="0" name="icon_atom.png"/>
                              <pic:cNvPicPr/>
                            </pic:nvPicPr>
                            <pic:blipFill>
                              <a:blip r:embed="rId3"/>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العلوم</w:t>
                </w:r>
              </w:p>
            </w:tc>
          </w:tr>
        </w:tbl>
        <w:p/>
      </w:tc>
      <w:tc>
        <w:tcPr>
          <w:tcW w:type="dxa" w:w="3402"/>
          <w:tcMar>
            <w:top w:w="0" w:type="dxa"/>
            <w:left w:w="0" w:type="dxa"/>
            <w:bottom w:w="0" w:type="dxa"/>
            <w:right w:w="0" w:type="dxa"/>
          </w:tcMar>
        </w:tcPr>
        <w:p>
          <w:pPr>
            <w:bidi/>
            <w:spacing w:before="0" w:after="0" w:line="264" w:lineRule="auto"/>
            <w:jc w:val="center"/>
          </w:pPr>
          <w:r>
            <w:rPr>
              <w:rFonts w:ascii="Calibri Light" w:hAnsi="Calibri Light" w:cs="Calibri Light"/>
              <w:b/>
              <w:bCs w:val="1"/>
              <w:i w:val="0"/>
              <w:color w:val="1F4E79"/>
              <w:sz w:val="16"/>
              <w:szCs w:val="16"/>
              <w:rtl/>
            </w:rPr>
            <w:t xml:space="preserve">f   X   ◎   </w:t>
          </w:r>
          <w:r>
            <w:rPr>
              <w:rFonts w:ascii="Calibri Light" w:hAnsi="Calibri Light" w:cs="Calibri Light"/>
              <w:b/>
              <w:bCs w:val="1"/>
              <w:i w:val="0"/>
              <w:color w:val="1F4E79"/>
              <w:sz w:val="16"/>
              <w:szCs w:val="16"/>
              <w:rtl/>
            </w:rPr>
            <w:t>Ajailyanbu</w:t>
          </w:r>
        </w:p>
        <w:p>
          <w:pPr>
            <w:bidi/>
            <w:spacing w:before="0" w:after="0" w:line="264" w:lineRule="auto"/>
            <w:jc w:val="center"/>
          </w:pPr>
          <w:r>
            <w:rPr>
              <w:rFonts w:ascii="Calibri Light" w:hAnsi="Calibri Light" w:cs="Calibri Light"/>
              <w:b/>
              <w:bCs w:val="1"/>
              <w:i w:val="0"/>
              <w:color w:val="6AA84F"/>
              <w:sz w:val="16"/>
              <w:szCs w:val="16"/>
              <w:rtl/>
            </w:rPr>
            <w:t xml:space="preserve">☎   </w:t>
          </w:r>
          <w:r>
            <w:rPr>
              <w:rFonts w:ascii="Calibri Light" w:hAnsi="Calibri Light" w:cs="Calibri Light"/>
              <w:b w:val="0"/>
              <w:bCs w:val="0"/>
              <w:i w:val="0"/>
              <w:color w:val="1F4E79"/>
              <w:sz w:val="16"/>
              <w:szCs w:val="16"/>
              <w:rtl/>
            </w:rPr>
            <w:t>Nabualmarifa.edu.sa</w:t>
          </w:r>
        </w:p>
      </w:tc>
    </w:tr>
  </w:tbl>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6520"/>
      <w:gridCol w:w="3685"/>
    </w:tblGrid>
    <w:tr>
      <w:tc>
        <w:tcPr>
          <w:tcW w:type="dxa" w:w="5102"/>
          <w:tcBorders>
            <w:bottom w:val="single" w:sz="6" w:space="0" w:color="1F4E79"/>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5102"/>
          <w:tcBorders>
            <w:bottom w:val="single" w:sz="36" w:space="0" w:color="6AA84F"/>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3969"/>
      <w:gridCol w:w="3402"/>
      <w:gridCol w:w="2835"/>
    </w:tblGrid>
    <w:tr>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2891"/>
            <w:gridCol w:w="964"/>
          </w:tblGrid>
          <w:tr>
            <w:tc>
              <w:tcPr>
                <w:tcW w:type="dxa" w:w="1701"/>
                <w:tcMar>
                  <w:top w:w="0" w:type="dxa"/>
                  <w:left w:w="0" w:type="dxa"/>
                  <w:bottom w:w="0" w:type="dxa"/>
                  <w:right w:w="0" w:type="dxa"/>
                </w:tcMar>
              </w:tcPr>
              <w:p>
                <w:pPr>
                  <w:bidi/>
                  <w:spacing w:before="0" w:after="0" w:line="240" w:lineRule="auto"/>
                  <w:jc w:val="right"/>
                </w:pPr>
                <w:r>
                  <w:rPr>
                    <w:rFonts w:ascii="Calibri Light" w:hAnsi="Calibri Light" w:cs="Calibri Light"/>
                    <w:b/>
                    <w:bCs w:val="1"/>
                    <w:i w:val="0"/>
                    <w:color w:val="2E7D32"/>
                    <w:sz w:val="20"/>
                    <w:szCs w:val="20"/>
                    <w:rtl/>
                  </w:rPr>
                  <w:t>المملكة العربية السعودية</w:t>
                </w:r>
              </w:p>
              <w:p>
                <w:pPr>
                  <w:bidi/>
                  <w:spacing w:before="0" w:after="0" w:line="240" w:lineRule="auto"/>
                  <w:jc w:val="right"/>
                </w:pPr>
                <w:r>
                  <w:rPr>
                    <w:rFonts w:ascii="Calibri Light" w:hAnsi="Calibri Light" w:cs="Calibri Light"/>
                    <w:b/>
                    <w:bCs w:val="1"/>
                    <w:i w:val="0"/>
                    <w:color w:val="203864"/>
                    <w:sz w:val="17"/>
                    <w:szCs w:val="17"/>
                    <w:rtl/>
                  </w:rPr>
                  <w:t>وزارة التعليم</w:t>
                </w:r>
              </w:p>
              <w:p>
                <w:pPr>
                  <w:bidi/>
                  <w:spacing w:before="0" w:after="0" w:line="240" w:lineRule="auto"/>
                  <w:jc w:val="right"/>
                </w:pPr>
                <w:r>
                  <w:rPr>
                    <w:rFonts w:ascii="Calibri Light" w:hAnsi="Calibri Light" w:cs="Calibri Light"/>
                    <w:b w:val="0"/>
                    <w:bCs w:val="0"/>
                    <w:i w:val="0"/>
                    <w:color w:val="203864"/>
                    <w:sz w:val="15"/>
                    <w:szCs w:val="15"/>
                    <w:rtl/>
                  </w:rPr>
                  <w:t>الإدارة العامة للتعليم</w:t>
                </w:r>
              </w:p>
              <w:p>
                <w:pPr>
                  <w:bidi/>
                  <w:spacing w:before="0" w:after="0" w:line="240" w:lineRule="auto"/>
                  <w:jc w:val="right"/>
                </w:pPr>
                <w:r>
                  <w:rPr>
                    <w:rFonts w:ascii="Calibri Light" w:hAnsi="Calibri Light" w:cs="Calibri Light"/>
                    <w:b w:val="0"/>
                    <w:bCs w:val="0"/>
                    <w:i w:val="0"/>
                    <w:color w:val="203864"/>
                    <w:sz w:val="15"/>
                    <w:szCs w:val="15"/>
                    <w:rtl/>
                  </w:rPr>
                  <w:t>مكتب التعليم</w:t>
                </w:r>
              </w:p>
            </w:tc>
            <w:tc>
              <w:tcPr>
                <w:tcW w:type="dxa" w:w="1701"/>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mark_ksa.png"/>
                              <pic:cNvPicPr/>
                            </pic:nvPicPr>
                            <pic:blipFill>
                              <a:blip r:embed="rId1"/>
                              <a:stretch>
                                <a:fillRect/>
                              </a:stretch>
                            </pic:blipFill>
                            <pic:spPr>
                              <a:xfrm>
                                <a:off x="0" y="0"/>
                                <a:ext cx="540000" cy="540000"/>
                              </a:xfrm>
                              <a:prstGeom prst="rect"/>
                            </pic:spPr>
                          </pic:pic>
                        </a:graphicData>
                      </a:graphic>
                    </wp:inline>
                  </w:drawing>
                </w:r>
              </w:p>
            </w:tc>
          </w:tr>
        </w:tbl>
        <w:p/>
      </w:tc>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2268"/>
            <w:gridCol w:w="1020"/>
          </w:tblGrid>
          <w:tr>
            <w:tc>
              <w:tcPr>
                <w:tcW w:type="dxa" w:w="1701"/>
                <w:tcMar>
                  <w:top w:w="0" w:type="dxa"/>
                  <w:left w:w="0" w:type="dxa"/>
                  <w:bottom w:w="0" w:type="dxa"/>
                  <w:right w:w="0" w:type="dxa"/>
                </w:tcMar>
              </w:tcPr>
              <w:p>
                <w:pPr>
                  <w:bidi/>
                  <w:spacing w:before="0" w:after="0" w:line="276" w:lineRule="auto"/>
                  <w:jc w:val="right"/>
                </w:pPr>
                <w:r>
                  <w:rPr>
                    <w:rFonts w:ascii="Calibri Light" w:hAnsi="Calibri Light" w:cs="Calibri Light"/>
                    <w:b/>
                    <w:bCs w:val="1"/>
                    <w:i w:val="0"/>
                    <w:color w:val="1F4E79"/>
                    <w:sz w:val="22"/>
                    <w:szCs w:val="22"/>
                    <w:rtl/>
                  </w:rPr>
                  <w:t>مـدارس أجـيال للبنـات المـتـميزة</w:t>
                </w:r>
              </w:p>
            </w:tc>
            <w:tc>
              <w:tcPr>
                <w:tcW w:type="dxa" w:w="1701"/>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576000" cy="576000"/>
                      <wp:docPr id="2" name="Picture 2"/>
                      <wp:cNvGraphicFramePr>
                        <a:graphicFrameLocks noChangeAspect="1"/>
                      </wp:cNvGraphicFramePr>
                      <a:graphic>
                        <a:graphicData uri="http://schemas.openxmlformats.org/drawingml/2006/picture">
                          <pic:pic>
                            <pic:nvPicPr>
                              <pic:cNvPr id="0" name="mark_ajyal.png"/>
                              <pic:cNvPicPr/>
                            </pic:nvPicPr>
                            <pic:blipFill>
                              <a:blip r:embed="rId2"/>
                              <a:stretch>
                                <a:fillRect/>
                              </a:stretch>
                            </pic:blipFill>
                            <pic:spPr>
                              <a:xfrm>
                                <a:off x="0" y="0"/>
                                <a:ext cx="576000" cy="576000"/>
                              </a:xfrm>
                              <a:prstGeom prst="rect"/>
                            </pic:spPr>
                          </pic:pic>
                        </a:graphicData>
                      </a:graphic>
                    </wp:inline>
                  </w:drawing>
                </w:r>
              </w:p>
            </w:tc>
          </w:tr>
        </w:tbl>
        <w:p/>
      </w:tc>
      <w:tc>
        <w:tcPr>
          <w:tcW w:type="dxa" w:w="3402"/>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396000" cy="396000"/>
                <wp:docPr id="3" name="Picture 3"/>
                <wp:cNvGraphicFramePr>
                  <a:graphicFrameLocks noChangeAspect="1"/>
                </wp:cNvGraphicFramePr>
                <a:graphic>
                  <a:graphicData uri="http://schemas.openxmlformats.org/drawingml/2006/picture">
                    <pic:pic>
                      <pic:nvPicPr>
                        <pic:cNvPr id="0" name="mark_dev.png"/>
                        <pic:cNvPicPr/>
                      </pic:nvPicPr>
                      <pic:blipFill>
                        <a:blip r:embed="rId3"/>
                        <a:stretch>
                          <a:fillRect/>
                        </a:stretch>
                      </pic:blipFill>
                      <pic:spPr>
                        <a:xfrm>
                          <a:off x="0" y="0"/>
                          <a:ext cx="396000" cy="396000"/>
                        </a:xfrm>
                        <a:prstGeom prst="rect"/>
                      </pic:spPr>
                    </pic:pic>
                  </a:graphicData>
                </a:graphic>
              </wp:inline>
            </w:drawing>
          </w:r>
        </w:p>
        <w:p>
          <w:pPr>
            <w:bidi/>
            <w:spacing w:before="0" w:after="0" w:line="240" w:lineRule="auto"/>
            <w:jc w:val="center"/>
          </w:pPr>
          <w:r>
            <w:rPr>
              <w:rFonts w:ascii="Calibri Light" w:hAnsi="Calibri Light" w:cs="Calibri Light"/>
              <w:b/>
              <w:bCs w:val="1"/>
              <w:i w:val="0"/>
              <w:color w:val="1F4E79"/>
              <w:sz w:val="18"/>
              <w:szCs w:val="18"/>
              <w:rtl/>
            </w:rPr>
            <w:t>التنمية المتكاملة</w:t>
          </w:r>
        </w:p>
        <w:p>
          <w:pPr>
            <w:bidi/>
            <w:spacing w:before="0" w:after="0" w:line="240" w:lineRule="auto"/>
            <w:jc w:val="center"/>
          </w:pPr>
          <w:r>
            <w:rPr>
              <w:rFonts w:ascii="Calibri Light" w:hAnsi="Calibri Light" w:cs="Calibri Light"/>
              <w:b w:val="0"/>
              <w:bCs w:val="0"/>
              <w:i w:val="0"/>
              <w:color w:val="595959"/>
              <w:sz w:val="13"/>
              <w:szCs w:val="13"/>
              <w:rtl/>
            </w:rPr>
            <w:t>Integrated Developments</w:t>
          </w:r>
        </w:p>
      </w:tc>
    </w:tr>
  </w:tbl>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984"/>
      <w:gridCol w:w="5669"/>
      <w:gridCol w:w="2551"/>
    </w:tblGrid>
    <w:tr>
      <w:tc>
        <w:tcPr>
          <w:tcW w:type="dxa" w:w="3402"/>
          <w:tcBorders>
            <w:bottom w:val="single" w:sz="6" w:space="0" w:color="A6A6A6"/>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3402"/>
          <w:tcBorders>
            <w:bottom w:val="single" w:sz="36" w:space="0" w:color="6AA84F"/>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3402"/>
          <w:tcBorders>
            <w:bottom w:val="single" w:sz="6" w:space="0" w:color="1F4E79"/>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Light" w:hAnsi="Calibri Light" w:cs="Calibri Ligh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الإضاءة السابعة: تهيئة بيئة مدرسية منظمة وآمنة تعزز الانضباط المدرسي</dc:title>
  <dc:subject>نموذج معايير التقويم والاعتماد المدرسي 2026 — نواتج التعلم</dc:subject>
  <dc:creator>المرشد الطلابي</dc:creator>
  <cp:keywords/>
  <dc:description>المؤشر: يلتزم المتعلمون بقواعد السلوك والانضباط المدرسي</dc:description>
  <cp:lastModifiedBy/>
  <cp:revision>1</cp:revision>
  <dcterms:created xsi:type="dcterms:W3CDTF">2013-12-23T23:15:00Z</dcterms:created>
  <dcterms:modified xsi:type="dcterms:W3CDTF">2013-12-23T23:15:00Z</dcterms:modified>
  <cp:category/>
</cp:coreProperties>
</file>