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bidiVisual/>
        <w:tblW w:type="auto" w:w="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bidi/>
              <w:spacing w:before="0" w:after="0" w:line="264" w:lineRule="auto"/>
              <w:jc w:val="right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24"/>
                <w:szCs w:val="24"/>
                <w:rtl/>
              </w:rPr>
              <w:t>الإضاءة الثامنة: متابعة وتقويم الالتزام بقواعد السلوك وتطوير الإجراءات الوقائية</w:t>
            </w:r>
          </w:p>
        </w:tc>
      </w:tr>
    </w:tbl>
    <w:tbl>
      <w:tblPr>
        <w:bidiVisual/>
        <w:tblW w:type="auto" w:w="0"/>
        <w:jc w:val="center"/>
        <w:tblBorders>
          <w:top w:val="single" w:sz="4" w:space="0" w:color="B7C9DA"/>
          <w:left w:val="single" w:sz="4" w:space="0" w:color="B7C9DA"/>
          <w:bottom w:val="single" w:sz="4" w:space="0" w:color="B7C9DA"/>
          <w:right w:val="single" w:sz="4" w:space="0" w:color="B7C9DA"/>
          <w:insideH w:val="single" w:sz="4" w:space="0" w:color="B7C9DA"/>
          <w:insideV w:val="single" w:sz="4" w:space="0" w:color="B7C9DA"/>
        </w:tblBorders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1814"/>
            <w:shd w:val="clear" w:color="auto" w:fill="DCE6F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1F4E79"/>
                <w:sz w:val="18"/>
                <w:szCs w:val="18"/>
                <w:rtl/>
              </w:rPr>
              <w:t>المجال</w:t>
            </w:r>
          </w:p>
        </w:tc>
        <w:tc>
          <w:tcPr>
            <w:tcW w:type="dxa" w:w="839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9"/>
                <w:szCs w:val="19"/>
                <w:rtl/>
              </w:rPr>
              <w:t>نواتج التعلم</w:t>
            </w:r>
          </w:p>
        </w:tc>
      </w:tr>
      <w:tr>
        <w:tc>
          <w:tcPr>
            <w:tcW w:type="dxa" w:w="1814"/>
            <w:shd w:val="clear" w:color="auto" w:fill="DCE6F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1F4E79"/>
                <w:sz w:val="18"/>
                <w:szCs w:val="18"/>
                <w:rtl/>
              </w:rPr>
              <w:t>المعيار</w:t>
            </w:r>
          </w:p>
        </w:tc>
        <w:tc>
          <w:tcPr>
            <w:tcW w:type="dxa" w:w="839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9"/>
                <w:szCs w:val="19"/>
                <w:rtl/>
              </w:rPr>
              <w:t>التطور الشخصي والصحي والاجتماعي</w:t>
            </w:r>
          </w:p>
        </w:tc>
      </w:tr>
      <w:tr>
        <w:tc>
          <w:tcPr>
            <w:tcW w:type="dxa" w:w="1814"/>
            <w:shd w:val="clear" w:color="auto" w:fill="DCE6F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1F4E79"/>
                <w:sz w:val="18"/>
                <w:szCs w:val="18"/>
                <w:rtl/>
              </w:rPr>
              <w:t>المؤشر</w:t>
            </w:r>
          </w:p>
        </w:tc>
        <w:tc>
          <w:tcPr>
            <w:tcW w:type="dxa" w:w="839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9"/>
                <w:szCs w:val="19"/>
                <w:rtl/>
              </w:rPr>
              <w:t>يلتزم المتعلمون بقواعد السلوك والانضباط المدرسي</w:t>
            </w:r>
          </w:p>
        </w:tc>
      </w:tr>
    </w:tbl>
    <w:p>
      <w:pPr>
        <w:shd w:val="clear" w:color="auto" w:fill="6AA84F"/>
        <w:bidi/>
        <w:spacing w:before="100" w:after="60" w:line="252" w:lineRule="auto"/>
        <w:ind w:left="68" w:right="68"/>
        <w:jc w:val="right"/>
      </w:pPr>
      <w:r>
        <w:rPr>
          <w:rFonts w:ascii="Calibri Light" w:hAnsi="Calibri Light" w:cs="Calibri Light"/>
          <w:b/>
          <w:bCs w:val="1"/>
          <w:i w:val="0"/>
          <w:color w:val="FFFFFF"/>
          <w:sz w:val="21"/>
          <w:szCs w:val="21"/>
          <w:rtl/>
        </w:rPr>
        <w:t xml:space="preserve">  أولًا: الفكرة المحورية</w:t>
      </w:r>
    </w:p>
    <w:p>
      <w:pPr>
        <w:bidi/>
        <w:spacing w:before="0" w:after="60" w:line="276" w:lineRule="auto"/>
        <w:jc w:val="right"/>
      </w:pPr>
      <w:r>
        <w:rPr>
          <w:rFonts w:ascii="Calibri Light" w:hAnsi="Calibri Light" w:cs="Calibri Light"/>
          <w:b w:val="0"/>
          <w:bCs w:val="0"/>
          <w:i w:val="0"/>
          <w:color w:val="203864"/>
          <w:sz w:val="21"/>
          <w:szCs w:val="21"/>
          <w:rtl/>
        </w:rPr>
        <w:t>لا استدامة للانضباط دون قياس؛ سجلات السلوك والمواظبة، والتقارير الدورية، وتحليل المؤشرات تُستثمر لتطوير الإجراءات الوقائية والعلاجية، وتعزيز استمرارية الالتزام عبر دورة تحسين موثقة.</w:t>
      </w:r>
    </w:p>
    <w:p>
      <w:pPr>
        <w:shd w:val="clear" w:color="auto" w:fill="6AA84F"/>
        <w:bidi/>
        <w:spacing w:before="100" w:after="60" w:line="252" w:lineRule="auto"/>
        <w:ind w:left="68" w:right="68"/>
        <w:jc w:val="right"/>
      </w:pPr>
      <w:r>
        <w:rPr>
          <w:rFonts w:ascii="Calibri Light" w:hAnsi="Calibri Light" w:cs="Calibri Light"/>
          <w:b/>
          <w:bCs w:val="1"/>
          <w:i w:val="0"/>
          <w:color w:val="FFFFFF"/>
          <w:sz w:val="21"/>
          <w:szCs w:val="21"/>
          <w:rtl/>
        </w:rPr>
        <w:t xml:space="preserve">  ثانيًا: إثراء أدوار المرشد الطلابي</w:t>
      </w:r>
    </w:p>
    <w:p>
      <w:pPr>
        <w:bidi/>
        <w:spacing w:before="0" w:after="40" w:line="269" w:lineRule="auto"/>
        <w:ind w:right="198" w:hanging="198"/>
        <w:jc w:val="right"/>
      </w:pPr>
      <w:r>
        <w:rPr>
          <w:rFonts w:ascii="Calibri Light" w:hAnsi="Calibri Light" w:cs="Calibri Light"/>
          <w:b/>
          <w:bCs w:val="1"/>
          <w:i w:val="0"/>
          <w:color w:val="6AA84F"/>
          <w:sz w:val="20"/>
          <w:szCs w:val="20"/>
          <w:rtl/>
        </w:rPr>
        <w:t xml:space="preserve">◆ </w:t>
      </w:r>
      <w:r>
        <w:rPr>
          <w:rFonts w:ascii="Calibri Light" w:hAnsi="Calibri Light" w:cs="Calibri Light"/>
          <w:b/>
          <w:bCs w:val="1"/>
          <w:i w:val="0"/>
          <w:color w:val="1F4E79"/>
          <w:sz w:val="20"/>
          <w:szCs w:val="20"/>
          <w:rtl/>
        </w:rPr>
        <w:t xml:space="preserve">نظام توثيق مركزي: </w:t>
      </w:r>
      <w:r>
        <w:rPr>
          <w:rFonts w:ascii="Calibri Light" w:hAnsi="Calibri Light" w:cs="Calibri Light"/>
          <w:b w:val="0"/>
          <w:bCs w:val="0"/>
          <w:i w:val="0"/>
          <w:color w:val="203864"/>
          <w:sz w:val="20"/>
          <w:szCs w:val="20"/>
          <w:rtl/>
        </w:rPr>
        <w:t>سجلات منظمة (حضور، مخالفات، جلسات، تكريم) قابلة للتحليل والاسترجاع السريع.</w:t>
      </w:r>
    </w:p>
    <w:p>
      <w:pPr>
        <w:bidi/>
        <w:spacing w:before="0" w:after="40" w:line="269" w:lineRule="auto"/>
        <w:ind w:right="198" w:hanging="198"/>
        <w:jc w:val="right"/>
      </w:pPr>
      <w:r>
        <w:rPr>
          <w:rFonts w:ascii="Calibri Light" w:hAnsi="Calibri Light" w:cs="Calibri Light"/>
          <w:b/>
          <w:bCs w:val="1"/>
          <w:i w:val="0"/>
          <w:color w:val="6AA84F"/>
          <w:sz w:val="20"/>
          <w:szCs w:val="20"/>
          <w:rtl/>
        </w:rPr>
        <w:t xml:space="preserve">◆ </w:t>
      </w:r>
      <w:r>
        <w:rPr>
          <w:rFonts w:ascii="Calibri Light" w:hAnsi="Calibri Light" w:cs="Calibri Light"/>
          <w:b/>
          <w:bCs w:val="1"/>
          <w:i w:val="0"/>
          <w:color w:val="1F4E79"/>
          <w:sz w:val="20"/>
          <w:szCs w:val="20"/>
          <w:rtl/>
        </w:rPr>
        <w:t xml:space="preserve">التقارير الدورية: </w:t>
      </w:r>
      <w:r>
        <w:rPr>
          <w:rFonts w:ascii="Calibri Light" w:hAnsi="Calibri Light" w:cs="Calibri Light"/>
          <w:b w:val="0"/>
          <w:bCs w:val="0"/>
          <w:i w:val="0"/>
          <w:color w:val="203864"/>
          <w:sz w:val="20"/>
          <w:szCs w:val="20"/>
          <w:rtl/>
        </w:rPr>
        <w:t>أسبوعية للتنفيذ، شهرية للمؤشرات، فصلية لاتخاذ قرارات التحسين.</w:t>
      </w:r>
    </w:p>
    <w:p>
      <w:pPr>
        <w:bidi/>
        <w:spacing w:before="0" w:after="40" w:line="269" w:lineRule="auto"/>
        <w:ind w:right="198" w:hanging="198"/>
        <w:jc w:val="right"/>
      </w:pPr>
      <w:r>
        <w:rPr>
          <w:rFonts w:ascii="Calibri Light" w:hAnsi="Calibri Light" w:cs="Calibri Light"/>
          <w:b/>
          <w:bCs w:val="1"/>
          <w:i w:val="0"/>
          <w:color w:val="6AA84F"/>
          <w:sz w:val="20"/>
          <w:szCs w:val="20"/>
          <w:rtl/>
        </w:rPr>
        <w:t xml:space="preserve">◆ </w:t>
      </w:r>
      <w:r>
        <w:rPr>
          <w:rFonts w:ascii="Calibri Light" w:hAnsi="Calibri Light" w:cs="Calibri Light"/>
          <w:b/>
          <w:bCs w:val="1"/>
          <w:i w:val="0"/>
          <w:color w:val="1F4E79"/>
          <w:sz w:val="20"/>
          <w:szCs w:val="20"/>
          <w:rtl/>
        </w:rPr>
        <w:t xml:space="preserve">تحليل المؤشرات: </w:t>
      </w:r>
      <w:r>
        <w:rPr>
          <w:rFonts w:ascii="Calibri Light" w:hAnsi="Calibri Light" w:cs="Calibri Light"/>
          <w:b w:val="0"/>
          <w:bCs w:val="0"/>
          <w:i w:val="0"/>
          <w:color w:val="203864"/>
          <w:sz w:val="20"/>
          <w:szCs w:val="20"/>
          <w:rtl/>
        </w:rPr>
        <w:t>رصد أنماط الغياب وأوقات المخالفات والفصول المستهدفة لتفعيل التدخل الاستباقي.</w:t>
      </w:r>
    </w:p>
    <w:p>
      <w:pPr>
        <w:bidi/>
        <w:spacing w:before="0" w:after="40" w:line="269" w:lineRule="auto"/>
        <w:ind w:right="198" w:hanging="198"/>
        <w:jc w:val="right"/>
      </w:pPr>
      <w:r>
        <w:rPr>
          <w:rFonts w:ascii="Calibri Light" w:hAnsi="Calibri Light" w:cs="Calibri Light"/>
          <w:b/>
          <w:bCs w:val="1"/>
          <w:i w:val="0"/>
          <w:color w:val="6AA84F"/>
          <w:sz w:val="20"/>
          <w:szCs w:val="20"/>
          <w:rtl/>
        </w:rPr>
        <w:t xml:space="preserve">◆ </w:t>
      </w:r>
      <w:r>
        <w:rPr>
          <w:rFonts w:ascii="Calibri Light" w:hAnsi="Calibri Light" w:cs="Calibri Light"/>
          <w:b/>
          <w:bCs w:val="1"/>
          <w:i w:val="0"/>
          <w:color w:val="1F4E79"/>
          <w:sz w:val="20"/>
          <w:szCs w:val="20"/>
          <w:rtl/>
        </w:rPr>
        <w:t xml:space="preserve">التحسين المبني على البيانات: </w:t>
      </w:r>
      <w:r>
        <w:rPr>
          <w:rFonts w:ascii="Calibri Light" w:hAnsi="Calibri Light" w:cs="Calibri Light"/>
          <w:b w:val="0"/>
          <w:bCs w:val="0"/>
          <w:i w:val="0"/>
          <w:color w:val="203864"/>
          <w:sz w:val="20"/>
          <w:szCs w:val="20"/>
          <w:rtl/>
        </w:rPr>
        <w:t>تعديل الخطة التوعوية والوقائية وفق النتائج، ومشاركة التقرير في المجلس المدرسي.</w:t>
      </w:r>
    </w:p>
    <w:p>
      <w:pPr>
        <w:shd w:val="clear" w:color="auto" w:fill="6AA84F"/>
        <w:bidi/>
        <w:spacing w:before="100" w:after="60" w:line="252" w:lineRule="auto"/>
        <w:ind w:left="68" w:right="68"/>
        <w:jc w:val="right"/>
      </w:pPr>
      <w:r>
        <w:rPr>
          <w:rFonts w:ascii="Calibri Light" w:hAnsi="Calibri Light" w:cs="Calibri Light"/>
          <w:b/>
          <w:bCs w:val="1"/>
          <w:i w:val="0"/>
          <w:color w:val="FFFFFF"/>
          <w:sz w:val="21"/>
          <w:szCs w:val="21"/>
          <w:rtl/>
        </w:rPr>
        <w:t xml:space="preserve">  ثالثًا: خطوات التنفيذ الموصى بها</w:t>
      </w:r>
    </w:p>
    <w:p>
      <w:pPr>
        <w:bidi/>
        <w:spacing w:before="0" w:after="40" w:line="269" w:lineRule="auto"/>
        <w:ind w:right="283" w:hanging="283"/>
        <w:jc w:val="right"/>
      </w:pPr>
      <w:r>
        <w:rPr>
          <w:rFonts w:ascii="Calibri Light" w:hAnsi="Calibri Light" w:cs="Calibri Light"/>
          <w:b/>
          <w:bCs w:val="1"/>
          <w:i w:val="0"/>
          <w:color w:val="6AA84F"/>
          <w:sz w:val="20"/>
          <w:szCs w:val="20"/>
          <w:rtl/>
        </w:rPr>
        <w:t xml:space="preserve">1 - </w:t>
      </w:r>
      <w:r>
        <w:rPr>
          <w:rFonts w:ascii="Calibri Light" w:hAnsi="Calibri Light" w:cs="Calibri Light"/>
          <w:b w:val="0"/>
          <w:bCs w:val="0"/>
          <w:i w:val="0"/>
          <w:color w:val="203864"/>
          <w:sz w:val="20"/>
          <w:szCs w:val="20"/>
          <w:rtl/>
        </w:rPr>
        <w:t>إعداد سجل موحّد ودليل استخدام واضح لجميع الأطراف المعنية.</w:t>
      </w:r>
    </w:p>
    <w:p>
      <w:pPr>
        <w:bidi/>
        <w:spacing w:before="0" w:after="40" w:line="269" w:lineRule="auto"/>
        <w:ind w:right="283" w:hanging="283"/>
        <w:jc w:val="right"/>
      </w:pPr>
      <w:r>
        <w:rPr>
          <w:rFonts w:ascii="Calibri Light" w:hAnsi="Calibri Light" w:cs="Calibri Light"/>
          <w:b/>
          <w:bCs w:val="1"/>
          <w:i w:val="0"/>
          <w:color w:val="6AA84F"/>
          <w:sz w:val="20"/>
          <w:szCs w:val="20"/>
          <w:rtl/>
        </w:rPr>
        <w:t xml:space="preserve">2 - </w:t>
      </w:r>
      <w:r>
        <w:rPr>
          <w:rFonts w:ascii="Calibri Light" w:hAnsi="Calibri Light" w:cs="Calibri Light"/>
          <w:b w:val="0"/>
          <w:bCs w:val="0"/>
          <w:i w:val="0"/>
          <w:color w:val="203864"/>
          <w:sz w:val="20"/>
          <w:szCs w:val="20"/>
          <w:rtl/>
        </w:rPr>
        <w:t>استخراج مؤشرات شهرية (نسبة الالتزام، معدل المخالفات، سرعة المعالجة).</w:t>
      </w:r>
    </w:p>
    <w:p>
      <w:pPr>
        <w:bidi/>
        <w:spacing w:before="0" w:after="40" w:line="269" w:lineRule="auto"/>
        <w:ind w:right="283" w:hanging="283"/>
        <w:jc w:val="right"/>
      </w:pPr>
      <w:r>
        <w:rPr>
          <w:rFonts w:ascii="Calibri Light" w:hAnsi="Calibri Light" w:cs="Calibri Light"/>
          <w:b/>
          <w:bCs w:val="1"/>
          <w:i w:val="0"/>
          <w:color w:val="6AA84F"/>
          <w:sz w:val="20"/>
          <w:szCs w:val="20"/>
          <w:rtl/>
        </w:rPr>
        <w:t xml:space="preserve">3 - </w:t>
      </w:r>
      <w:r>
        <w:rPr>
          <w:rFonts w:ascii="Calibri Light" w:hAnsi="Calibri Light" w:cs="Calibri Light"/>
          <w:b w:val="0"/>
          <w:bCs w:val="0"/>
          <w:i w:val="0"/>
          <w:color w:val="203864"/>
          <w:sz w:val="20"/>
          <w:szCs w:val="20"/>
          <w:rtl/>
        </w:rPr>
        <w:t>تحليل الأسباب الجذرية للحالات المتكررة وتصميم إجراءات وقائية مستهدفة.</w:t>
      </w:r>
    </w:p>
    <w:p>
      <w:pPr>
        <w:bidi/>
        <w:spacing w:before="0" w:after="40" w:line="269" w:lineRule="auto"/>
        <w:ind w:right="283" w:hanging="283"/>
        <w:jc w:val="right"/>
      </w:pPr>
      <w:r>
        <w:rPr>
          <w:rFonts w:ascii="Calibri Light" w:hAnsi="Calibri Light" w:cs="Calibri Light"/>
          <w:b/>
          <w:bCs w:val="1"/>
          <w:i w:val="0"/>
          <w:color w:val="6AA84F"/>
          <w:sz w:val="20"/>
          <w:szCs w:val="20"/>
          <w:rtl/>
        </w:rPr>
        <w:t xml:space="preserve">4 - </w:t>
      </w:r>
      <w:r>
        <w:rPr>
          <w:rFonts w:ascii="Calibri Light" w:hAnsi="Calibri Light" w:cs="Calibri Light"/>
          <w:b w:val="0"/>
          <w:bCs w:val="0"/>
          <w:i w:val="0"/>
          <w:color w:val="203864"/>
          <w:sz w:val="20"/>
          <w:szCs w:val="20"/>
          <w:rtl/>
        </w:rPr>
        <w:t>توثيق الإجراءات التحسينية فصليًا في تقرير التحسين المستمر.</w:t>
      </w:r>
    </w:p>
    <w:p>
      <w:pPr>
        <w:shd w:val="clear" w:color="auto" w:fill="6AA84F"/>
        <w:bidi/>
        <w:spacing w:before="100" w:after="60" w:line="252" w:lineRule="auto"/>
        <w:ind w:left="68" w:right="68"/>
        <w:jc w:val="right"/>
      </w:pPr>
      <w:r>
        <w:rPr>
          <w:rFonts w:ascii="Calibri Light" w:hAnsi="Calibri Light" w:cs="Calibri Light"/>
          <w:b/>
          <w:bCs w:val="1"/>
          <w:i w:val="0"/>
          <w:color w:val="FFFFFF"/>
          <w:sz w:val="21"/>
          <w:szCs w:val="21"/>
          <w:rtl/>
        </w:rPr>
        <w:t xml:space="preserve">  رابعًا: مؤشرات نجاح التحقيق</w:t>
      </w:r>
    </w:p>
    <w:p>
      <w:pPr>
        <w:bidi/>
        <w:spacing w:before="0" w:after="40" w:line="269" w:lineRule="auto"/>
        <w:ind w:right="198" w:hanging="198"/>
        <w:jc w:val="right"/>
      </w:pPr>
      <w:r>
        <w:rPr>
          <w:rFonts w:ascii="Calibri Light" w:hAnsi="Calibri Light" w:cs="Calibri Light"/>
          <w:b/>
          <w:bCs w:val="1"/>
          <w:i w:val="0"/>
          <w:color w:val="6AA84F"/>
          <w:sz w:val="20"/>
          <w:szCs w:val="20"/>
          <w:rtl/>
        </w:rPr>
        <w:t xml:space="preserve">✓ </w:t>
      </w:r>
      <w:r>
        <w:rPr>
          <w:rFonts w:ascii="Calibri Light" w:hAnsi="Calibri Light" w:cs="Calibri Light"/>
          <w:b/>
          <w:bCs w:val="1"/>
          <w:i w:val="0"/>
          <w:color w:val="1F4E79"/>
          <w:sz w:val="20"/>
          <w:szCs w:val="20"/>
          <w:rtl/>
        </w:rPr>
        <w:t xml:space="preserve">مؤشر: </w:t>
      </w:r>
      <w:r>
        <w:rPr>
          <w:rFonts w:ascii="Calibri Light" w:hAnsi="Calibri Light" w:cs="Calibri Light"/>
          <w:b w:val="0"/>
          <w:bCs w:val="0"/>
          <w:i w:val="0"/>
          <w:color w:val="203864"/>
          <w:sz w:val="20"/>
          <w:szCs w:val="20"/>
          <w:rtl/>
        </w:rPr>
        <w:t>اكتمال التوثيق في السجلات المركزية بنسبة تتجاوز 95%.</w:t>
      </w:r>
    </w:p>
    <w:p>
      <w:pPr>
        <w:bidi/>
        <w:spacing w:before="0" w:after="40" w:line="269" w:lineRule="auto"/>
        <w:ind w:right="198" w:hanging="198"/>
        <w:jc w:val="right"/>
      </w:pPr>
      <w:r>
        <w:rPr>
          <w:rFonts w:ascii="Calibri Light" w:hAnsi="Calibri Light" w:cs="Calibri Light"/>
          <w:b/>
          <w:bCs w:val="1"/>
          <w:i w:val="0"/>
          <w:color w:val="6AA84F"/>
          <w:sz w:val="20"/>
          <w:szCs w:val="20"/>
          <w:rtl/>
        </w:rPr>
        <w:t xml:space="preserve">✓ </w:t>
      </w:r>
      <w:r>
        <w:rPr>
          <w:rFonts w:ascii="Calibri Light" w:hAnsi="Calibri Light" w:cs="Calibri Light"/>
          <w:b/>
          <w:bCs w:val="1"/>
          <w:i w:val="0"/>
          <w:color w:val="1F4E79"/>
          <w:sz w:val="20"/>
          <w:szCs w:val="20"/>
          <w:rtl/>
        </w:rPr>
        <w:t xml:space="preserve">مؤشر: </w:t>
      </w:r>
      <w:r>
        <w:rPr>
          <w:rFonts w:ascii="Calibri Light" w:hAnsi="Calibri Light" w:cs="Calibri Light"/>
          <w:b w:val="0"/>
          <w:bCs w:val="0"/>
          <w:i w:val="0"/>
          <w:color w:val="203864"/>
          <w:sz w:val="20"/>
          <w:szCs w:val="20"/>
          <w:rtl/>
        </w:rPr>
        <w:t>تحسّن المؤشرات السلوكية ربع سنويًا بشكل ملموس.</w:t>
      </w:r>
    </w:p>
    <w:p>
      <w:pPr>
        <w:bidi/>
        <w:spacing w:before="0" w:after="40" w:line="269" w:lineRule="auto"/>
        <w:ind w:right="198" w:hanging="198"/>
        <w:jc w:val="right"/>
      </w:pPr>
      <w:r>
        <w:rPr>
          <w:rFonts w:ascii="Calibri Light" w:hAnsi="Calibri Light" w:cs="Calibri Light"/>
          <w:b/>
          <w:bCs w:val="1"/>
          <w:i w:val="0"/>
          <w:color w:val="6AA84F"/>
          <w:sz w:val="20"/>
          <w:szCs w:val="20"/>
          <w:rtl/>
        </w:rPr>
        <w:t xml:space="preserve">✓ </w:t>
      </w:r>
      <w:r>
        <w:rPr>
          <w:rFonts w:ascii="Calibri Light" w:hAnsi="Calibri Light" w:cs="Calibri Light"/>
          <w:b/>
          <w:bCs w:val="1"/>
          <w:i w:val="0"/>
          <w:color w:val="1F4E79"/>
          <w:sz w:val="20"/>
          <w:szCs w:val="20"/>
          <w:rtl/>
        </w:rPr>
        <w:t xml:space="preserve">مؤشر: </w:t>
      </w:r>
      <w:r>
        <w:rPr>
          <w:rFonts w:ascii="Calibri Light" w:hAnsi="Calibri Light" w:cs="Calibri Light"/>
          <w:b w:val="0"/>
          <w:bCs w:val="0"/>
          <w:i w:val="0"/>
          <w:color w:val="203864"/>
          <w:sz w:val="20"/>
          <w:szCs w:val="20"/>
          <w:rtl/>
        </w:rPr>
        <w:t>تحول ثقل الإجراءات من العلاجية إلى الوقائية.</w:t>
      </w:r>
    </w:p>
    <w:p>
      <w:pPr>
        <w:shd w:val="clear" w:color="auto" w:fill="6AA84F"/>
        <w:bidi/>
        <w:spacing w:before="100" w:after="60" w:line="252" w:lineRule="auto"/>
        <w:ind w:left="68" w:right="68"/>
        <w:jc w:val="right"/>
      </w:pPr>
      <w:r>
        <w:rPr>
          <w:rFonts w:ascii="Calibri Light" w:hAnsi="Calibri Light" w:cs="Calibri Light"/>
          <w:b/>
          <w:bCs w:val="1"/>
          <w:i w:val="0"/>
          <w:color w:val="FFFFFF"/>
          <w:sz w:val="21"/>
          <w:szCs w:val="21"/>
          <w:rtl/>
        </w:rPr>
        <w:t xml:space="preserve">  خامسًا: سيناريو تطبيقي للمرشد الطلابي</w:t>
      </w:r>
    </w:p>
    <w:tbl>
      <w:tblPr>
        <w:bidiVisual/>
        <w:tblW w:type="auto" w:w="0"/>
        <w:tblBorders>
          <w:top w:val="single" w:sz="4" w:space="0" w:color="6AA84F"/>
          <w:left w:val="single" w:sz="4" w:space="0" w:color="6AA84F"/>
          <w:bottom w:val="single" w:sz="4" w:space="0" w:color="6AA84F"/>
          <w:right w:val="single" w:sz="4" w:space="0" w:color="6AA84F"/>
          <w:insideH w:val="single" w:sz="4" w:space="0" w:color="6AA84F"/>
          <w:insideV w:val="single" w:sz="4" w:space="0" w:color="6AA84F"/>
        </w:tblBorders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2F7EC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bidi/>
              <w:spacing w:before="0" w:after="20" w:line="264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9"/>
                <w:szCs w:val="19"/>
                <w:rtl/>
              </w:rPr>
              <w:t>يلاحظ المرشد من تحليل السجلات تركّز المخالفات في آخر الحصص؛ فيقترح خطة انتقالية ووقائية، فتتحول المخالفات من معالجةٍ إلى استباقٍ منظم.</w:t>
            </w:r>
          </w:p>
        </w:tc>
      </w:tr>
    </w:tbl>
    <w:tbl>
      <w:tblPr>
        <w:bidiVisual/>
        <w:tblW w:type="auto" w:w="0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EDF3F8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bidi/>
              <w:spacing w:before="0" w:after="20" w:line="264" w:lineRule="auto"/>
              <w:jc w:val="right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1F4E79"/>
                <w:sz w:val="17"/>
                <w:szCs w:val="17"/>
                <w:rtl/>
              </w:rPr>
              <w:t>أدوات التقويم وفق النموذج:   ☑ استبانة المعلم   ☐ استبانة المتعلم   ☐ استبانة الأسرة   ☑ المقابلات   ☑ تحليل الوثائق   ☐ الملاحظة الصفية   ☐ ملاحظة بيئة التعلم</w:t>
            </w:r>
          </w:p>
          <w:p>
            <w:pPr>
              <w:bidi/>
              <w:spacing w:before="0" w:after="20" w:line="264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7"/>
                <w:szCs w:val="17"/>
                <w:rtl/>
              </w:rPr>
              <w:t>أفضل ممارسة للمرشد الطلابي: جمع شواهد المؤشر دوريًا عبر الأدوات المحددة أعلاه، وتوثيقها في ملف التحسين المستمر.</w:t>
            </w:r>
          </w:p>
        </w:tc>
      </w:tr>
    </w:tbl>
    <w:p>
      <w:r>
        <w:br w:type="page"/>
      </w:r>
    </w:p>
    <w:tbl>
      <w:tblPr>
        <w:bidiVisual/>
        <w:tblW w:type="auto" w:w="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bidi/>
              <w:spacing w:before="0" w:after="0" w:line="264" w:lineRule="auto"/>
              <w:jc w:val="right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24"/>
                <w:szCs w:val="24"/>
                <w:rtl/>
              </w:rPr>
              <w:t>ملحق (أ): معايير التقويم ومستويات الإتقان — الإضاءة 8</w:t>
            </w:r>
          </w:p>
        </w:tc>
      </w:tr>
    </w:tbl>
    <w:p>
      <w:pPr>
        <w:bidi/>
        <w:spacing w:before="0" w:after="60" w:line="276" w:lineRule="auto"/>
        <w:jc w:val="right"/>
      </w:pPr>
      <w:r>
        <w:rPr>
          <w:rFonts w:ascii="Calibri Light" w:hAnsi="Calibri Light" w:cs="Calibri Light"/>
          <w:b w:val="0"/>
          <w:bCs w:val="0"/>
          <w:i w:val="0"/>
          <w:color w:val="203864"/>
          <w:sz w:val="20"/>
          <w:szCs w:val="20"/>
          <w:rtl/>
        </w:rPr>
        <w:t>يُقوَّم تطبيق هذه الإضاءة عبر المعايير الآتية بمستويات إتقان أربعة، وتُجمع الدرجات موزونة بالوزن النسبي لكل معيار للوصول إلى الحكم الإجمالي.</w:t>
      </w:r>
    </w:p>
    <w:p>
      <w:pPr>
        <w:shd w:val="clear" w:color="auto" w:fill="6AA84F"/>
        <w:bidi/>
        <w:spacing w:before="100" w:after="60" w:line="252" w:lineRule="auto"/>
        <w:ind w:left="68" w:right="68"/>
        <w:jc w:val="right"/>
      </w:pPr>
      <w:r>
        <w:rPr>
          <w:rFonts w:ascii="Calibri Light" w:hAnsi="Calibri Light" w:cs="Calibri Light"/>
          <w:b/>
          <w:bCs w:val="1"/>
          <w:i w:val="0"/>
          <w:color w:val="FFFFFF"/>
          <w:sz w:val="21"/>
          <w:szCs w:val="21"/>
          <w:rtl/>
        </w:rPr>
        <w:t xml:space="preserve">  أولًا: مستويات الإتقان</w:t>
      </w:r>
    </w:p>
    <w:tbl>
      <w:tblPr>
        <w:bidiVisual/>
        <w:tblW w:type="auto" w:w="0"/>
        <w:tblBorders>
          <w:top w:val="single" w:sz="4" w:space="0" w:color="B7C9DA"/>
          <w:left w:val="single" w:sz="4" w:space="0" w:color="B7C9DA"/>
          <w:bottom w:val="single" w:sz="4" w:space="0" w:color="B7C9DA"/>
          <w:right w:val="single" w:sz="4" w:space="0" w:color="B7C9DA"/>
          <w:insideH w:val="single" w:sz="4" w:space="0" w:color="B7C9DA"/>
          <w:insideV w:val="single" w:sz="4" w:space="0" w:color="B7C9DA"/>
        </w:tblBorders>
        <w:tblLook w:firstColumn="1" w:firstRow="1" w:lastColumn="0" w:lastRow="0" w:noHBand="0" w:noVBand="1" w:val="04A0"/>
      </w:tblPr>
      <w:tblGrid>
        <w:gridCol w:w="1474"/>
        <w:gridCol w:w="1134"/>
        <w:gridCol w:w="7597"/>
      </w:tblGrid>
      <w:tr>
        <w:tc>
          <w:tcPr>
            <w:tcW w:type="dxa" w:w="3402"/>
            <w:shd w:val="clear" w:color="auto" w:fill="1F4E79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18"/>
                <w:szCs w:val="18"/>
                <w:rtl/>
              </w:rPr>
              <w:t>المستوى</w:t>
            </w:r>
          </w:p>
        </w:tc>
        <w:tc>
          <w:tcPr>
            <w:tcW w:type="dxa" w:w="3402"/>
            <w:shd w:val="clear" w:color="auto" w:fill="1F4E79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18"/>
                <w:szCs w:val="18"/>
                <w:rtl/>
              </w:rPr>
              <w:t>الدرجة</w:t>
            </w:r>
          </w:p>
        </w:tc>
        <w:tc>
          <w:tcPr>
            <w:tcW w:type="dxa" w:w="3402"/>
            <w:shd w:val="clear" w:color="auto" w:fill="1F4E79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18"/>
                <w:szCs w:val="18"/>
                <w:rtl/>
              </w:rPr>
              <w:t>وصف الأداء العام</w:t>
            </w:r>
          </w:p>
        </w:tc>
      </w:tr>
      <w:tr>
        <w:tc>
          <w:tcPr>
            <w:tcW w:type="dxa" w:w="3402"/>
            <w:shd w:val="clear" w:color="auto" w:fill="DCE6F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8"/>
                <w:szCs w:val="18"/>
                <w:rtl/>
              </w:rPr>
              <w:t>متقن</w:t>
            </w:r>
          </w:p>
        </w:tc>
        <w:tc>
          <w:tcPr>
            <w:tcW w:type="dxa" w:w="3402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4</w:t>
            </w:r>
          </w:p>
        </w:tc>
        <w:tc>
          <w:tcPr>
            <w:tcW w:type="dxa" w:w="3402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أداء مثالي ومستدام، يوثَّق بشهود واضحة، ويُحتذى به كنموذج.</w:t>
            </w:r>
          </w:p>
        </w:tc>
      </w:tr>
      <w:tr>
        <w:tc>
          <w:tcPr>
            <w:tcW w:type="dxa" w:w="3402"/>
            <w:shd w:val="clear" w:color="auto" w:fill="DCE6F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8"/>
                <w:szCs w:val="18"/>
                <w:rtl/>
              </w:rPr>
              <w:t>متمكن</w:t>
            </w:r>
          </w:p>
        </w:tc>
        <w:tc>
          <w:tcPr>
            <w:tcW w:type="dxa" w:w="3402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3</w:t>
            </w:r>
          </w:p>
        </w:tc>
        <w:tc>
          <w:tcPr>
            <w:tcW w:type="dxa" w:w="3402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الأداء منتظِم وجيد مع فجوات طفيفة لا تؤثر على النتيجة الإجمالية.</w:t>
            </w:r>
          </w:p>
        </w:tc>
      </w:tr>
      <w:tr>
        <w:tc>
          <w:tcPr>
            <w:tcW w:type="dxa" w:w="3402"/>
            <w:shd w:val="clear" w:color="auto" w:fill="DCE6F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8"/>
                <w:szCs w:val="18"/>
                <w:rtl/>
              </w:rPr>
              <w:t>نامٍ</w:t>
            </w:r>
          </w:p>
        </w:tc>
        <w:tc>
          <w:tcPr>
            <w:tcW w:type="dxa" w:w="3402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2</w:t>
            </w:r>
          </w:p>
        </w:tc>
        <w:tc>
          <w:tcPr>
            <w:tcW w:type="dxa" w:w="3402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الأداء قائم لكنه متذبذب أو جزئي، ويحتاج متابعة ودعمًا دوريًا.</w:t>
            </w:r>
          </w:p>
        </w:tc>
      </w:tr>
      <w:tr>
        <w:tc>
          <w:tcPr>
            <w:tcW w:type="dxa" w:w="3402"/>
            <w:shd w:val="clear" w:color="auto" w:fill="DCE6F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8"/>
                <w:szCs w:val="18"/>
                <w:rtl/>
              </w:rPr>
              <w:t>مبتدئ</w:t>
            </w:r>
          </w:p>
        </w:tc>
        <w:tc>
          <w:tcPr>
            <w:tcW w:type="dxa" w:w="3402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1</w:t>
            </w:r>
          </w:p>
        </w:tc>
        <w:tc>
          <w:tcPr>
            <w:tcW w:type="dxa" w:w="3402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الأداء محدود أو متوقف، ويحتاج خطة تدخل عاجلة.</w:t>
            </w:r>
          </w:p>
        </w:tc>
      </w:tr>
    </w:tbl>
    <w:p>
      <w:pPr>
        <w:shd w:val="clear" w:color="auto" w:fill="6AA84F"/>
        <w:bidi/>
        <w:spacing w:before="100" w:after="60" w:line="252" w:lineRule="auto"/>
        <w:ind w:left="68" w:right="68"/>
        <w:jc w:val="right"/>
      </w:pPr>
      <w:r>
        <w:rPr>
          <w:rFonts w:ascii="Calibri Light" w:hAnsi="Calibri Light" w:cs="Calibri Light"/>
          <w:b/>
          <w:bCs w:val="1"/>
          <w:i w:val="0"/>
          <w:color w:val="FFFFFF"/>
          <w:sz w:val="21"/>
          <w:szCs w:val="21"/>
          <w:rtl/>
        </w:rPr>
        <w:t xml:space="preserve">  ثانيًا: معايير التقويم الخاصة بالإضاءة</w:t>
      </w:r>
    </w:p>
    <w:tbl>
      <w:tblPr>
        <w:bidiVisual/>
        <w:tblW w:type="auto" w:w="0"/>
        <w:tblBorders>
          <w:top w:val="single" w:sz="4" w:space="0" w:color="B7C9DA"/>
          <w:left w:val="single" w:sz="4" w:space="0" w:color="B7C9DA"/>
          <w:bottom w:val="single" w:sz="4" w:space="0" w:color="B7C9DA"/>
          <w:right w:val="single" w:sz="4" w:space="0" w:color="B7C9DA"/>
          <w:insideH w:val="single" w:sz="4" w:space="0" w:color="B7C9DA"/>
          <w:insideV w:val="single" w:sz="4" w:space="0" w:color="B7C9DA"/>
        </w:tblBorders>
        <w:tblLook w:firstColumn="1" w:firstRow="1" w:lastColumn="0" w:lastRow="0" w:noHBand="0" w:noVBand="1" w:val="04A0"/>
      </w:tblPr>
      <w:tblGrid>
        <w:gridCol w:w="2381"/>
        <w:gridCol w:w="4876"/>
        <w:gridCol w:w="1020"/>
        <w:gridCol w:w="1928"/>
      </w:tblGrid>
      <w:tr>
        <w:tc>
          <w:tcPr>
            <w:tcW w:type="dxa" w:w="2551"/>
            <w:shd w:val="clear" w:color="auto" w:fill="6AA84F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18"/>
                <w:szCs w:val="18"/>
                <w:rtl/>
              </w:rPr>
              <w:t>معيار التقويم</w:t>
            </w:r>
          </w:p>
        </w:tc>
        <w:tc>
          <w:tcPr>
            <w:tcW w:type="dxa" w:w="2551"/>
            <w:shd w:val="clear" w:color="auto" w:fill="6AA84F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18"/>
                <w:szCs w:val="18"/>
                <w:rtl/>
              </w:rPr>
              <w:t>وصف الأداء المأمول</w:t>
            </w:r>
          </w:p>
        </w:tc>
        <w:tc>
          <w:tcPr>
            <w:tcW w:type="dxa" w:w="2551"/>
            <w:shd w:val="clear" w:color="auto" w:fill="6AA84F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18"/>
                <w:szCs w:val="18"/>
                <w:rtl/>
              </w:rPr>
              <w:t>الوزن</w:t>
            </w:r>
          </w:p>
        </w:tc>
        <w:tc>
          <w:tcPr>
            <w:tcW w:type="dxa" w:w="2551"/>
            <w:shd w:val="clear" w:color="auto" w:fill="6AA84F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18"/>
                <w:szCs w:val="18"/>
                <w:rtl/>
              </w:rPr>
              <w:t>تقدير المُقوِّم</w:t>
            </w:r>
          </w:p>
        </w:tc>
      </w:tr>
      <w:tr>
        <w:tc>
          <w:tcPr>
            <w:tcW w:type="dxa" w:w="2551"/>
            <w:shd w:val="clear" w:color="auto" w:fill="F2F7EC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8"/>
                <w:szCs w:val="18"/>
                <w:rtl/>
              </w:rPr>
              <w:t>اكتمال السجلات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توثيق مركزي شامل لجميع المؤشرات.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8"/>
                <w:szCs w:val="18"/>
                <w:rtl/>
              </w:rPr>
              <w:t>25%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____ / 4</w:t>
            </w:r>
          </w:p>
        </w:tc>
      </w:tr>
      <w:tr>
        <w:tc>
          <w:tcPr>
            <w:tcW w:type="dxa" w:w="2551"/>
            <w:shd w:val="clear" w:color="auto" w:fill="F2F7EC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8"/>
                <w:szCs w:val="18"/>
                <w:rtl/>
              </w:rPr>
              <w:t>انتظام التقارير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تقارير أسبوعية وشهرية وفصلية منتظمة.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8"/>
                <w:szCs w:val="18"/>
                <w:rtl/>
              </w:rPr>
              <w:t>20%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____ / 4</w:t>
            </w:r>
          </w:p>
        </w:tc>
      </w:tr>
      <w:tr>
        <w:tc>
          <w:tcPr>
            <w:tcW w:type="dxa" w:w="2551"/>
            <w:shd w:val="clear" w:color="auto" w:fill="F2F7EC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8"/>
                <w:szCs w:val="18"/>
                <w:rtl/>
              </w:rPr>
              <w:t>جودة التحليل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ربط المؤشرات بالأسباب الجذرية للحالات.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8"/>
                <w:szCs w:val="18"/>
                <w:rtl/>
              </w:rPr>
              <w:t>25%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____ / 4</w:t>
            </w:r>
          </w:p>
        </w:tc>
      </w:tr>
      <w:tr>
        <w:tc>
          <w:tcPr>
            <w:tcW w:type="dxa" w:w="2551"/>
            <w:shd w:val="clear" w:color="auto" w:fill="F2F7EC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8"/>
                <w:szCs w:val="18"/>
                <w:rtl/>
              </w:rPr>
              <w:t>التحسين الموثق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إجراءات تحسينية مستنادة إلى البيانات.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8"/>
                <w:szCs w:val="18"/>
                <w:rtl/>
              </w:rPr>
              <w:t>20%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____ / 4</w:t>
            </w:r>
          </w:p>
        </w:tc>
      </w:tr>
      <w:tr>
        <w:tc>
          <w:tcPr>
            <w:tcW w:type="dxa" w:w="2551"/>
            <w:shd w:val="clear" w:color="auto" w:fill="F2F7EC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8"/>
                <w:szCs w:val="18"/>
                <w:rtl/>
              </w:rPr>
              <w:t>التحول الوقائي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انخفاض وزن الإجراءات العلاجية لصالح الوقاية.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8"/>
                <w:szCs w:val="18"/>
                <w:rtl/>
              </w:rPr>
              <w:t>10%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____ / 4</w:t>
            </w:r>
          </w:p>
        </w:tc>
      </w:tr>
    </w:tbl>
    <w:tbl>
      <w:tblPr>
        <w:bidiVisual/>
        <w:tblW w:type="auto" w:w="0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EDF3F8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bidi/>
              <w:spacing w:before="0" w:after="20" w:line="264" w:lineRule="auto"/>
              <w:jc w:val="right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1F4E79"/>
                <w:sz w:val="18"/>
                <w:szCs w:val="18"/>
                <w:rtl/>
              </w:rPr>
              <w:t>طريقة احتساب الحكم الإجمالي:</w:t>
            </w:r>
          </w:p>
          <w:p>
            <w:pPr>
              <w:bidi/>
              <w:spacing w:before="0" w:after="20" w:line="264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الدرجة الكلية = مجموع (درجة كل معيار × وزنه) ÷ 4 — والنتيجة: 3.5 فأعلى: متقن | 2.5–3.4: متمكن | 1.5–2.4: نامٍ | أقل من 1.5: مبتدئ (تُعد خطة تدخل عاجلة).</w:t>
            </w:r>
          </w:p>
        </w:tc>
      </w:tr>
    </w:tbl>
    <w:p>
      <w:pPr>
        <w:shd w:val="clear" w:color="auto" w:fill="6AA84F"/>
        <w:bidi/>
        <w:spacing w:before="100" w:after="60" w:line="252" w:lineRule="auto"/>
        <w:ind w:left="68" w:right="68"/>
        <w:jc w:val="right"/>
      </w:pPr>
      <w:r>
        <w:rPr>
          <w:rFonts w:ascii="Calibri Light" w:hAnsi="Calibri Light" w:cs="Calibri Light"/>
          <w:b/>
          <w:bCs w:val="1"/>
          <w:i w:val="0"/>
          <w:color w:val="FFFFFF"/>
          <w:sz w:val="21"/>
          <w:szCs w:val="21"/>
          <w:rtl/>
        </w:rPr>
        <w:t xml:space="preserve">  ثالثًا: شواهد الإنجاز المطلوبة</w:t>
      </w:r>
    </w:p>
    <w:p>
      <w:pPr>
        <w:bidi/>
        <w:spacing w:before="0" w:after="40" w:line="269" w:lineRule="auto"/>
        <w:ind w:right="198" w:hanging="198"/>
        <w:jc w:val="right"/>
      </w:pPr>
      <w:r>
        <w:rPr>
          <w:rFonts w:ascii="Calibri Light" w:hAnsi="Calibri Light" w:cs="Calibri Light"/>
          <w:b/>
          <w:bCs w:val="1"/>
          <w:i w:val="0"/>
          <w:color w:val="6AA84F"/>
          <w:sz w:val="20"/>
          <w:szCs w:val="20"/>
          <w:rtl/>
        </w:rPr>
        <w:t xml:space="preserve">◆ </w:t>
      </w:r>
      <w:r>
        <w:rPr>
          <w:rFonts w:ascii="Calibri Light" w:hAnsi="Calibri Light" w:cs="Calibri Light"/>
          <w:b/>
          <w:bCs w:val="1"/>
          <w:i w:val="0"/>
          <w:color w:val="1F4E79"/>
          <w:sz w:val="20"/>
          <w:szCs w:val="20"/>
          <w:rtl/>
        </w:rPr>
        <w:t xml:space="preserve">شاهد: </w:t>
      </w:r>
      <w:r>
        <w:rPr>
          <w:rFonts w:ascii="Calibri Light" w:hAnsi="Calibri Light" w:cs="Calibri Light"/>
          <w:b w:val="0"/>
          <w:bCs w:val="0"/>
          <w:i w:val="0"/>
          <w:color w:val="203864"/>
          <w:sz w:val="20"/>
          <w:szCs w:val="20"/>
          <w:rtl/>
        </w:rPr>
        <w:t>قاعدة البيانات أو السجل المركزي.</w:t>
      </w:r>
    </w:p>
    <w:p>
      <w:pPr>
        <w:bidi/>
        <w:spacing w:before="0" w:after="40" w:line="269" w:lineRule="auto"/>
        <w:ind w:right="198" w:hanging="198"/>
        <w:jc w:val="right"/>
      </w:pPr>
      <w:r>
        <w:rPr>
          <w:rFonts w:ascii="Calibri Light" w:hAnsi="Calibri Light" w:cs="Calibri Light"/>
          <w:b/>
          <w:bCs w:val="1"/>
          <w:i w:val="0"/>
          <w:color w:val="6AA84F"/>
          <w:sz w:val="20"/>
          <w:szCs w:val="20"/>
          <w:rtl/>
        </w:rPr>
        <w:t xml:space="preserve">◆ </w:t>
      </w:r>
      <w:r>
        <w:rPr>
          <w:rFonts w:ascii="Calibri Light" w:hAnsi="Calibri Light" w:cs="Calibri Light"/>
          <w:b/>
          <w:bCs w:val="1"/>
          <w:i w:val="0"/>
          <w:color w:val="1F4E79"/>
          <w:sz w:val="20"/>
          <w:szCs w:val="20"/>
          <w:rtl/>
        </w:rPr>
        <w:t xml:space="preserve">شاهد: </w:t>
      </w:r>
      <w:r>
        <w:rPr>
          <w:rFonts w:ascii="Calibri Light" w:hAnsi="Calibri Light" w:cs="Calibri Light"/>
          <w:b w:val="0"/>
          <w:bCs w:val="0"/>
          <w:i w:val="0"/>
          <w:color w:val="203864"/>
          <w:sz w:val="20"/>
          <w:szCs w:val="20"/>
          <w:rtl/>
        </w:rPr>
        <w:t>التقارير الدورية (أسبوعية/شهرية/فصلية).</w:t>
      </w:r>
    </w:p>
    <w:p>
      <w:pPr>
        <w:bidi/>
        <w:spacing w:before="0" w:after="40" w:line="269" w:lineRule="auto"/>
        <w:ind w:right="198" w:hanging="198"/>
        <w:jc w:val="right"/>
      </w:pPr>
      <w:r>
        <w:rPr>
          <w:rFonts w:ascii="Calibri Light" w:hAnsi="Calibri Light" w:cs="Calibri Light"/>
          <w:b/>
          <w:bCs w:val="1"/>
          <w:i w:val="0"/>
          <w:color w:val="6AA84F"/>
          <w:sz w:val="20"/>
          <w:szCs w:val="20"/>
          <w:rtl/>
        </w:rPr>
        <w:t xml:space="preserve">◆ </w:t>
      </w:r>
      <w:r>
        <w:rPr>
          <w:rFonts w:ascii="Calibri Light" w:hAnsi="Calibri Light" w:cs="Calibri Light"/>
          <w:b/>
          <w:bCs w:val="1"/>
          <w:i w:val="0"/>
          <w:color w:val="1F4E79"/>
          <w:sz w:val="20"/>
          <w:szCs w:val="20"/>
          <w:rtl/>
        </w:rPr>
        <w:t xml:space="preserve">شاهد: </w:t>
      </w:r>
      <w:r>
        <w:rPr>
          <w:rFonts w:ascii="Calibri Light" w:hAnsi="Calibri Light" w:cs="Calibri Light"/>
          <w:b w:val="0"/>
          <w:bCs w:val="0"/>
          <w:i w:val="0"/>
          <w:color w:val="203864"/>
          <w:sz w:val="20"/>
          <w:szCs w:val="20"/>
          <w:rtl/>
        </w:rPr>
        <w:t>تحليلات المؤشرات ورسومها.</w:t>
      </w:r>
    </w:p>
    <w:p>
      <w:pPr>
        <w:bidi/>
        <w:spacing w:before="0" w:after="40" w:line="269" w:lineRule="auto"/>
        <w:ind w:right="198" w:hanging="198"/>
        <w:jc w:val="right"/>
      </w:pPr>
      <w:r>
        <w:rPr>
          <w:rFonts w:ascii="Calibri Light" w:hAnsi="Calibri Light" w:cs="Calibri Light"/>
          <w:b/>
          <w:bCs w:val="1"/>
          <w:i w:val="0"/>
          <w:color w:val="6AA84F"/>
          <w:sz w:val="20"/>
          <w:szCs w:val="20"/>
          <w:rtl/>
        </w:rPr>
        <w:t xml:space="preserve">◆ </w:t>
      </w:r>
      <w:r>
        <w:rPr>
          <w:rFonts w:ascii="Calibri Light" w:hAnsi="Calibri Light" w:cs="Calibri Light"/>
          <w:b/>
          <w:bCs w:val="1"/>
          <w:i w:val="0"/>
          <w:color w:val="1F4E79"/>
          <w:sz w:val="20"/>
          <w:szCs w:val="20"/>
          <w:rtl/>
        </w:rPr>
        <w:t xml:space="preserve">شاهد: </w:t>
      </w:r>
      <w:r>
        <w:rPr>
          <w:rFonts w:ascii="Calibri Light" w:hAnsi="Calibri Light" w:cs="Calibri Light"/>
          <w:b w:val="0"/>
          <w:bCs w:val="0"/>
          <w:i w:val="0"/>
          <w:color w:val="203864"/>
          <w:sz w:val="20"/>
          <w:szCs w:val="20"/>
          <w:rtl/>
        </w:rPr>
        <w:t>تقارير التحسين المستمر.</w:t>
      </w:r>
    </w:p>
    <w:p>
      <w:r>
        <w:br w:type="page"/>
      </w:r>
    </w:p>
    <w:tbl>
      <w:tblPr>
        <w:bidiVisual/>
        <w:tblW w:type="auto" w:w="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bidi/>
              <w:spacing w:before="0" w:after="0" w:line="264" w:lineRule="auto"/>
              <w:jc w:val="right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24"/>
                <w:szCs w:val="24"/>
                <w:rtl/>
              </w:rPr>
              <w:t>ملحق (ب): استمارة المتابعة والتقويم — الإضاءة 8</w:t>
            </w:r>
          </w:p>
        </w:tc>
      </w:tr>
    </w:tbl>
    <w:tbl>
      <w:tblPr>
        <w:bidiVisual/>
        <w:tblW w:type="auto" w:w="0"/>
        <w:tblBorders>
          <w:top w:val="single" w:sz="4" w:space="0" w:color="B7C9DA"/>
          <w:left w:val="single" w:sz="4" w:space="0" w:color="B7C9DA"/>
          <w:bottom w:val="single" w:sz="4" w:space="0" w:color="B7C9DA"/>
          <w:right w:val="single" w:sz="4" w:space="0" w:color="B7C9DA"/>
          <w:insideH w:val="single" w:sz="4" w:space="0" w:color="B7C9DA"/>
          <w:insideV w:val="single" w:sz="4" w:space="0" w:color="B7C9DA"/>
        </w:tblBorders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7FA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bidi/>
              <w:spacing w:before="0" w:after="20" w:line="264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9"/>
                <w:szCs w:val="19"/>
                <w:rtl/>
              </w:rPr>
              <w:t>المدرسة: ....................................    |    الفصل/الشعبة: ..............    |    التاريخ: ......... / ......... / 1447هـ</w:t>
            </w:r>
          </w:p>
          <w:p>
            <w:pPr>
              <w:bidi/>
              <w:spacing w:before="0" w:after="20" w:line="264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9"/>
                <w:szCs w:val="19"/>
                <w:rtl/>
              </w:rPr>
              <w:t>اسم المُقوِّم: ....................................    |    الصفة: ( مرشد طلابي / وكيل / مشرف )</w:t>
            </w:r>
          </w:p>
        </w:tc>
      </w:tr>
    </w:tbl>
    <w:p>
      <w:pPr>
        <w:shd w:val="clear" w:color="auto" w:fill="6AA84F"/>
        <w:bidi/>
        <w:spacing w:before="100" w:after="60" w:line="252" w:lineRule="auto"/>
        <w:ind w:left="68" w:right="68"/>
        <w:jc w:val="right"/>
      </w:pPr>
      <w:r>
        <w:rPr>
          <w:rFonts w:ascii="Calibri Light" w:hAnsi="Calibri Light" w:cs="Calibri Light"/>
          <w:b/>
          <w:bCs w:val="1"/>
          <w:i w:val="0"/>
          <w:color w:val="FFFFFF"/>
          <w:sz w:val="21"/>
          <w:szCs w:val="21"/>
          <w:rtl/>
        </w:rPr>
        <w:t xml:space="preserve">  أولًا: بنود الملاحظة</w:t>
      </w:r>
    </w:p>
    <w:tbl>
      <w:tblPr>
        <w:bidiVisual/>
        <w:tblW w:type="auto" w:w="0"/>
        <w:tblBorders>
          <w:top w:val="single" w:sz="4" w:space="0" w:color="B7C9DA"/>
          <w:left w:val="single" w:sz="4" w:space="0" w:color="B7C9DA"/>
          <w:bottom w:val="single" w:sz="4" w:space="0" w:color="B7C9DA"/>
          <w:right w:val="single" w:sz="4" w:space="0" w:color="B7C9DA"/>
          <w:insideH w:val="single" w:sz="4" w:space="0" w:color="B7C9DA"/>
          <w:insideV w:val="single" w:sz="4" w:space="0" w:color="B7C9DA"/>
        </w:tblBorders>
        <w:tblLook w:firstColumn="1" w:firstRow="1" w:lastColumn="0" w:lastRow="0" w:noHBand="0" w:noVBand="1" w:val="04A0"/>
      </w:tblPr>
      <w:tblGrid>
        <w:gridCol w:w="6350"/>
        <w:gridCol w:w="1247"/>
        <w:gridCol w:w="1304"/>
        <w:gridCol w:w="1304"/>
      </w:tblGrid>
      <w:tr>
        <w:tc>
          <w:tcPr>
            <w:tcW w:type="dxa" w:w="2551"/>
            <w:shd w:val="clear" w:color="auto" w:fill="6AA84F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18"/>
                <w:szCs w:val="18"/>
                <w:rtl/>
              </w:rPr>
              <w:t>بند الملاحظة</w:t>
            </w:r>
          </w:p>
        </w:tc>
        <w:tc>
          <w:tcPr>
            <w:tcW w:type="dxa" w:w="2551"/>
            <w:shd w:val="clear" w:color="auto" w:fill="6AA84F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18"/>
                <w:szCs w:val="18"/>
                <w:rtl/>
              </w:rPr>
              <w:t>مطابق</w:t>
            </w:r>
          </w:p>
        </w:tc>
        <w:tc>
          <w:tcPr>
            <w:tcW w:type="dxa" w:w="2551"/>
            <w:shd w:val="clear" w:color="auto" w:fill="6AA84F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18"/>
                <w:szCs w:val="18"/>
                <w:rtl/>
              </w:rPr>
              <w:t>جزئيًا</w:t>
            </w:r>
          </w:p>
        </w:tc>
        <w:tc>
          <w:tcPr>
            <w:tcW w:type="dxa" w:w="2551"/>
            <w:shd w:val="clear" w:color="auto" w:fill="6AA84F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18"/>
                <w:szCs w:val="18"/>
                <w:rtl/>
              </w:rPr>
              <w:t>غير مطابق</w:t>
            </w:r>
          </w:p>
        </w:tc>
      </w:tr>
      <w:tr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9"/>
                <w:szCs w:val="19"/>
                <w:rtl/>
              </w:rPr>
              <w:t>السجلات موحدة ومكتملة وقابلة للتحليل.</w:t>
            </w:r>
          </w:p>
        </w:tc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22"/>
                <w:szCs w:val="22"/>
                <w:rtl/>
              </w:rPr>
              <w:t>☐</w:t>
            </w:r>
          </w:p>
        </w:tc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22"/>
                <w:szCs w:val="22"/>
                <w:rtl/>
              </w:rPr>
              <w:t>☐</w:t>
            </w:r>
          </w:p>
        </w:tc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22"/>
                <w:szCs w:val="22"/>
                <w:rtl/>
              </w:rPr>
              <w:t>☐</w:t>
            </w:r>
          </w:p>
        </w:tc>
      </w:tr>
      <w:tr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9"/>
                <w:szCs w:val="19"/>
                <w:rtl/>
              </w:rPr>
              <w:t>التقارير الدورية منتظمة وفي مواعيدها.</w:t>
            </w:r>
          </w:p>
        </w:tc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22"/>
                <w:szCs w:val="22"/>
                <w:rtl/>
              </w:rPr>
              <w:t>☐</w:t>
            </w:r>
          </w:p>
        </w:tc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22"/>
                <w:szCs w:val="22"/>
                <w:rtl/>
              </w:rPr>
              <w:t>☐</w:t>
            </w:r>
          </w:p>
        </w:tc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22"/>
                <w:szCs w:val="22"/>
                <w:rtl/>
              </w:rPr>
              <w:t>☐</w:t>
            </w:r>
          </w:p>
        </w:tc>
      </w:tr>
      <w:tr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9"/>
                <w:szCs w:val="19"/>
                <w:rtl/>
              </w:rPr>
              <w:t>التحليل يرصد الأنماط والسبب الجذري.</w:t>
            </w:r>
          </w:p>
        </w:tc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22"/>
                <w:szCs w:val="22"/>
                <w:rtl/>
              </w:rPr>
              <w:t>☐</w:t>
            </w:r>
          </w:p>
        </w:tc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22"/>
                <w:szCs w:val="22"/>
                <w:rtl/>
              </w:rPr>
              <w:t>☐</w:t>
            </w:r>
          </w:p>
        </w:tc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22"/>
                <w:szCs w:val="22"/>
                <w:rtl/>
              </w:rPr>
              <w:t>☐</w:t>
            </w:r>
          </w:p>
        </w:tc>
      </w:tr>
      <w:tr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9"/>
                <w:szCs w:val="19"/>
                <w:rtl/>
              </w:rPr>
              <w:t>الإجراءات التحسينية موثقة ومتابعة.</w:t>
            </w:r>
          </w:p>
        </w:tc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22"/>
                <w:szCs w:val="22"/>
                <w:rtl/>
              </w:rPr>
              <w:t>☐</w:t>
            </w:r>
          </w:p>
        </w:tc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22"/>
                <w:szCs w:val="22"/>
                <w:rtl/>
              </w:rPr>
              <w:t>☐</w:t>
            </w:r>
          </w:p>
        </w:tc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22"/>
                <w:szCs w:val="22"/>
                <w:rtl/>
              </w:rPr>
              <w:t>☐</w:t>
            </w:r>
          </w:p>
        </w:tc>
      </w:tr>
      <w:tr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9"/>
                <w:szCs w:val="19"/>
                <w:rtl/>
              </w:rPr>
              <w:t>المؤشرات تُقارن ربع سنويًا.</w:t>
            </w:r>
          </w:p>
        </w:tc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22"/>
                <w:szCs w:val="22"/>
                <w:rtl/>
              </w:rPr>
              <w:t>☐</w:t>
            </w:r>
          </w:p>
        </w:tc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22"/>
                <w:szCs w:val="22"/>
                <w:rtl/>
              </w:rPr>
              <w:t>☐</w:t>
            </w:r>
          </w:p>
        </w:tc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22"/>
                <w:szCs w:val="22"/>
                <w:rtl/>
              </w:rPr>
              <w:t>☐</w:t>
            </w:r>
          </w:p>
        </w:tc>
      </w:tr>
      <w:tr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9"/>
                <w:szCs w:val="19"/>
                <w:rtl/>
              </w:rPr>
              <w:t>الخطة تُحدَّث بناءً على البيانات.</w:t>
            </w:r>
          </w:p>
        </w:tc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22"/>
                <w:szCs w:val="22"/>
                <w:rtl/>
              </w:rPr>
              <w:t>☐</w:t>
            </w:r>
          </w:p>
        </w:tc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22"/>
                <w:szCs w:val="22"/>
                <w:rtl/>
              </w:rPr>
              <w:t>☐</w:t>
            </w:r>
          </w:p>
        </w:tc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22"/>
                <w:szCs w:val="22"/>
                <w:rtl/>
              </w:rPr>
              <w:t>☐</w:t>
            </w:r>
          </w:p>
        </w:tc>
      </w:tr>
      <w:tr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9"/>
                <w:szCs w:val="19"/>
                <w:rtl/>
              </w:rPr>
              <w:t>النتائج تُشارك في المجلس المدرسي.</w:t>
            </w:r>
          </w:p>
        </w:tc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22"/>
                <w:szCs w:val="22"/>
                <w:rtl/>
              </w:rPr>
              <w:t>☐</w:t>
            </w:r>
          </w:p>
        </w:tc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22"/>
                <w:szCs w:val="22"/>
                <w:rtl/>
              </w:rPr>
              <w:t>☐</w:t>
            </w:r>
          </w:p>
        </w:tc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22"/>
                <w:szCs w:val="22"/>
                <w:rtl/>
              </w:rPr>
              <w:t>☐</w:t>
            </w:r>
          </w:p>
        </w:tc>
      </w:tr>
    </w:tbl>
    <w:p>
      <w:pPr>
        <w:shd w:val="clear" w:color="auto" w:fill="6AA84F"/>
        <w:bidi/>
        <w:spacing w:before="100" w:after="60" w:line="252" w:lineRule="auto"/>
        <w:ind w:left="68" w:right="68"/>
        <w:jc w:val="right"/>
      </w:pPr>
      <w:r>
        <w:rPr>
          <w:rFonts w:ascii="Calibri Light" w:hAnsi="Calibri Light" w:cs="Calibri Light"/>
          <w:b/>
          <w:bCs w:val="1"/>
          <w:i w:val="0"/>
          <w:color w:val="FFFFFF"/>
          <w:sz w:val="21"/>
          <w:szCs w:val="21"/>
          <w:rtl/>
        </w:rPr>
        <w:t xml:space="preserve">  ثانيًا: ملخص التقدير</w:t>
      </w:r>
    </w:p>
    <w:tbl>
      <w:tblPr>
        <w:bidiVisual/>
        <w:tblW w:type="auto" w:w="0"/>
        <w:tblBorders>
          <w:top w:val="single" w:sz="4" w:space="0" w:color="B7C9DA"/>
          <w:left w:val="single" w:sz="4" w:space="0" w:color="B7C9DA"/>
          <w:bottom w:val="single" w:sz="4" w:space="0" w:color="B7C9DA"/>
          <w:right w:val="single" w:sz="4" w:space="0" w:color="B7C9DA"/>
          <w:insideH w:val="single" w:sz="4" w:space="0" w:color="B7C9DA"/>
          <w:insideV w:val="single" w:sz="4" w:space="0" w:color="B7C9DA"/>
        </w:tblBorders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shd w:val="clear" w:color="auto" w:fill="1F4E79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18"/>
                <w:szCs w:val="18"/>
                <w:rtl/>
              </w:rPr>
              <w:t>عدد البنود المطابقة</w:t>
            </w:r>
          </w:p>
        </w:tc>
        <w:tc>
          <w:tcPr>
            <w:tcW w:type="dxa" w:w="2551"/>
            <w:shd w:val="clear" w:color="auto" w:fill="1F4E79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18"/>
                <w:szCs w:val="18"/>
                <w:rtl/>
              </w:rPr>
              <w:t>المطابقة جزئيًا</w:t>
            </w:r>
          </w:p>
        </w:tc>
        <w:tc>
          <w:tcPr>
            <w:tcW w:type="dxa" w:w="2551"/>
            <w:shd w:val="clear" w:color="auto" w:fill="1F4E79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18"/>
                <w:szCs w:val="18"/>
                <w:rtl/>
              </w:rPr>
              <w:t>غير المطابقة</w:t>
            </w:r>
          </w:p>
        </w:tc>
        <w:tc>
          <w:tcPr>
            <w:tcW w:type="dxa" w:w="2551"/>
            <w:shd w:val="clear" w:color="auto" w:fill="1F4E79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18"/>
                <w:szCs w:val="18"/>
                <w:rtl/>
              </w:rPr>
              <w:t>النسبة الكلية</w:t>
            </w:r>
          </w:p>
        </w:tc>
      </w:tr>
      <w:tr>
        <w:tc>
          <w:tcPr>
            <w:tcW w:type="dxa" w:w="255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20"/>
                <w:szCs w:val="20"/>
                <w:rtl/>
              </w:rPr>
              <w:t>..............</w:t>
            </w:r>
          </w:p>
        </w:tc>
        <w:tc>
          <w:tcPr>
            <w:tcW w:type="dxa" w:w="255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20"/>
                <w:szCs w:val="20"/>
                <w:rtl/>
              </w:rPr>
              <w:t>..............</w:t>
            </w:r>
          </w:p>
        </w:tc>
        <w:tc>
          <w:tcPr>
            <w:tcW w:type="dxa" w:w="255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20"/>
                <w:szCs w:val="20"/>
                <w:rtl/>
              </w:rPr>
              <w:t>..............</w:t>
            </w:r>
          </w:p>
        </w:tc>
        <w:tc>
          <w:tcPr>
            <w:tcW w:type="dxa" w:w="255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20"/>
                <w:szCs w:val="20"/>
                <w:rtl/>
              </w:rPr>
              <w:t>..............</w:t>
            </w:r>
          </w:p>
        </w:tc>
      </w:tr>
    </w:tbl>
    <w:p>
      <w:pPr>
        <w:shd w:val="clear" w:color="auto" w:fill="6AA84F"/>
        <w:bidi/>
        <w:spacing w:before="100" w:after="60" w:line="252" w:lineRule="auto"/>
        <w:ind w:left="68" w:right="68"/>
        <w:jc w:val="right"/>
      </w:pPr>
      <w:r>
        <w:rPr>
          <w:rFonts w:ascii="Calibri Light" w:hAnsi="Calibri Light" w:cs="Calibri Light"/>
          <w:b/>
          <w:bCs w:val="1"/>
          <w:i w:val="0"/>
          <w:color w:val="FFFFFF"/>
          <w:sz w:val="21"/>
          <w:szCs w:val="21"/>
          <w:rtl/>
        </w:rPr>
        <w:t xml:space="preserve">  ثالثًا: التوصية والتوقيع</w:t>
      </w:r>
    </w:p>
    <w:tbl>
      <w:tblPr>
        <w:bidiVisual/>
        <w:tblW w:type="auto" w:w="0"/>
        <w:tblBorders>
          <w:top w:val="single" w:sz="4" w:space="0" w:color="6AA84F"/>
          <w:left w:val="single" w:sz="4" w:space="0" w:color="6AA84F"/>
          <w:bottom w:val="single" w:sz="4" w:space="0" w:color="6AA84F"/>
          <w:right w:val="single" w:sz="4" w:space="0" w:color="6AA84F"/>
          <w:insideH w:val="single" w:sz="4" w:space="0" w:color="6AA84F"/>
          <w:insideV w:val="single" w:sz="4" w:space="0" w:color="6AA84F"/>
        </w:tblBorders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2F7EC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bidi/>
              <w:spacing w:before="0" w:after="20" w:line="264" w:lineRule="auto"/>
              <w:jc w:val="right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9"/>
                <w:szCs w:val="19"/>
                <w:rtl/>
              </w:rPr>
              <w:t>التوصية:   ☐ مطابق    ☐ مطابق جزئيًا (تُعد خطة تحسين)    ☐ غير مطابق (تُعد خطة تدخل)</w:t>
            </w:r>
          </w:p>
          <w:p>
            <w:pPr>
              <w:bidi/>
              <w:spacing w:before="0" w:after="20" w:line="264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ملاحظات المُقوِّم: ................................................................................................................................</w:t>
            </w:r>
          </w:p>
          <w:p>
            <w:pPr>
              <w:bidi/>
              <w:spacing w:before="0" w:after="20" w:line="264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9"/>
                <w:szCs w:val="19"/>
                <w:rtl/>
              </w:rPr>
              <w:t>توقيع المُقوِّم: ......................        توقيع مدير المدرسة: ......................</w:t>
            </w:r>
          </w:p>
        </w:tc>
      </w:tr>
    </w:tbl>
    <w:p>
      <w:r>
        <w:br w:type="page"/>
      </w:r>
    </w:p>
    <w:tbl>
      <w:tblPr>
        <w:bidiVisual/>
        <w:tblW w:type="auto" w:w="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bidi/>
              <w:spacing w:before="0" w:after="0" w:line="264" w:lineRule="auto"/>
              <w:jc w:val="right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24"/>
                <w:szCs w:val="24"/>
                <w:rtl/>
              </w:rPr>
              <w:t>ملحق (ج): خطة العمل والتحديات — الإضاءة 8</w:t>
            </w:r>
          </w:p>
        </w:tc>
      </w:tr>
    </w:tbl>
    <w:p>
      <w:pPr>
        <w:shd w:val="clear" w:color="auto" w:fill="6AA84F"/>
        <w:bidi/>
        <w:spacing w:before="100" w:after="60" w:line="252" w:lineRule="auto"/>
        <w:ind w:left="68" w:right="68"/>
        <w:jc w:val="right"/>
      </w:pPr>
      <w:r>
        <w:rPr>
          <w:rFonts w:ascii="Calibri Light" w:hAnsi="Calibri Light" w:cs="Calibri Light"/>
          <w:b/>
          <w:bCs w:val="1"/>
          <w:i w:val="0"/>
          <w:color w:val="FFFFFF"/>
          <w:sz w:val="21"/>
          <w:szCs w:val="21"/>
          <w:rtl/>
        </w:rPr>
        <w:t xml:space="preserve">  أولًا: خطة العمل المختصرة</w:t>
      </w:r>
    </w:p>
    <w:tbl>
      <w:tblPr>
        <w:bidiVisual/>
        <w:tblW w:type="auto" w:w="0"/>
        <w:tblBorders>
          <w:top w:val="single" w:sz="4" w:space="0" w:color="B7C9DA"/>
          <w:left w:val="single" w:sz="4" w:space="0" w:color="B7C9DA"/>
          <w:bottom w:val="single" w:sz="4" w:space="0" w:color="B7C9DA"/>
          <w:right w:val="single" w:sz="4" w:space="0" w:color="B7C9DA"/>
          <w:insideH w:val="single" w:sz="4" w:space="0" w:color="B7C9DA"/>
          <w:insideV w:val="single" w:sz="4" w:space="0" w:color="B7C9DA"/>
        </w:tblBorders>
        <w:tblLook w:firstColumn="1" w:firstRow="1" w:lastColumn="0" w:lastRow="0" w:noHBand="0" w:noVBand="1" w:val="04A0"/>
      </w:tblPr>
      <w:tblGrid>
        <w:gridCol w:w="4082"/>
        <w:gridCol w:w="2041"/>
        <w:gridCol w:w="1361"/>
        <w:gridCol w:w="2721"/>
      </w:tblGrid>
      <w:tr>
        <w:tc>
          <w:tcPr>
            <w:tcW w:type="dxa" w:w="2551"/>
            <w:shd w:val="clear" w:color="auto" w:fill="6AA84F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18"/>
                <w:szCs w:val="18"/>
                <w:rtl/>
              </w:rPr>
              <w:t>الإجراء</w:t>
            </w:r>
          </w:p>
        </w:tc>
        <w:tc>
          <w:tcPr>
            <w:tcW w:type="dxa" w:w="2551"/>
            <w:shd w:val="clear" w:color="auto" w:fill="6AA84F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18"/>
                <w:szCs w:val="18"/>
                <w:rtl/>
              </w:rPr>
              <w:t>المسؤول</w:t>
            </w:r>
          </w:p>
        </w:tc>
        <w:tc>
          <w:tcPr>
            <w:tcW w:type="dxa" w:w="2551"/>
            <w:shd w:val="clear" w:color="auto" w:fill="6AA84F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18"/>
                <w:szCs w:val="18"/>
                <w:rtl/>
              </w:rPr>
              <w:t>المدة</w:t>
            </w:r>
          </w:p>
        </w:tc>
        <w:tc>
          <w:tcPr>
            <w:tcW w:type="dxa" w:w="2551"/>
            <w:shd w:val="clear" w:color="auto" w:fill="6AA84F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18"/>
                <w:szCs w:val="18"/>
                <w:rtl/>
              </w:rPr>
              <w:t>مؤشر النجاح</w:t>
            </w:r>
          </w:p>
        </w:tc>
      </w:tr>
      <w:tr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إعداد السجل الموحد ودليل الاستخدام.</w:t>
            </w:r>
          </w:p>
        </w:tc>
        <w:tc>
          <w:tcPr>
            <w:tcW w:type="dxa" w:w="2551"/>
            <w:shd w:val="clear" w:color="auto" w:fill="F2F7EC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8"/>
                <w:szCs w:val="18"/>
                <w:rtl/>
              </w:rPr>
              <w:t>المرشد الطلابي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3 أسابيع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سجل معتمد</w:t>
            </w:r>
          </w:p>
        </w:tc>
      </w:tr>
      <w:tr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استخراج المؤشرات الشهرية.</w:t>
            </w:r>
          </w:p>
        </w:tc>
        <w:tc>
          <w:tcPr>
            <w:tcW w:type="dxa" w:w="2551"/>
            <w:shd w:val="clear" w:color="auto" w:fill="F2F7EC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8"/>
                <w:szCs w:val="18"/>
                <w:rtl/>
              </w:rPr>
              <w:t>المرشد + مسؤول البيانات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شهري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12 تقريرًا/عام</w:t>
            </w:r>
          </w:p>
        </w:tc>
      </w:tr>
      <w:tr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تحليل الأسباب الجذرية.</w:t>
            </w:r>
          </w:p>
        </w:tc>
        <w:tc>
          <w:tcPr>
            <w:tcW w:type="dxa" w:w="2551"/>
            <w:shd w:val="clear" w:color="auto" w:fill="F2F7EC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8"/>
                <w:szCs w:val="18"/>
                <w:rtl/>
              </w:rPr>
              <w:t>المرشد الطلابي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فصليًا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تقرير تحليلي</w:t>
            </w:r>
          </w:p>
        </w:tc>
      </w:tr>
      <w:tr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إجراءات وقائية مستهدفة.</w:t>
            </w:r>
          </w:p>
        </w:tc>
        <w:tc>
          <w:tcPr>
            <w:tcW w:type="dxa" w:w="2551"/>
            <w:shd w:val="clear" w:color="auto" w:fill="F2F7EC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8"/>
                <w:szCs w:val="18"/>
                <w:rtl/>
              </w:rPr>
              <w:t>المرشد + الإدارة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مستمر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انخفاض المخالفات</w:t>
            </w:r>
          </w:p>
        </w:tc>
      </w:tr>
      <w:tr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تقرير التحسين المستمر.</w:t>
            </w:r>
          </w:p>
        </w:tc>
        <w:tc>
          <w:tcPr>
            <w:tcW w:type="dxa" w:w="2551"/>
            <w:shd w:val="clear" w:color="auto" w:fill="F2F7EC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8"/>
                <w:szCs w:val="18"/>
                <w:rtl/>
              </w:rPr>
              <w:t>المرشد الطلابي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فصليًا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تقرير معتمد</w:t>
            </w:r>
          </w:p>
        </w:tc>
      </w:tr>
    </w:tbl>
    <w:p>
      <w:pPr>
        <w:shd w:val="clear" w:color="auto" w:fill="6AA84F"/>
        <w:bidi/>
        <w:spacing w:before="100" w:after="60" w:line="252" w:lineRule="auto"/>
        <w:ind w:left="68" w:right="68"/>
        <w:jc w:val="right"/>
      </w:pPr>
      <w:r>
        <w:rPr>
          <w:rFonts w:ascii="Calibri Light" w:hAnsi="Calibri Light" w:cs="Calibri Light"/>
          <w:b/>
          <w:bCs w:val="1"/>
          <w:i w:val="0"/>
          <w:color w:val="FFFFFF"/>
          <w:sz w:val="21"/>
          <w:szCs w:val="21"/>
          <w:rtl/>
        </w:rPr>
        <w:t xml:space="preserve">  ثانيًا: تحديات متوقعة وسبل التغلب</w:t>
      </w:r>
    </w:p>
    <w:tbl>
      <w:tblPr>
        <w:bidiVisual/>
        <w:tblW w:type="auto" w:w="0"/>
        <w:tblBorders>
          <w:top w:val="single" w:sz="4" w:space="0" w:color="B7C9DA"/>
          <w:left w:val="single" w:sz="4" w:space="0" w:color="B7C9DA"/>
          <w:bottom w:val="single" w:sz="4" w:space="0" w:color="B7C9DA"/>
          <w:right w:val="single" w:sz="4" w:space="0" w:color="B7C9DA"/>
          <w:insideH w:val="single" w:sz="4" w:space="0" w:color="B7C9DA"/>
          <w:insideV w:val="single" w:sz="4" w:space="0" w:color="B7C9DA"/>
        </w:tblBorders>
        <w:tblLook w:firstColumn="1" w:firstRow="1" w:lastColumn="0" w:lastRow="0" w:noHBand="0" w:noVBand="1" w:val="04A0"/>
      </w:tblPr>
      <w:tblGrid>
        <w:gridCol w:w="4082"/>
        <w:gridCol w:w="6123"/>
      </w:tblGrid>
      <w:tr>
        <w:tc>
          <w:tcPr>
            <w:tcW w:type="dxa" w:w="5103"/>
            <w:shd w:val="clear" w:color="auto" w:fill="1F4E79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18"/>
                <w:szCs w:val="18"/>
                <w:rtl/>
              </w:rPr>
              <w:t>التحدي المتوقع</w:t>
            </w:r>
          </w:p>
        </w:tc>
        <w:tc>
          <w:tcPr>
            <w:tcW w:type="dxa" w:w="5103"/>
            <w:shd w:val="clear" w:color="auto" w:fill="1F4E79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18"/>
                <w:szCs w:val="18"/>
                <w:rtl/>
              </w:rPr>
              <w:t>سبل التغلب</w:t>
            </w:r>
          </w:p>
        </w:tc>
      </w:tr>
      <w:tr>
        <w:tc>
          <w:tcPr>
            <w:tcW w:type="dxa" w:w="5103"/>
            <w:shd w:val="clear" w:color="auto" w:fill="FBF3F3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8"/>
                <w:szCs w:val="18"/>
                <w:rtl/>
              </w:rPr>
              <w:t>ضخامة البيانات دون استخدام.</w:t>
            </w:r>
          </w:p>
        </w:tc>
        <w:tc>
          <w:tcPr>
            <w:tcW w:type="dxa" w:w="5103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مؤشرات قليلة دقيقة تُقاس بانتظام.</w:t>
            </w:r>
          </w:p>
        </w:tc>
      </w:tr>
      <w:tr>
        <w:tc>
          <w:tcPr>
            <w:tcW w:type="dxa" w:w="5103"/>
            <w:shd w:val="clear" w:color="auto" w:fill="FBF3F3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8"/>
                <w:szCs w:val="18"/>
                <w:rtl/>
              </w:rPr>
              <w:t>تذبذب التوثيق عند الضغط.</w:t>
            </w:r>
          </w:p>
        </w:tc>
        <w:tc>
          <w:tcPr>
            <w:tcW w:type="dxa" w:w="5103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أتمتة بسيطة وتفويض مسؤول بيانات.</w:t>
            </w:r>
          </w:p>
        </w:tc>
      </w:tr>
      <w:tr>
        <w:tc>
          <w:tcPr>
            <w:tcW w:type="dxa" w:w="5103"/>
            <w:shd w:val="clear" w:color="auto" w:fill="FBF3F3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8"/>
                <w:szCs w:val="18"/>
                <w:rtl/>
              </w:rPr>
              <w:t>بقاء الممارسة علاجية.</w:t>
            </w:r>
          </w:p>
        </w:tc>
        <w:tc>
          <w:tcPr>
            <w:tcW w:type="dxa" w:w="5103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تحديد نسبة الأنشطة الوقائية ومراقبتها.</w:t>
            </w:r>
          </w:p>
        </w:tc>
      </w:tr>
    </w:tbl>
    <w:p>
      <w:pPr>
        <w:shd w:val="clear" w:color="auto" w:fill="6AA84F"/>
        <w:bidi/>
        <w:spacing w:before="100" w:after="60" w:line="252" w:lineRule="auto"/>
        <w:ind w:left="68" w:right="68"/>
        <w:jc w:val="right"/>
      </w:pPr>
      <w:r>
        <w:rPr>
          <w:rFonts w:ascii="Calibri Light" w:hAnsi="Calibri Light" w:cs="Calibri Light"/>
          <w:b/>
          <w:bCs w:val="1"/>
          <w:i w:val="0"/>
          <w:color w:val="FFFFFF"/>
          <w:sz w:val="21"/>
          <w:szCs w:val="21"/>
          <w:rtl/>
        </w:rPr>
        <w:t xml:space="preserve">  ثالثًا: أسئلة التقويم الذاتي للمرشد الطلابي</w:t>
      </w:r>
    </w:p>
    <w:tbl>
      <w:tblPr>
        <w:bidiVisual/>
        <w:tblW w:type="auto" w:w="0"/>
        <w:tblBorders>
          <w:top w:val="single" w:sz="4" w:space="0" w:color="6AA84F"/>
          <w:left w:val="single" w:sz="4" w:space="0" w:color="6AA84F"/>
          <w:bottom w:val="single" w:sz="4" w:space="0" w:color="6AA84F"/>
          <w:right w:val="single" w:sz="4" w:space="0" w:color="6AA84F"/>
          <w:insideH w:val="single" w:sz="4" w:space="0" w:color="6AA84F"/>
          <w:insideV w:val="single" w:sz="4" w:space="0" w:color="6AA84F"/>
        </w:tblBorders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2F7EC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bidi/>
              <w:spacing w:before="0" w:after="20" w:line="264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9"/>
                <w:szCs w:val="19"/>
                <w:rtl/>
              </w:rPr>
              <w:t>هل نمتلك اليوم مؤشرات محدثة لحظة اتخاذ القرار؟</w:t>
            </w:r>
          </w:p>
          <w:p>
            <w:pPr>
              <w:bidi/>
              <w:spacing w:before="0" w:after="20" w:line="264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9"/>
                <w:szCs w:val="19"/>
                <w:rtl/>
              </w:rPr>
              <w:t>ما الذي غيّرته الخطة بناءً على البيانات هذا الفصل؟</w:t>
            </w:r>
          </w:p>
          <w:p>
            <w:pPr>
              <w:bidi/>
              <w:spacing w:before="0" w:after="20" w:line="264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9"/>
                <w:szCs w:val="19"/>
                <w:rtl/>
              </w:rPr>
              <w:t>هل الإجراءات الوقائية تجاوزت العلاجية في الوزن؟</w:t>
            </w:r>
          </w:p>
        </w:tc>
      </w:tr>
    </w:tbl>
    <w:tbl>
      <w:tblPr>
        <w:bidiVisual/>
        <w:tblW w:type="auto" w:w="0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EDF3F8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bidi/>
              <w:spacing w:before="0" w:after="20" w:line="264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1F4E79"/>
                <w:sz w:val="17"/>
                <w:szCs w:val="17"/>
                <w:rtl/>
              </w:rPr>
              <w:t>إرشاد: يُراجع المرشد هذه الأسئلة شهريًا، ويوثّق الإجابات وخطوات التحسين في ملف التحسين المستمر.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2013" w:right="850" w:bottom="1786" w:left="850" w:header="397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bidiVisual/>
      <w:tblW w:type="auto" w:w="0"/>
      <w:tblBorders>
        <w:top w:val="none" w:sz="0" w:color="auto"/>
        <w:left w:val="none" w:sz="0" w:color="auto"/>
        <w:bottom w:val="none" w:sz="0" w:color="auto"/>
        <w:right w:val="none" w:sz="0" w:color="auto"/>
        <w:insideH w:val="none" w:sz="0" w:color="auto"/>
        <w:insideV w:val="none" w:sz="0" w:color="auto"/>
      </w:tblBorders>
      <w:tblLook w:firstColumn="1" w:firstRow="1" w:lastColumn="0" w:lastRow="0" w:noHBand="0" w:noVBand="1" w:val="04A0"/>
    </w:tblPr>
    <w:tblGrid>
      <w:gridCol w:w="3175"/>
      <w:gridCol w:w="3969"/>
      <w:gridCol w:w="3061"/>
    </w:tblGrid>
    <w:tr>
      <w:tc>
        <w:tcPr>
          <w:tcW w:type="dxa" w:w="3402"/>
          <w:tcMar>
            <w:top w:w="0" w:type="dxa"/>
            <w:left w:w="0" w:type="dxa"/>
            <w:bottom w:w="0" w:type="dxa"/>
            <w:right w:w="0" w:type="dxa"/>
          </w:tcMar>
        </w:tcPr>
        <w:p/>
        <w:tbl>
          <w:tblPr>
            <w:bidiVisual/>
            <w:tblW w:type="auto" w:w="0"/>
            <w:tbl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blBorders>
            <w:tblLook w:firstColumn="1" w:firstRow="1" w:lastColumn="0" w:lastRow="0" w:noHBand="0" w:noVBand="1" w:val="04A0"/>
          </w:tblPr>
          <w:tblGrid>
            <w:gridCol w:w="1531"/>
            <w:gridCol w:w="1531"/>
          </w:tblGrid>
          <w:tr>
            <w:tc>
              <w:tcPr>
                <w:tcW w:type="dxa" w:w="1701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tcMar>
                  <w:top w:w="20" w:type="dxa"/>
                  <w:left w:w="40" w:type="dxa"/>
                  <w:bottom w:w="20" w:type="dxa"/>
                  <w:right w:w="40" w:type="dxa"/>
                </w:tcMar>
              </w:tcPr>
              <w:p>
                <w:pPr>
                  <w:bidi/>
                  <w:spacing w:before="0" w:after="0" w:line="240" w:lineRule="auto"/>
                  <w:jc w:val="center"/>
                </w:pPr>
                <w:r>
                  <w:rPr>
                    <w:rFonts w:ascii="Calibri Light" w:hAnsi="Calibri Light" w:cs="Calibri Light"/>
                    <w:b/>
                    <w:bCs w:val="1"/>
                    <w:i w:val="0"/>
                    <w:color w:val="A60000"/>
                    <w:sz w:val="14"/>
                    <w:szCs w:val="14"/>
                    <w:rtl/>
                  </w:rPr>
                  <w:t>ISO 9001:2015</w:t>
                </w:r>
              </w:p>
              <w:p>
                <w:pPr>
                  <w:bidi/>
                  <w:spacing w:before="0" w:after="0" w:line="240" w:lineRule="auto"/>
                  <w:jc w:val="center"/>
                </w:pPr>
                <w:r>
                  <w:rPr>
                    <w:rFonts w:ascii="Calibri Light" w:hAnsi="Calibri Light" w:cs="Calibri Light"/>
                    <w:b w:val="0"/>
                    <w:bCs w:val="0"/>
                    <w:i w:val="0"/>
                    <w:color w:val="595959"/>
                    <w:sz w:val="11"/>
                    <w:szCs w:val="11"/>
                    <w:rtl/>
                  </w:rPr>
                  <w:t>CERTIFIED</w:t>
                </w:r>
              </w:p>
            </w:tc>
            <w:tc>
              <w:tcPr>
                <w:tcW w:type="dxa" w:w="1701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tcMar>
                  <w:top w:w="20" w:type="dxa"/>
                  <w:left w:w="40" w:type="dxa"/>
                  <w:bottom w:w="20" w:type="dxa"/>
                  <w:right w:w="40" w:type="dxa"/>
                </w:tcMar>
              </w:tcPr>
              <w:p>
                <w:pPr>
                  <w:bidi/>
                  <w:spacing w:before="0" w:after="0" w:line="240" w:lineRule="auto"/>
                  <w:jc w:val="center"/>
                </w:pPr>
                <w:r>
                  <w:rPr>
                    <w:rFonts w:ascii="Calibri Light" w:hAnsi="Calibri Light" w:cs="Calibri Light"/>
                    <w:b/>
                    <w:bCs w:val="1"/>
                    <w:i w:val="0"/>
                    <w:color w:val="1F4E79"/>
                    <w:sz w:val="14"/>
                    <w:szCs w:val="14"/>
                    <w:rtl/>
                  </w:rPr>
                  <w:t>AiAA</w:t>
                </w:r>
              </w:p>
              <w:p>
                <w:pPr>
                  <w:bidi/>
                  <w:spacing w:before="0" w:after="0" w:line="240" w:lineRule="auto"/>
                  <w:jc w:val="center"/>
                </w:pPr>
                <w:r>
                  <w:rPr>
                    <w:rFonts w:ascii="Calibri Light" w:hAnsi="Calibri Light" w:cs="Calibri Light"/>
                    <w:b w:val="0"/>
                    <w:bCs w:val="0"/>
                    <w:i w:val="0"/>
                    <w:color w:val="595959"/>
                    <w:sz w:val="11"/>
                    <w:szCs w:val="11"/>
                    <w:rtl/>
                  </w:rPr>
                  <w:t>اعتماد دولي</w:t>
                </w:r>
              </w:p>
            </w:tc>
          </w:tr>
        </w:tbl>
        <w:p/>
      </w:tc>
      <w:tc>
        <w:tcPr>
          <w:tcW w:type="dxa" w:w="3402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bidi/>
            <w:spacing w:before="0" w:after="20" w:line="240" w:lineRule="auto"/>
            <w:jc w:val="center"/>
          </w:pPr>
          <w:r>
            <w:rPr>
              <w:rFonts w:ascii="Calibri Light" w:hAnsi="Calibri Light" w:cs="Calibri Light"/>
              <w:b/>
              <w:bCs w:val="1"/>
              <w:i w:val="0"/>
              <w:color w:val="1F4E79"/>
              <w:sz w:val="17"/>
              <w:szCs w:val="17"/>
              <w:rtl/>
            </w:rPr>
            <w:t>التعليم المتقـدم يبنـي ...</w:t>
          </w:r>
        </w:p>
        <w:tbl>
          <w:tblPr>
            <w:bidiVisual/>
            <w:tblW w:type="auto" w:w="0"/>
            <w:tbl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blBorders>
            <w:tblLook w:firstColumn="1" w:firstRow="1" w:lastColumn="0" w:lastRow="0" w:noHBand="0" w:noVBand="1" w:val="04A0"/>
          </w:tblPr>
          <w:tblGrid>
            <w:gridCol w:w="1247"/>
            <w:gridCol w:w="1247"/>
            <w:gridCol w:w="1247"/>
          </w:tblGrid>
          <w:tr>
            <w:tc>
              <w:tcPr>
                <w:tcW w:type="dxa" w:w="1134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>
                <w:pPr>
                  <w:bidi/>
                  <w:spacing w:before="0" w:after="0" w:line="240" w:lineRule="auto"/>
                  <w:jc w:val="center"/>
                </w:pPr>
                <w:r>
                  <w:drawing>
                    <wp:inline xmlns:a="http://schemas.openxmlformats.org/drawingml/2006/main" xmlns:pic="http://schemas.openxmlformats.org/drawingml/2006/picture">
                      <wp:extent cx="198000" cy="198000"/>
                      <wp:docPr id="1" name="Picture 1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icon_person.png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8000" cy="19800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>
                <w:pPr>
                  <w:bidi/>
                  <w:spacing w:before="0" w:after="0" w:line="240" w:lineRule="auto"/>
                  <w:jc w:val="center"/>
                </w:pPr>
                <w:r>
                  <w:rPr>
                    <w:rFonts w:ascii="Calibri Light" w:hAnsi="Calibri Light" w:cs="Calibri Light"/>
                    <w:b w:val="0"/>
                    <w:bCs w:val="0"/>
                    <w:i w:val="0"/>
                    <w:color w:val="595959"/>
                    <w:sz w:val="11"/>
                    <w:szCs w:val="11"/>
                    <w:rtl/>
                  </w:rPr>
                  <w:t>المعرفة</w:t>
                </w:r>
              </w:p>
            </w:tc>
            <w:tc>
              <w:tcPr>
                <w:tcW w:type="dxa" w:w="1134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>
                <w:pPr>
                  <w:bidi/>
                  <w:spacing w:before="0" w:after="0" w:line="240" w:lineRule="auto"/>
                  <w:jc w:val="center"/>
                </w:pPr>
                <w:r>
                  <w:drawing>
                    <wp:inline xmlns:a="http://schemas.openxmlformats.org/drawingml/2006/main" xmlns:pic="http://schemas.openxmlformats.org/drawingml/2006/picture">
                      <wp:extent cx="198000" cy="198000"/>
                      <wp:docPr id="2" name="Picture 2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icon_chart.png"/>
                              <pic:cNvPicPr/>
                            </pic:nvPicPr>
                            <pic:blipFill>
                              <a:blip r:embed="rId2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8000" cy="19800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>
                <w:pPr>
                  <w:bidi/>
                  <w:spacing w:before="0" w:after="0" w:line="240" w:lineRule="auto"/>
                  <w:jc w:val="center"/>
                </w:pPr>
                <w:r>
                  <w:rPr>
                    <w:rFonts w:ascii="Calibri Light" w:hAnsi="Calibri Light" w:cs="Calibri Light"/>
                    <w:b w:val="0"/>
                    <w:bCs w:val="0"/>
                    <w:i w:val="0"/>
                    <w:color w:val="595959"/>
                    <w:sz w:val="11"/>
                    <w:szCs w:val="11"/>
                    <w:rtl/>
                  </w:rPr>
                  <w:t>التكنولوجيا</w:t>
                </w:r>
              </w:p>
            </w:tc>
            <w:tc>
              <w:tcPr>
                <w:tcW w:type="dxa" w:w="1134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>
                <w:pPr>
                  <w:bidi/>
                  <w:spacing w:before="0" w:after="0" w:line="240" w:lineRule="auto"/>
                  <w:jc w:val="center"/>
                </w:pPr>
                <w:r>
                  <w:drawing>
                    <wp:inline xmlns:a="http://schemas.openxmlformats.org/drawingml/2006/main" xmlns:pic="http://schemas.openxmlformats.org/drawingml/2006/picture">
                      <wp:extent cx="198000" cy="198000"/>
                      <wp:docPr id="3" name="Picture 3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icon_atom.png"/>
                              <pic:cNvPicPr/>
                            </pic:nvPicPr>
                            <pic:blipFill>
                              <a:blip r:embed="rId3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8000" cy="19800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>
                <w:pPr>
                  <w:bidi/>
                  <w:spacing w:before="0" w:after="0" w:line="240" w:lineRule="auto"/>
                  <w:jc w:val="center"/>
                </w:pPr>
                <w:r>
                  <w:rPr>
                    <w:rFonts w:ascii="Calibri Light" w:hAnsi="Calibri Light" w:cs="Calibri Light"/>
                    <w:b w:val="0"/>
                    <w:bCs w:val="0"/>
                    <w:i w:val="0"/>
                    <w:color w:val="595959"/>
                    <w:sz w:val="11"/>
                    <w:szCs w:val="11"/>
                    <w:rtl/>
                  </w:rPr>
                  <w:t>العلوم</w:t>
                </w:r>
              </w:p>
            </w:tc>
          </w:tr>
        </w:tbl>
        <w:p/>
      </w:tc>
      <w:tc>
        <w:tcPr>
          <w:tcW w:type="dxa" w:w="3402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bidi/>
            <w:spacing w:before="0" w:after="0" w:line="264" w:lineRule="auto"/>
            <w:jc w:val="center"/>
          </w:pPr>
          <w:r>
            <w:rPr>
              <w:rFonts w:ascii="Calibri Light" w:hAnsi="Calibri Light" w:cs="Calibri Light"/>
              <w:b/>
              <w:bCs w:val="1"/>
              <w:i w:val="0"/>
              <w:color w:val="1F4E79"/>
              <w:sz w:val="16"/>
              <w:szCs w:val="16"/>
              <w:rtl/>
            </w:rPr>
            <w:t xml:space="preserve">f   X   ◎   </w:t>
          </w:r>
          <w:r>
            <w:rPr>
              <w:rFonts w:ascii="Calibri Light" w:hAnsi="Calibri Light" w:cs="Calibri Light"/>
              <w:b/>
              <w:bCs w:val="1"/>
              <w:i w:val="0"/>
              <w:color w:val="1F4E79"/>
              <w:sz w:val="16"/>
              <w:szCs w:val="16"/>
              <w:rtl/>
            </w:rPr>
            <w:t>Ajailyanbu</w:t>
          </w:r>
        </w:p>
        <w:p>
          <w:pPr>
            <w:bidi/>
            <w:spacing w:before="0" w:after="0" w:line="264" w:lineRule="auto"/>
            <w:jc w:val="center"/>
          </w:pPr>
          <w:r>
            <w:rPr>
              <w:rFonts w:ascii="Calibri Light" w:hAnsi="Calibri Light" w:cs="Calibri Light"/>
              <w:b/>
              <w:bCs w:val="1"/>
              <w:i w:val="0"/>
              <w:color w:val="6AA84F"/>
              <w:sz w:val="16"/>
              <w:szCs w:val="16"/>
              <w:rtl/>
            </w:rPr>
            <w:t xml:space="preserve">☎   </w:t>
          </w:r>
          <w:r>
            <w:rPr>
              <w:rFonts w:ascii="Calibri Light" w:hAnsi="Calibri Light" w:cs="Calibri Light"/>
              <w:b w:val="0"/>
              <w:bCs w:val="0"/>
              <w:i w:val="0"/>
              <w:color w:val="1F4E79"/>
              <w:sz w:val="16"/>
              <w:szCs w:val="16"/>
              <w:rtl/>
            </w:rPr>
            <w:t>Nabualmarifa.edu.sa</w:t>
          </w:r>
        </w:p>
      </w:tc>
    </w:tr>
  </w:tbl>
  <w:tbl>
    <w:tblPr>
      <w:bidiVisual/>
      <w:tblW w:type="auto" w:w="0"/>
      <w:tblBorders>
        <w:top w:val="none" w:sz="0" w:color="auto"/>
        <w:left w:val="none" w:sz="0" w:color="auto"/>
        <w:bottom w:val="none" w:sz="0" w:color="auto"/>
        <w:right w:val="none" w:sz="0" w:color="auto"/>
        <w:insideH w:val="none" w:sz="0" w:color="auto"/>
        <w:insideV w:val="none" w:sz="0" w:color="auto"/>
      </w:tblBorders>
      <w:tblLook w:firstColumn="1" w:firstRow="1" w:lastColumn="0" w:lastRow="0" w:noHBand="0" w:noVBand="1" w:val="04A0"/>
    </w:tblPr>
    <w:tblGrid>
      <w:gridCol w:w="6520"/>
      <w:gridCol w:w="3685"/>
    </w:tblGrid>
    <w:tr>
      <w:tc>
        <w:tcPr>
          <w:tcW w:type="dxa" w:w="5102"/>
          <w:tcBorders>
            <w:bottom w:val="single" w:sz="6" w:space="0" w:color="1F4E79"/>
          </w:tcBorders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168" w:lineRule="auto"/>
          </w:pPr>
          <w:r>
            <w:rPr>
              <w:rFonts w:ascii="Calibri Light" w:hAnsi="Calibri Light" w:cs="Calibri Light"/>
              <w:b w:val="0"/>
              <w:bCs w:val="0"/>
              <w:i w:val="0"/>
              <w:color w:val="203864"/>
              <w:sz w:val="4"/>
              <w:szCs w:val="4"/>
              <w:rtl/>
            </w:rPr>
          </w:r>
        </w:p>
      </w:tc>
      <w:tc>
        <w:tcPr>
          <w:tcW w:type="dxa" w:w="5102"/>
          <w:tcBorders>
            <w:bottom w:val="single" w:sz="36" w:space="0" w:color="6AA84F"/>
          </w:tcBorders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168" w:lineRule="auto"/>
          </w:pPr>
          <w:r>
            <w:rPr>
              <w:rFonts w:ascii="Calibri Light" w:hAnsi="Calibri Light" w:cs="Calibri Light"/>
              <w:b w:val="0"/>
              <w:bCs w:val="0"/>
              <w:i w:val="0"/>
              <w:color w:val="203864"/>
              <w:sz w:val="4"/>
              <w:szCs w:val="4"/>
              <w:rtl/>
            </w:rPr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bidiVisual/>
      <w:tblW w:type="auto" w:w="0"/>
      <w:tblBorders>
        <w:top w:val="none" w:sz="0" w:color="auto"/>
        <w:left w:val="none" w:sz="0" w:color="auto"/>
        <w:bottom w:val="none" w:sz="0" w:color="auto"/>
        <w:right w:val="none" w:sz="0" w:color="auto"/>
        <w:insideH w:val="none" w:sz="0" w:color="auto"/>
        <w:insideV w:val="none" w:sz="0" w:color="auto"/>
      </w:tblBorders>
      <w:tblLook w:firstColumn="1" w:firstRow="1" w:lastColumn="0" w:lastRow="0" w:noHBand="0" w:noVBand="1" w:val="04A0"/>
    </w:tblPr>
    <w:tblGrid>
      <w:gridCol w:w="3969"/>
      <w:gridCol w:w="3402"/>
      <w:gridCol w:w="2835"/>
    </w:tblGrid>
    <w:tr>
      <w:tc>
        <w:tcPr>
          <w:tcW w:type="dxa" w:w="3402"/>
          <w:tcMar>
            <w:top w:w="0" w:type="dxa"/>
            <w:left w:w="0" w:type="dxa"/>
            <w:bottom w:w="0" w:type="dxa"/>
            <w:right w:w="0" w:type="dxa"/>
          </w:tcMar>
        </w:tcPr>
        <w:p/>
        <w:tbl>
          <w:tblPr>
            <w:bidiVisual/>
            <w:tblW w:type="auto" w:w="0"/>
            <w:tbl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blBorders>
            <w:tblLook w:firstColumn="1" w:firstRow="1" w:lastColumn="0" w:lastRow="0" w:noHBand="0" w:noVBand="1" w:val="04A0"/>
          </w:tblPr>
          <w:tblGrid>
            <w:gridCol w:w="2891"/>
            <w:gridCol w:w="964"/>
          </w:tblGrid>
          <w:tr>
            <w:tc>
              <w:tcPr>
                <w:tcW w:type="dxa" w:w="1701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>
                <w:pPr>
                  <w:bidi/>
                  <w:spacing w:before="0" w:after="0" w:line="240" w:lineRule="auto"/>
                  <w:jc w:val="right"/>
                </w:pPr>
                <w:r>
                  <w:rPr>
                    <w:rFonts w:ascii="Calibri Light" w:hAnsi="Calibri Light" w:cs="Calibri Light"/>
                    <w:b/>
                    <w:bCs w:val="1"/>
                    <w:i w:val="0"/>
                    <w:color w:val="2E7D32"/>
                    <w:sz w:val="20"/>
                    <w:szCs w:val="20"/>
                    <w:rtl/>
                  </w:rPr>
                  <w:t>المملكة العربية السعودية</w:t>
                </w:r>
              </w:p>
              <w:p>
                <w:pPr>
                  <w:bidi/>
                  <w:spacing w:before="0" w:after="0" w:line="240" w:lineRule="auto"/>
                  <w:jc w:val="right"/>
                </w:pPr>
                <w:r>
                  <w:rPr>
                    <w:rFonts w:ascii="Calibri Light" w:hAnsi="Calibri Light" w:cs="Calibri Light"/>
                    <w:b/>
                    <w:bCs w:val="1"/>
                    <w:i w:val="0"/>
                    <w:color w:val="203864"/>
                    <w:sz w:val="17"/>
                    <w:szCs w:val="17"/>
                    <w:rtl/>
                  </w:rPr>
                  <w:t>وزارة التعليم</w:t>
                </w:r>
              </w:p>
              <w:p>
                <w:pPr>
                  <w:bidi/>
                  <w:spacing w:before="0" w:after="0" w:line="240" w:lineRule="auto"/>
                  <w:jc w:val="right"/>
                </w:pPr>
                <w:r>
                  <w:rPr>
                    <w:rFonts w:ascii="Calibri Light" w:hAnsi="Calibri Light" w:cs="Calibri Light"/>
                    <w:b w:val="0"/>
                    <w:bCs w:val="0"/>
                    <w:i w:val="0"/>
                    <w:color w:val="203864"/>
                    <w:sz w:val="15"/>
                    <w:szCs w:val="15"/>
                    <w:rtl/>
                  </w:rPr>
                  <w:t>الإدارة العامة للتعليم</w:t>
                </w:r>
              </w:p>
              <w:p>
                <w:pPr>
                  <w:bidi/>
                  <w:spacing w:before="0" w:after="0" w:line="240" w:lineRule="auto"/>
                  <w:jc w:val="right"/>
                </w:pPr>
                <w:r>
                  <w:rPr>
                    <w:rFonts w:ascii="Calibri Light" w:hAnsi="Calibri Light" w:cs="Calibri Light"/>
                    <w:b w:val="0"/>
                    <w:bCs w:val="0"/>
                    <w:i w:val="0"/>
                    <w:color w:val="203864"/>
                    <w:sz w:val="15"/>
                    <w:szCs w:val="15"/>
                    <w:rtl/>
                  </w:rPr>
                  <w:t>مكتب التعليم</w:t>
                </w:r>
              </w:p>
            </w:tc>
            <w:tc>
              <w:tcPr>
                <w:tcW w:type="dxa" w:w="1701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>
                <w:pPr>
                  <w:bidi/>
                  <w:spacing w:before="0" w:after="0" w:line="252" w:lineRule="auto"/>
                  <w:jc w:val="center"/>
                </w:pPr>
                <w:r>
                  <w:drawing>
                    <wp:inline xmlns:a="http://schemas.openxmlformats.org/drawingml/2006/main" xmlns:pic="http://schemas.openxmlformats.org/drawingml/2006/picture">
                      <wp:extent cx="540000" cy="540000"/>
                      <wp:docPr id="1" name="Picture 1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mark_ksa.png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40000" cy="54000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</w:tbl>
        <w:p/>
      </w:tc>
      <w:tc>
        <w:tcPr>
          <w:tcW w:type="dxa" w:w="3402"/>
          <w:tcMar>
            <w:top w:w="0" w:type="dxa"/>
            <w:left w:w="0" w:type="dxa"/>
            <w:bottom w:w="0" w:type="dxa"/>
            <w:right w:w="0" w:type="dxa"/>
          </w:tcMar>
        </w:tcPr>
        <w:p/>
        <w:tbl>
          <w:tblPr>
            <w:bidiVisual/>
            <w:tblW w:type="auto" w:w="0"/>
            <w:tbl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blBorders>
            <w:tblLook w:firstColumn="1" w:firstRow="1" w:lastColumn="0" w:lastRow="0" w:noHBand="0" w:noVBand="1" w:val="04A0"/>
          </w:tblPr>
          <w:tblGrid>
            <w:gridCol w:w="2268"/>
            <w:gridCol w:w="1020"/>
          </w:tblGrid>
          <w:tr>
            <w:tc>
              <w:tcPr>
                <w:tcW w:type="dxa" w:w="1701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>
                <w:pPr>
                  <w:bidi/>
                  <w:spacing w:before="0" w:after="0" w:line="276" w:lineRule="auto"/>
                  <w:jc w:val="right"/>
                </w:pPr>
                <w:r>
                  <w:rPr>
                    <w:rFonts w:ascii="Calibri Light" w:hAnsi="Calibri Light" w:cs="Calibri Light"/>
                    <w:b/>
                    <w:bCs w:val="1"/>
                    <w:i w:val="0"/>
                    <w:color w:val="1F4E79"/>
                    <w:sz w:val="22"/>
                    <w:szCs w:val="22"/>
                    <w:rtl/>
                  </w:rPr>
                  <w:t>مـدارس أجـيال للبنـات المـتـميزة</w:t>
                </w:r>
              </w:p>
            </w:tc>
            <w:tc>
              <w:tcPr>
                <w:tcW w:type="dxa" w:w="1701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>
                <w:pPr>
                  <w:bidi/>
                  <w:spacing w:before="0" w:after="0" w:line="252" w:lineRule="auto"/>
                  <w:jc w:val="center"/>
                </w:pPr>
                <w:r>
                  <w:drawing>
                    <wp:inline xmlns:a="http://schemas.openxmlformats.org/drawingml/2006/main" xmlns:pic="http://schemas.openxmlformats.org/drawingml/2006/picture">
                      <wp:extent cx="576000" cy="576000"/>
                      <wp:docPr id="2" name="Picture 2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mark_ajyal.png"/>
                              <pic:cNvPicPr/>
                            </pic:nvPicPr>
                            <pic:blipFill>
                              <a:blip r:embed="rId2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76000" cy="57600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</w:tbl>
        <w:p/>
      </w:tc>
      <w:tc>
        <w:tcPr>
          <w:tcW w:type="dxa" w:w="3402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bidi/>
            <w:spacing w:before="0" w:after="0" w:line="252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396000" cy="396000"/>
                <wp:docPr id="3" name="Picture 3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mark_dev.pn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6000" cy="39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  <w:p>
          <w:pPr>
            <w:bidi/>
            <w:spacing w:before="0" w:after="0" w:line="240" w:lineRule="auto"/>
            <w:jc w:val="center"/>
          </w:pPr>
          <w:r>
            <w:rPr>
              <w:rFonts w:ascii="Calibri Light" w:hAnsi="Calibri Light" w:cs="Calibri Light"/>
              <w:b/>
              <w:bCs w:val="1"/>
              <w:i w:val="0"/>
              <w:color w:val="1F4E79"/>
              <w:sz w:val="18"/>
              <w:szCs w:val="18"/>
              <w:rtl/>
            </w:rPr>
            <w:t>التنمية المتكاملة</w:t>
          </w:r>
        </w:p>
        <w:p>
          <w:pPr>
            <w:bidi/>
            <w:spacing w:before="0" w:after="0" w:line="240" w:lineRule="auto"/>
            <w:jc w:val="center"/>
          </w:pPr>
          <w:r>
            <w:rPr>
              <w:rFonts w:ascii="Calibri Light" w:hAnsi="Calibri Light" w:cs="Calibri Light"/>
              <w:b w:val="0"/>
              <w:bCs w:val="0"/>
              <w:i w:val="0"/>
              <w:color w:val="595959"/>
              <w:sz w:val="13"/>
              <w:szCs w:val="13"/>
              <w:rtl/>
            </w:rPr>
            <w:t>Integrated Developments</w:t>
          </w:r>
        </w:p>
      </w:tc>
    </w:tr>
  </w:tbl>
  <w:tbl>
    <w:tblPr>
      <w:bidiVisual/>
      <w:tblW w:type="auto" w:w="0"/>
      <w:tblBorders>
        <w:top w:val="none" w:sz="0" w:color="auto"/>
        <w:left w:val="none" w:sz="0" w:color="auto"/>
        <w:bottom w:val="none" w:sz="0" w:color="auto"/>
        <w:right w:val="none" w:sz="0" w:color="auto"/>
        <w:insideH w:val="none" w:sz="0" w:color="auto"/>
        <w:insideV w:val="none" w:sz="0" w:color="auto"/>
      </w:tblBorders>
      <w:tblLook w:firstColumn="1" w:firstRow="1" w:lastColumn="0" w:lastRow="0" w:noHBand="0" w:noVBand="1" w:val="04A0"/>
    </w:tblPr>
    <w:tblGrid>
      <w:gridCol w:w="1984"/>
      <w:gridCol w:w="5669"/>
      <w:gridCol w:w="2551"/>
    </w:tblGrid>
    <w:tr>
      <w:tc>
        <w:tcPr>
          <w:tcW w:type="dxa" w:w="3402"/>
          <w:tcBorders>
            <w:bottom w:val="single" w:sz="6" w:space="0" w:color="A6A6A6"/>
          </w:tcBorders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168" w:lineRule="auto"/>
          </w:pPr>
          <w:r>
            <w:rPr>
              <w:rFonts w:ascii="Calibri Light" w:hAnsi="Calibri Light" w:cs="Calibri Light"/>
              <w:b w:val="0"/>
              <w:bCs w:val="0"/>
              <w:i w:val="0"/>
              <w:color w:val="203864"/>
              <w:sz w:val="4"/>
              <w:szCs w:val="4"/>
              <w:rtl/>
            </w:rPr>
          </w:r>
        </w:p>
      </w:tc>
      <w:tc>
        <w:tcPr>
          <w:tcW w:type="dxa" w:w="3402"/>
          <w:tcBorders>
            <w:bottom w:val="single" w:sz="36" w:space="0" w:color="6AA84F"/>
          </w:tcBorders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168" w:lineRule="auto"/>
          </w:pPr>
          <w:r>
            <w:rPr>
              <w:rFonts w:ascii="Calibri Light" w:hAnsi="Calibri Light" w:cs="Calibri Light"/>
              <w:b w:val="0"/>
              <w:bCs w:val="0"/>
              <w:i w:val="0"/>
              <w:color w:val="203864"/>
              <w:sz w:val="4"/>
              <w:szCs w:val="4"/>
              <w:rtl/>
            </w:rPr>
          </w:r>
        </w:p>
      </w:tc>
      <w:tc>
        <w:tcPr>
          <w:tcW w:type="dxa" w:w="3402"/>
          <w:tcBorders>
            <w:bottom w:val="single" w:sz="6" w:space="0" w:color="1F4E79"/>
          </w:tcBorders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168" w:lineRule="auto"/>
          </w:pPr>
          <w:r>
            <w:rPr>
              <w:rFonts w:ascii="Calibri Light" w:hAnsi="Calibri Light" w:cs="Calibri Light"/>
              <w:b w:val="0"/>
              <w:bCs w:val="0"/>
              <w:i w:val="0"/>
              <w:color w:val="203864"/>
              <w:sz w:val="4"/>
              <w:szCs w:val="4"/>
              <w:rtl/>
            </w:rPr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 Light" w:hAnsi="Calibri Light" w:cs="Calibri Light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5.png"/><Relationship Id="rId3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الإضاءة الثامنة: متابعة وتقويم الالتزام بقواعد السلوك وتطوير الإجراءات الوقائية</dc:title>
  <dc:subject>نموذج معايير التقويم والاعتماد المدرسي 2026 — نواتج التعلم</dc:subject>
  <dc:creator>المرشد الطلابي</dc:creator>
  <cp:keywords/>
  <dc:description>المؤشر: يلتزم المتعلمون بقواعد السلوك والانضباط المدرسي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