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الالتزام بقواعد السلوك والانضباط المدرسي — الإضاءات الثمانية</w:t>
            </w:r>
          </w:p>
        </w:tc>
      </w:tr>
    </w:tbl>
    <w:tbl>
      <w:tblPr>
        <w:bidiVisual/>
        <w:tblW w:type="auto" w:w="0"/>
        <w:jc w:val="center"/>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5103"/>
        <w:gridCol w:w="5103"/>
      </w:tblGrid>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المجال</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نواتج التعلم</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المعيار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التطور الشخصي والصحي والاجتماعي</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المؤشر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9"/>
                <w:szCs w:val="19"/>
                <w:rtl/>
              </w:rPr>
              <w:t>يلتزم المتعلمون بقواعد السلوك والانضباط المدرسي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عن هذه الوثيقة</w:t>
      </w:r>
    </w:p>
    <w:p>
      <w:pPr>
        <w:bidi/>
        <w:spacing w:before="0" w:after="60" w:line="283" w:lineRule="auto"/>
        <w:jc w:val="right"/>
      </w:pPr>
      <w:r>
        <w:rPr>
          <w:rFonts w:ascii="Calibri Light" w:hAnsi="Calibri Light" w:cs="Calibri Light"/>
          <w:b w:val="0"/>
          <w:bCs w:val="0"/>
          <w:i w:val="0"/>
          <w:color w:val="203864"/>
          <w:sz w:val="21"/>
          <w:szCs w:val="21"/>
          <w:rtl/>
        </w:rPr>
        <w:t>دليل تطبيقي موحّد للمرشد الطلابي يجمع الإضاءات الثمانية للمؤشر «يلتزم المتعلمون بقواعد السلوك والانضباط المدرسي»، مطوّرة وممتدّة إلى أدوار وخطوات ومؤشرات نجاح وسيناريوهات تطبيقية، وفق متطلبات نموذج معايير التقويم والاعتماد المدرسي للعام 2026م. كل إضاءة في صفحة مستقلة بعنوانها.</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8"/>
                <w:szCs w:val="18"/>
                <w:rtl/>
              </w:rPr>
              <w:t>بيانات التوثيق (تُستكمل يدويًا):</w:t>
            </w:r>
          </w:p>
          <w:p>
            <w:pPr>
              <w:bidi/>
              <w:spacing w:before="0" w:after="20" w:line="264" w:lineRule="auto"/>
              <w:jc w:val="right"/>
            </w:pPr>
            <w:r>
              <w:rPr>
                <w:rFonts w:ascii="Calibri Light" w:hAnsi="Calibri Light" w:cs="Calibri Light"/>
                <w:b w:val="0"/>
                <w:bCs w:val="0"/>
                <w:i w:val="0"/>
                <w:color w:val="203864"/>
                <w:sz w:val="19"/>
                <w:szCs w:val="19"/>
                <w:rtl/>
              </w:rPr>
              <w:t>المدرسة: ......................................    |    المرشد الطلابي: ......................................    |    التاريخ: ......... / ......... / 1447هـ</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فهرس الإضاءات الثمانية</w:t>
      </w:r>
    </w:p>
    <w:p>
      <w:pPr>
        <w:bidi/>
        <w:spacing w:before="0" w:after="60" w:line="269" w:lineRule="auto"/>
        <w:ind w:right="397" w:hanging="397"/>
        <w:jc w:val="right"/>
      </w:pPr>
      <w:r>
        <w:rPr>
          <w:rFonts w:ascii="Calibri Light" w:hAnsi="Calibri Light" w:cs="Calibri Light"/>
          <w:b/>
          <w:bCs w:val="1"/>
          <w:i w:val="0"/>
          <w:color w:val="6AA84F"/>
          <w:sz w:val="21"/>
          <w:szCs w:val="21"/>
          <w:rtl/>
        </w:rPr>
        <w:t xml:space="preserve">الإضاءة 1 </w:t>
      </w:r>
      <w:r>
        <w:rPr>
          <w:rFonts w:ascii="Calibri Light" w:hAnsi="Calibri Light" w:cs="Calibri Light"/>
          <w:b w:val="0"/>
          <w:bCs w:val="0"/>
          <w:i w:val="0"/>
          <w:color w:val="203864"/>
          <w:sz w:val="21"/>
          <w:szCs w:val="21"/>
          <w:rtl/>
        </w:rPr>
        <w:t>— توحيد الأداء في جميع مؤشرات معيار قيادة العملية التعليمية</w:t>
      </w:r>
    </w:p>
    <w:p>
      <w:pPr>
        <w:bidi/>
        <w:spacing w:before="0" w:after="60" w:line="269" w:lineRule="auto"/>
        <w:ind w:right="397" w:hanging="397"/>
        <w:jc w:val="right"/>
      </w:pPr>
      <w:r>
        <w:rPr>
          <w:rFonts w:ascii="Calibri Light" w:hAnsi="Calibri Light" w:cs="Calibri Light"/>
          <w:b/>
          <w:bCs w:val="1"/>
          <w:i w:val="0"/>
          <w:color w:val="6AA84F"/>
          <w:sz w:val="21"/>
          <w:szCs w:val="21"/>
          <w:rtl/>
        </w:rPr>
        <w:t xml:space="preserve">الإضاءة 2 </w:t>
      </w:r>
      <w:r>
        <w:rPr>
          <w:rFonts w:ascii="Calibri Light" w:hAnsi="Calibri Light" w:cs="Calibri Light"/>
          <w:b w:val="0"/>
          <w:bCs w:val="0"/>
          <w:i w:val="0"/>
          <w:color w:val="203864"/>
          <w:sz w:val="21"/>
          <w:szCs w:val="21"/>
          <w:rtl/>
        </w:rPr>
        <w:t>— تعزيز الوعي بالسلوك والانضباط عبر البرامج التوعوية المنظمة</w:t>
      </w:r>
    </w:p>
    <w:p>
      <w:pPr>
        <w:bidi/>
        <w:spacing w:before="0" w:after="60" w:line="269" w:lineRule="auto"/>
        <w:ind w:right="397" w:hanging="397"/>
        <w:jc w:val="right"/>
      </w:pPr>
      <w:r>
        <w:rPr>
          <w:rFonts w:ascii="Calibri Light" w:hAnsi="Calibri Light" w:cs="Calibri Light"/>
          <w:b/>
          <w:bCs w:val="1"/>
          <w:i w:val="0"/>
          <w:color w:val="6AA84F"/>
          <w:sz w:val="21"/>
          <w:szCs w:val="21"/>
          <w:rtl/>
        </w:rPr>
        <w:t xml:space="preserve">الإضاءة 3 </w:t>
      </w:r>
      <w:r>
        <w:rPr>
          <w:rFonts w:ascii="Calibri Light" w:hAnsi="Calibri Light" w:cs="Calibri Light"/>
          <w:b w:val="0"/>
          <w:bCs w:val="0"/>
          <w:i w:val="0"/>
          <w:color w:val="203864"/>
          <w:sz w:val="21"/>
          <w:szCs w:val="21"/>
          <w:rtl/>
        </w:rPr>
        <w:t>— تضمين الالتزام بقواعد السلوك والمواظبة في الخطة التشغيلية</w:t>
      </w:r>
    </w:p>
    <w:p>
      <w:pPr>
        <w:bidi/>
        <w:spacing w:before="0" w:after="60" w:line="269" w:lineRule="auto"/>
        <w:ind w:right="397" w:hanging="397"/>
        <w:jc w:val="right"/>
      </w:pPr>
      <w:r>
        <w:rPr>
          <w:rFonts w:ascii="Calibri Light" w:hAnsi="Calibri Light" w:cs="Calibri Light"/>
          <w:b/>
          <w:bCs w:val="1"/>
          <w:i w:val="0"/>
          <w:color w:val="6AA84F"/>
          <w:sz w:val="21"/>
          <w:szCs w:val="21"/>
          <w:rtl/>
        </w:rPr>
        <w:t xml:space="preserve">الإضاءة 4 </w:t>
      </w:r>
      <w:r>
        <w:rPr>
          <w:rFonts w:ascii="Calibri Light" w:hAnsi="Calibri Light" w:cs="Calibri Light"/>
          <w:b w:val="0"/>
          <w:bCs w:val="0"/>
          <w:i w:val="0"/>
          <w:color w:val="203864"/>
          <w:sz w:val="21"/>
          <w:szCs w:val="21"/>
          <w:rtl/>
        </w:rPr>
        <w:t>— المتابعة اليومية للحضور والانصراف والسلوك ومعالجة الانحرافات</w:t>
      </w:r>
    </w:p>
    <w:p>
      <w:pPr>
        <w:bidi/>
        <w:spacing w:before="0" w:after="60" w:line="269" w:lineRule="auto"/>
        <w:ind w:right="397" w:hanging="397"/>
        <w:jc w:val="right"/>
      </w:pPr>
      <w:r>
        <w:rPr>
          <w:rFonts w:ascii="Calibri Light" w:hAnsi="Calibri Light" w:cs="Calibri Light"/>
          <w:b/>
          <w:bCs w:val="1"/>
          <w:i w:val="0"/>
          <w:color w:val="6AA84F"/>
          <w:sz w:val="21"/>
          <w:szCs w:val="21"/>
          <w:rtl/>
        </w:rPr>
        <w:t xml:space="preserve">الإضاءة 5 </w:t>
      </w:r>
      <w:r>
        <w:rPr>
          <w:rFonts w:ascii="Calibri Light" w:hAnsi="Calibri Light" w:cs="Calibri Light"/>
          <w:b w:val="0"/>
          <w:bCs w:val="0"/>
          <w:i w:val="0"/>
          <w:color w:val="203864"/>
          <w:sz w:val="21"/>
          <w:szCs w:val="21"/>
          <w:rtl/>
        </w:rPr>
        <w:t>— تعزيز السلوك الإيجابي عبر برامج التحفيز والتكريم</w:t>
      </w:r>
    </w:p>
    <w:p>
      <w:pPr>
        <w:bidi/>
        <w:spacing w:before="0" w:after="60" w:line="269" w:lineRule="auto"/>
        <w:ind w:right="397" w:hanging="397"/>
        <w:jc w:val="right"/>
      </w:pPr>
      <w:r>
        <w:rPr>
          <w:rFonts w:ascii="Calibri Light" w:hAnsi="Calibri Light" w:cs="Calibri Light"/>
          <w:b/>
          <w:bCs w:val="1"/>
          <w:i w:val="0"/>
          <w:color w:val="6AA84F"/>
          <w:sz w:val="21"/>
          <w:szCs w:val="21"/>
          <w:rtl/>
        </w:rPr>
        <w:t xml:space="preserve">الإضاءة 6 </w:t>
      </w:r>
      <w:r>
        <w:rPr>
          <w:rFonts w:ascii="Calibri Light" w:hAnsi="Calibri Light" w:cs="Calibri Light"/>
          <w:b w:val="0"/>
          <w:bCs w:val="0"/>
          <w:i w:val="0"/>
          <w:color w:val="203864"/>
          <w:sz w:val="21"/>
          <w:szCs w:val="21"/>
          <w:rtl/>
        </w:rPr>
        <w:t>— إجراءات عادلة لمعالجة المخالفات وتفعيل الجلسات الإرشادية</w:t>
      </w:r>
    </w:p>
    <w:p>
      <w:pPr>
        <w:bidi/>
        <w:spacing w:before="0" w:after="60" w:line="269" w:lineRule="auto"/>
        <w:ind w:right="397" w:hanging="397"/>
        <w:jc w:val="right"/>
      </w:pPr>
      <w:r>
        <w:rPr>
          <w:rFonts w:ascii="Calibri Light" w:hAnsi="Calibri Light" w:cs="Calibri Light"/>
          <w:b/>
          <w:bCs w:val="1"/>
          <w:i w:val="0"/>
          <w:color w:val="6AA84F"/>
          <w:sz w:val="21"/>
          <w:szCs w:val="21"/>
          <w:rtl/>
        </w:rPr>
        <w:t xml:space="preserve">الإضاءة 7 </w:t>
      </w:r>
      <w:r>
        <w:rPr>
          <w:rFonts w:ascii="Calibri Light" w:hAnsi="Calibri Light" w:cs="Calibri Light"/>
          <w:b w:val="0"/>
          <w:bCs w:val="0"/>
          <w:i w:val="0"/>
          <w:color w:val="203864"/>
          <w:sz w:val="21"/>
          <w:szCs w:val="21"/>
          <w:rtl/>
        </w:rPr>
        <w:t>— تهيئة بيئة مدرسية منظمة وآمنة تعزز الانضباط المدرسي</w:t>
      </w:r>
    </w:p>
    <w:p>
      <w:pPr>
        <w:bidi/>
        <w:spacing w:before="0" w:after="60" w:line="269" w:lineRule="auto"/>
        <w:ind w:right="397" w:hanging="397"/>
        <w:jc w:val="right"/>
      </w:pPr>
      <w:r>
        <w:rPr>
          <w:rFonts w:ascii="Calibri Light" w:hAnsi="Calibri Light" w:cs="Calibri Light"/>
          <w:b/>
          <w:bCs w:val="1"/>
          <w:i w:val="0"/>
          <w:color w:val="6AA84F"/>
          <w:sz w:val="21"/>
          <w:szCs w:val="21"/>
          <w:rtl/>
        </w:rPr>
        <w:t xml:space="preserve">الإضاءة 8 </w:t>
      </w:r>
      <w:r>
        <w:rPr>
          <w:rFonts w:ascii="Calibri Light" w:hAnsi="Calibri Light" w:cs="Calibri Light"/>
          <w:b w:val="0"/>
          <w:bCs w:val="0"/>
          <w:i w:val="0"/>
          <w:color w:val="203864"/>
          <w:sz w:val="21"/>
          <w:szCs w:val="21"/>
          <w:rtl/>
        </w:rPr>
        <w:t>— متابعة وتقويم الالتزام بقواعد السلوك وتطوير الإجراءات الوقائية</w:t>
      </w:r>
    </w:p>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7"/>
                <w:szCs w:val="17"/>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20" w:line="264" w:lineRule="auto"/>
              <w:jc w:val="right"/>
            </w:pPr>
            <w:r>
              <w:rPr>
                <w:rFonts w:ascii="Calibri Light" w:hAnsi="Calibri Light" w:cs="Calibri Light"/>
                <w:b w:val="0"/>
                <w:bCs w:val="0"/>
                <w:i w:val="0"/>
                <w:color w:val="203864"/>
                <w:sz w:val="17"/>
                <w:szCs w:val="17"/>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الإضاءة الأولى: توحيد الأداء في جميع مؤشرات معيار قيادة العملية التعليمية</w:t>
            </w:r>
          </w:p>
        </w:tc>
      </w:tr>
    </w:tbl>
    <w:tbl>
      <w:tblPr>
        <w:bidiVisual/>
        <w:tblW w:type="auto" w:w="0"/>
        <w:jc w:val="center"/>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5103"/>
        <w:gridCol w:w="5103"/>
      </w:tblGrid>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المجال</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نواتج التعلم</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المعيار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التطور الشخصي والصحي والاجتماعي</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المؤشر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9"/>
                <w:szCs w:val="19"/>
                <w:rtl/>
              </w:rPr>
              <w:t>يلتزم المتعلمون بقواعد السلوك والانضباط المدرسي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الفكرة المحورية</w:t>
      </w:r>
    </w:p>
    <w:p>
      <w:pPr>
        <w:bidi/>
        <w:spacing w:before="0" w:after="60" w:line="276" w:lineRule="auto"/>
        <w:jc w:val="right"/>
      </w:pPr>
      <w:r>
        <w:rPr>
          <w:rFonts w:ascii="Calibri Light" w:hAnsi="Calibri Light" w:cs="Calibri Light"/>
          <w:b w:val="0"/>
          <w:bCs w:val="0"/>
          <w:i w:val="0"/>
          <w:color w:val="203864"/>
          <w:sz w:val="21"/>
          <w:szCs w:val="21"/>
          <w:rtl/>
        </w:rPr>
        <w:t>أن يسير العمل الإرشادي والسلوكي في المدرسة وفق مسارٍ موحّد يربط أداء المرشد الطلابي بمؤشرات قيادة العملية التعليمية؛ فتتحول الأدوار إلى ممارسات موحدة في جميع الفصول والمراحل، تُقاس بمؤشرات واضحة تضمن العدالة والشفافية واستمرارية الجودة.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إثراء أدوار المرشد الطلابي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دليل الإجراءات الموحّد: </w:t>
      </w:r>
      <w:r>
        <w:rPr>
          <w:rFonts w:ascii="Calibri Light" w:hAnsi="Calibri Light" w:cs="Calibri Light"/>
          <w:b w:val="0"/>
          <w:bCs w:val="0"/>
          <w:i w:val="0"/>
          <w:color w:val="203864"/>
          <w:sz w:val="20"/>
          <w:szCs w:val="20"/>
          <w:rtl/>
        </w:rPr>
        <w:t>يشارك المرشد الطلابي في إعداد دليل إرشادي موحّد يحدد آلية التعامل مع كل مؤشر، ويُوزَّع على المعلمين والوكلاء لضمان تطبيق موحد.</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ربط الأهداف بالمؤشرات: </w:t>
      </w:r>
      <w:r>
        <w:rPr>
          <w:rFonts w:ascii="Calibri Light" w:hAnsi="Calibri Light" w:cs="Calibri Light"/>
          <w:b w:val="0"/>
          <w:bCs w:val="0"/>
          <w:i w:val="0"/>
          <w:color w:val="203864"/>
          <w:sz w:val="20"/>
          <w:szCs w:val="20"/>
          <w:rtl/>
        </w:rPr>
        <w:t>تُترجم أهداف الإرشاد إلى مؤشرات قياس (نسبة الالتزام، عدد الجلسات، معدلات الغياب والتأخر) مرتبطة بمؤشرات معيار قيادة العملية التعليمية.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تنسيق الأدوار الدوري: </w:t>
      </w:r>
      <w:r>
        <w:rPr>
          <w:rFonts w:ascii="Calibri Light" w:hAnsi="Calibri Light" w:cs="Calibri Light"/>
          <w:b w:val="0"/>
          <w:bCs w:val="0"/>
          <w:i w:val="0"/>
          <w:color w:val="203864"/>
          <w:sz w:val="20"/>
          <w:szCs w:val="20"/>
          <w:rtl/>
        </w:rPr>
        <w:t>عقد لقاءات نصف شهرية مع وكلاء المدرسة والمعلمين لتوحيد الفهم والتطبيق، وتبادل الممارسات الناجحة بين الفصول.</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لوحة الأداء الموحّدة: </w:t>
      </w:r>
      <w:r>
        <w:rPr>
          <w:rFonts w:ascii="Calibri Light" w:hAnsi="Calibri Light" w:cs="Calibri Light"/>
          <w:b w:val="0"/>
          <w:bCs w:val="0"/>
          <w:i w:val="0"/>
          <w:color w:val="203864"/>
          <w:sz w:val="20"/>
          <w:szCs w:val="20"/>
          <w:rtl/>
        </w:rPr>
        <w:t>إعداد لوحة إرشادية موحدة تعرض المؤشرات الأساسية لحظيًا أمام جميع الأطراف المعنية لدعم القرار المبني على البيانات.</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خطوات التنفيذ الموصى بها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1 - </w:t>
      </w:r>
      <w:r>
        <w:rPr>
          <w:rFonts w:ascii="Calibri Light" w:hAnsi="Calibri Light" w:cs="Calibri Light"/>
          <w:b w:val="0"/>
          <w:bCs w:val="0"/>
          <w:i w:val="0"/>
          <w:color w:val="203864"/>
          <w:sz w:val="20"/>
          <w:szCs w:val="20"/>
          <w:rtl/>
        </w:rPr>
        <w:t>تحليل مؤشرات المعيار وربط كل مؤشر بدور إرشادي محدد عبر «مصفوفة الأدوار والمسؤوليات».</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2 - </w:t>
      </w:r>
      <w:r>
        <w:rPr>
          <w:rFonts w:ascii="Calibri Light" w:hAnsi="Calibri Light" w:cs="Calibri Light"/>
          <w:b w:val="0"/>
          <w:bCs w:val="0"/>
          <w:i w:val="0"/>
          <w:color w:val="203864"/>
          <w:sz w:val="20"/>
          <w:szCs w:val="20"/>
          <w:rtl/>
        </w:rPr>
        <w:t>إعداد دليل الإجراءات ونماذج التوثيق الموحدة (سجل السلوك، محضر الجلسة الإرشادية، نموذج التواصل مع الأسرة).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3 - </w:t>
      </w:r>
      <w:r>
        <w:rPr>
          <w:rFonts w:ascii="Calibri Light" w:hAnsi="Calibri Light" w:cs="Calibri Light"/>
          <w:b w:val="0"/>
          <w:bCs w:val="0"/>
          <w:i w:val="0"/>
          <w:color w:val="203864"/>
          <w:sz w:val="20"/>
          <w:szCs w:val="20"/>
          <w:rtl/>
        </w:rPr>
        <w:t>عقد ورشة افتتاحية للهيئة التعليمية لتوحيد الفهم والتطبيق وتدريبهم على النماذج الموحدة.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4 - </w:t>
      </w:r>
      <w:r>
        <w:rPr>
          <w:rFonts w:ascii="Calibri Light" w:hAnsi="Calibri Light" w:cs="Calibri Light"/>
          <w:b w:val="0"/>
          <w:bCs w:val="0"/>
          <w:i w:val="0"/>
          <w:color w:val="203864"/>
          <w:sz w:val="20"/>
          <w:szCs w:val="20"/>
          <w:rtl/>
        </w:rPr>
        <w:t>المتابعة الشهرية للتطبيق الموحد وإصدار تقرير تحسيني قصير بمؤشرات كمية وشواهد.</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رابعًا: مؤشرات نجاح التحقيق</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تطبيق الممارسات الموحّدة في جميع الفصول والمراحل دون استثناء.</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اكتمال نماذج التوثيق الموحّدة بنسبة تتجاوز 95%.</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ارتفاع رضا المعلمين عن وضوح الأدوار إلى أكثر من 85%.</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خامسًا: سيناريو تطبيقي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يرصد المرشد تباينًا في تطبيق إجراءات التأخر بين الفصول؛ فيوحّد النماذج، ويعقد لقاءً قصيرًا مع المعلمين، ويقارن المؤشرات أسبوعيًا حتى يتجانس الأداء ويصحّ التقويم.</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7"/>
                <w:szCs w:val="17"/>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20" w:line="264" w:lineRule="auto"/>
              <w:jc w:val="right"/>
            </w:pPr>
            <w:r>
              <w:rPr>
                <w:rFonts w:ascii="Calibri Light" w:hAnsi="Calibri Light" w:cs="Calibri Light"/>
                <w:b w:val="0"/>
                <w:bCs w:val="0"/>
                <w:i w:val="0"/>
                <w:color w:val="203864"/>
                <w:sz w:val="17"/>
                <w:szCs w:val="17"/>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الإضاءة الثانية: تعزيز الوعي بالسلوك والانضباط عبر البرامج التوعوية المنظمة</w:t>
            </w:r>
          </w:p>
        </w:tc>
      </w:tr>
    </w:tbl>
    <w:tbl>
      <w:tblPr>
        <w:bidiVisual/>
        <w:tblW w:type="auto" w:w="0"/>
        <w:jc w:val="center"/>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5103"/>
        <w:gridCol w:w="5103"/>
      </w:tblGrid>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المجال</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نواتج التعلم</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المعيار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التطور الشخصي والصحي والاجتماعي</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المؤشر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9"/>
                <w:szCs w:val="19"/>
                <w:rtl/>
              </w:rPr>
              <w:t>يلتزم المتعلمون بقواعد السلوك والانضباط المدرسي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الفكرة المحورية</w:t>
      </w:r>
    </w:p>
    <w:p>
      <w:pPr>
        <w:bidi/>
        <w:spacing w:before="0" w:after="60" w:line="276" w:lineRule="auto"/>
        <w:jc w:val="right"/>
      </w:pPr>
      <w:r>
        <w:rPr>
          <w:rFonts w:ascii="Calibri Light" w:hAnsi="Calibri Light" w:cs="Calibri Light"/>
          <w:b w:val="0"/>
          <w:bCs w:val="0"/>
          <w:i w:val="0"/>
          <w:color w:val="203864"/>
          <w:sz w:val="21"/>
          <w:szCs w:val="21"/>
          <w:rtl/>
        </w:rPr>
        <w:t>أن يسبق الوعي الجزاء؛ برامج توعوية مخططة تشرح لائحة قواعد السلوك والمواظبة للمتعلمين والهيئة التعليمية وأولياء الأمور بلغة واضحة ومدخلات متجددة، فتترسخ القيم وتُرسَّخ الالتزامات قبل أي إجراء جزائي.</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إثراء أدوار المرشد الطلابي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برنامج «وعي وانضباط» السنوي: </w:t>
      </w:r>
      <w:r>
        <w:rPr>
          <w:rFonts w:ascii="Calibri Light" w:hAnsi="Calibri Light" w:cs="Calibri Light"/>
          <w:b w:val="0"/>
          <w:bCs w:val="0"/>
          <w:i w:val="0"/>
          <w:color w:val="203864"/>
          <w:sz w:val="20"/>
          <w:szCs w:val="20"/>
          <w:rtl/>
        </w:rPr>
        <w:t>خطة توعوية متدرجة (لقاءات، بطاقات إرشادية، مقاطع قصيرة، مسابقات) موجهة للمتعلمين في مختلف المراحل.</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توعية أولياء الأمور: </w:t>
      </w:r>
      <w:r>
        <w:rPr>
          <w:rFonts w:ascii="Calibri Light" w:hAnsi="Calibri Light" w:cs="Calibri Light"/>
          <w:b w:val="0"/>
          <w:bCs w:val="0"/>
          <w:i w:val="0"/>
          <w:color w:val="203864"/>
          <w:sz w:val="20"/>
          <w:szCs w:val="20"/>
          <w:rtl/>
        </w:rPr>
        <w:t>لقاء بداية العام، ونشرة القواعد، وقناة تواصل فعّالة (مجموعة تواصل/منصة) لشرح اللوائح وتوضيح التوقعات.</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حقيبة توعوية للهيئة التعليمية: </w:t>
      </w:r>
      <w:r>
        <w:rPr>
          <w:rFonts w:ascii="Calibri Light" w:hAnsi="Calibri Light" w:cs="Calibri Light"/>
          <w:b w:val="0"/>
          <w:bCs w:val="0"/>
          <w:i w:val="0"/>
          <w:color w:val="203864"/>
          <w:sz w:val="20"/>
          <w:szCs w:val="20"/>
          <w:rtl/>
        </w:rPr>
        <w:t>إرشادات موحّدة للغة التعامل الإيجابي وإدارة الفصل، ونشر الممارسات الناجحة بين المعلمين.</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الحملات والمناسبات: </w:t>
      </w:r>
      <w:r>
        <w:rPr>
          <w:rFonts w:ascii="Calibri Light" w:hAnsi="Calibri Light" w:cs="Calibri Light"/>
          <w:b w:val="0"/>
          <w:bCs w:val="0"/>
          <w:i w:val="0"/>
          <w:color w:val="203864"/>
          <w:sz w:val="20"/>
          <w:szCs w:val="20"/>
          <w:rtl/>
        </w:rPr>
        <w:t>أسبوع الانضباط المدرسي، والطابور التوعوي، والفعاليات المرتبطة بالصحة النفسية والسلوك الإيجابي.</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خطوات التنفيذ الموصى بها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1 - </w:t>
      </w:r>
      <w:r>
        <w:rPr>
          <w:rFonts w:ascii="Calibri Light" w:hAnsi="Calibri Light" w:cs="Calibri Light"/>
          <w:b w:val="0"/>
          <w:bCs w:val="0"/>
          <w:i w:val="0"/>
          <w:color w:val="203864"/>
          <w:sz w:val="20"/>
          <w:szCs w:val="20"/>
          <w:rtl/>
        </w:rPr>
        <w:t>تحليل الاحتياج التوعوي باستبيان قصير للمعلمين والمتعلمين ورصد الفجوات المعرفية والسلوكية.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2 - </w:t>
      </w:r>
      <w:r>
        <w:rPr>
          <w:rFonts w:ascii="Calibri Light" w:hAnsi="Calibri Light" w:cs="Calibri Light"/>
          <w:b w:val="0"/>
          <w:bCs w:val="0"/>
          <w:i w:val="0"/>
          <w:color w:val="203864"/>
          <w:sz w:val="20"/>
          <w:szCs w:val="20"/>
          <w:rtl/>
        </w:rPr>
        <w:t>بناء الخطة التوعوية بمؤشرات حضور وتفاعل، وتوزيعها على فترات العام الدراسي.</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3 - </w:t>
      </w:r>
      <w:r>
        <w:rPr>
          <w:rFonts w:ascii="Calibri Light" w:hAnsi="Calibri Light" w:cs="Calibri Light"/>
          <w:b w:val="0"/>
          <w:bCs w:val="0"/>
          <w:i w:val="0"/>
          <w:color w:val="203864"/>
          <w:sz w:val="20"/>
          <w:szCs w:val="20"/>
          <w:rtl/>
        </w:rPr>
        <w:t>التنفيذ بالشراكة مع الوكلاء والإعلام المدرسي والقادة الطلابيين.</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4 - </w:t>
      </w:r>
      <w:r>
        <w:rPr>
          <w:rFonts w:ascii="Calibri Light" w:hAnsi="Calibri Light" w:cs="Calibri Light"/>
          <w:b w:val="0"/>
          <w:bCs w:val="0"/>
          <w:i w:val="0"/>
          <w:color w:val="203864"/>
          <w:sz w:val="20"/>
          <w:szCs w:val="20"/>
          <w:rtl/>
        </w:rPr>
        <w:t>قياس الأثر باختبار معرفي قصير (قبل/بعد) وملاحظة سلوكية ميدانية.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رابعًا: مؤشرات نجاح التحقيق</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وصول الرسالة التوعوية إلى أكثر من 90% من المتعلمين والأسر.</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انخفاض المخالفات السلوكية المتكررة خلال الفصل الدراسي.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تفاعل أولياء الأمور مع اللقاءات والنشرات التوعوية.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خامسًا: سيناريو تطبيقي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قبل بداية الفصل الثاني يطلق المرشد أسبوع «وعي وانضباط» بلقاءات قصيرة وبطاقات ومسابقات؛ فتتباطأ المخالفات المتكررة، وتزداد مشاركة الأسر في اللقاءات التوعوية.</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7"/>
                <w:szCs w:val="17"/>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20" w:line="264" w:lineRule="auto"/>
              <w:jc w:val="right"/>
            </w:pPr>
            <w:r>
              <w:rPr>
                <w:rFonts w:ascii="Calibri Light" w:hAnsi="Calibri Light" w:cs="Calibri Light"/>
                <w:b w:val="0"/>
                <w:bCs w:val="0"/>
                <w:i w:val="0"/>
                <w:color w:val="203864"/>
                <w:sz w:val="17"/>
                <w:szCs w:val="17"/>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الإضاءة الثالثة: تضمين الالتزام بقواعد السلوك والمواظبة في الخطة التشغيلية</w:t>
            </w:r>
          </w:p>
        </w:tc>
      </w:tr>
    </w:tbl>
    <w:tbl>
      <w:tblPr>
        <w:bidiVisual/>
        <w:tblW w:type="auto" w:w="0"/>
        <w:jc w:val="center"/>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5103"/>
        <w:gridCol w:w="5103"/>
      </w:tblGrid>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المجال</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نواتج التعلم</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المعيار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التطور الشخصي والصحي والاجتماعي</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المؤشر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9"/>
                <w:szCs w:val="19"/>
                <w:rtl/>
              </w:rPr>
              <w:t>يلتزم المتعلمون بقواعد السلوك والانضباط المدرسي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الفكرة المحورية</w:t>
      </w:r>
    </w:p>
    <w:p>
      <w:pPr>
        <w:bidi/>
        <w:spacing w:before="0" w:after="60" w:line="276" w:lineRule="auto"/>
        <w:jc w:val="right"/>
      </w:pPr>
      <w:r>
        <w:rPr>
          <w:rFonts w:ascii="Calibri Light" w:hAnsi="Calibri Light" w:cs="Calibri Light"/>
          <w:b w:val="0"/>
          <w:bCs w:val="0"/>
          <w:i w:val="0"/>
          <w:color w:val="203864"/>
          <w:sz w:val="21"/>
          <w:szCs w:val="21"/>
          <w:rtl/>
        </w:rPr>
        <w:t>أن يتحول الالتزام بالسلوك والمواظبة من مطلبٍ عارض إلى بندٍ منظَّم في الخطة التشغيلية وبرامج المدرسة وأنشطتها، بأهدافٍ ومسؤولياتٍ وجدولٍ زمنيٍّ ومؤشرات، يتابع تنفيذها جميع منسوبي المدرسة.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إثراء أدوار المرشد الطلابي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بنود إرشادية في الخطة: </w:t>
      </w:r>
      <w:r>
        <w:rPr>
          <w:rFonts w:ascii="Calibri Light" w:hAnsi="Calibri Light" w:cs="Calibri Light"/>
          <w:b w:val="0"/>
          <w:bCs w:val="0"/>
          <w:i w:val="0"/>
          <w:color w:val="203864"/>
          <w:sz w:val="20"/>
          <w:szCs w:val="20"/>
          <w:rtl/>
        </w:rPr>
        <w:t>صياغة بنود السلوك والمواظبة في الخطة التشغيلية (أهداف، أنشطة، مؤشرات، مسؤول، زمن) وربطها برؤية المدرسة.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دمج المهارات في الأنشطة: </w:t>
      </w:r>
      <w:r>
        <w:rPr>
          <w:rFonts w:ascii="Calibri Light" w:hAnsi="Calibri Light" w:cs="Calibri Light"/>
          <w:b w:val="0"/>
          <w:bCs w:val="0"/>
          <w:i w:val="0"/>
          <w:color w:val="203864"/>
          <w:sz w:val="20"/>
          <w:szCs w:val="20"/>
          <w:rtl/>
        </w:rPr>
        <w:t>إدماج المهارات السلوكية والانضباطية في الأنشطة الصفية واللاصفية (النوادي، خدمة المجتمع، الطابور الصباحي).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الجدولة والتقويم: </w:t>
      </w:r>
      <w:r>
        <w:rPr>
          <w:rFonts w:ascii="Calibri Light" w:hAnsi="Calibri Light" w:cs="Calibri Light"/>
          <w:b w:val="0"/>
          <w:bCs w:val="0"/>
          <w:i w:val="0"/>
          <w:color w:val="203864"/>
          <w:sz w:val="20"/>
          <w:szCs w:val="20"/>
          <w:rtl/>
        </w:rPr>
        <w:t>إدراج تقويم فصلي لأنشطة السلوك الإيجابي ضمن التقويم التشغيلي العام للمدرسة.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التوثيق والشواهد: </w:t>
      </w:r>
      <w:r>
        <w:rPr>
          <w:rFonts w:ascii="Calibri Light" w:hAnsi="Calibri Light" w:cs="Calibri Light"/>
          <w:b w:val="0"/>
          <w:bCs w:val="0"/>
          <w:i w:val="0"/>
          <w:color w:val="203864"/>
          <w:sz w:val="20"/>
          <w:szCs w:val="20"/>
          <w:rtl/>
        </w:rPr>
        <w:t>بناء ملف شواهد إرشادية (صور، تقارير، سجلات) يُستند إليه في تقارير التحسين المستمر.</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خطوات التنفيذ الموصى بها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1 - </w:t>
      </w:r>
      <w:r>
        <w:rPr>
          <w:rFonts w:ascii="Calibri Light" w:hAnsi="Calibri Light" w:cs="Calibri Light"/>
          <w:b w:val="0"/>
          <w:bCs w:val="0"/>
          <w:i w:val="0"/>
          <w:color w:val="203864"/>
          <w:sz w:val="20"/>
          <w:szCs w:val="20"/>
          <w:rtl/>
        </w:rPr>
        <w:t>مراجعة الخطة التشغيلية الحالية ورصد فجوات تضمين السلوك والمواظبة.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2 - </w:t>
      </w:r>
      <w:r>
        <w:rPr>
          <w:rFonts w:ascii="Calibri Light" w:hAnsi="Calibri Light" w:cs="Calibri Light"/>
          <w:b w:val="0"/>
          <w:bCs w:val="0"/>
          <w:i w:val="0"/>
          <w:color w:val="203864"/>
          <w:sz w:val="20"/>
          <w:szCs w:val="20"/>
          <w:rtl/>
        </w:rPr>
        <w:t>إدراج بنود كمية قابلة للقياس (عدد البرامج، نسبة الحضور، معدلات المخالفات).</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3 - </w:t>
      </w:r>
      <w:r>
        <w:rPr>
          <w:rFonts w:ascii="Calibri Light" w:hAnsi="Calibri Light" w:cs="Calibri Light"/>
          <w:b w:val="0"/>
          <w:bCs w:val="0"/>
          <w:i w:val="0"/>
          <w:color w:val="203864"/>
          <w:sz w:val="20"/>
          <w:szCs w:val="20"/>
          <w:rtl/>
        </w:rPr>
        <w:t>توزيع الأدوار: المرشد الطلابي، وكيل شؤون الطلاب، المعلمون، الطلاب القادة.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4 - </w:t>
      </w:r>
      <w:r>
        <w:rPr>
          <w:rFonts w:ascii="Calibri Light" w:hAnsi="Calibri Light" w:cs="Calibri Light"/>
          <w:b w:val="0"/>
          <w:bCs w:val="0"/>
          <w:i w:val="0"/>
          <w:color w:val="203864"/>
          <w:sz w:val="20"/>
          <w:szCs w:val="20"/>
          <w:rtl/>
        </w:rPr>
        <w:t>متابعة التنفيذ في اجتماعات الإدارة الدورية وتوثيق الشواهد والمخرجات.</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رابعًا: مؤشرات نجاح التحقيق</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نسبة تنفيذ الأنشطة السلوكية المقررة في الخطة تتجاوز 90%.</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اكتمال ملف الشواهد المرتبط بكل نشاط مخطط.</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تحسن المؤشرات السلوكية في التقرير الفصلي للمدرسة.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خامسًا: سيناريو تطبيقي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تُظهر مراجعة الخطة التشغيلية غياب مؤشرات قياس للسلوك؛ فيضيف المرشد بنودًا كمية (نسبة الالتزام، عدد البرامج) ويوزع الأدوار، فيصبح التنفيذ قابلًا للتوثيق والقياس.</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7"/>
                <w:szCs w:val="17"/>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20" w:line="264" w:lineRule="auto"/>
              <w:jc w:val="right"/>
            </w:pPr>
            <w:r>
              <w:rPr>
                <w:rFonts w:ascii="Calibri Light" w:hAnsi="Calibri Light" w:cs="Calibri Light"/>
                <w:b w:val="0"/>
                <w:bCs w:val="0"/>
                <w:i w:val="0"/>
                <w:color w:val="203864"/>
                <w:sz w:val="17"/>
                <w:szCs w:val="17"/>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الإضاءة الرابعة: المتابعة اليومية للحضور والانصراف والسلوك ومعالجة الانحرافات</w:t>
            </w:r>
          </w:p>
        </w:tc>
      </w:tr>
    </w:tbl>
    <w:tbl>
      <w:tblPr>
        <w:bidiVisual/>
        <w:tblW w:type="auto" w:w="0"/>
        <w:jc w:val="center"/>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5103"/>
        <w:gridCol w:w="5103"/>
      </w:tblGrid>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المجال</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نواتج التعلم</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المعيار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التطور الشخصي والصحي والاجتماعي</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المؤشر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9"/>
                <w:szCs w:val="19"/>
                <w:rtl/>
              </w:rPr>
              <w:t>يلتزم المتعلمون بقواعد السلوك والانضباط المدرسي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الفكرة المحورية</w:t>
      </w:r>
    </w:p>
    <w:p>
      <w:pPr>
        <w:bidi/>
        <w:spacing w:before="0" w:after="60" w:line="276" w:lineRule="auto"/>
        <w:jc w:val="right"/>
      </w:pPr>
      <w:r>
        <w:rPr>
          <w:rFonts w:ascii="Calibri Light" w:hAnsi="Calibri Light" w:cs="Calibri Light"/>
          <w:b w:val="0"/>
          <w:bCs w:val="0"/>
          <w:i w:val="0"/>
          <w:color w:val="203864"/>
          <w:sz w:val="21"/>
          <w:szCs w:val="21"/>
          <w:rtl/>
        </w:rPr>
        <w:t>رصدٌ يومي دقيق بالتنسيق مع وكلاء المدرسة والمعلمين؛ لاكتشاف حالات الغياب والتأخر والمخالفات مبكرًا، ومعالجتها بالتواصل مع أولياء الأمور وفق الأنظمة والتعليمات المنظمة، مع مراعاة خصوصية الحالات الفردية.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إثراء أدوار المرشد الطلابي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لوحة المتابعة اليومية: </w:t>
      </w:r>
      <w:r>
        <w:rPr>
          <w:rFonts w:ascii="Calibri Light" w:hAnsi="Calibri Light" w:cs="Calibri Light"/>
          <w:b w:val="0"/>
          <w:bCs w:val="0"/>
          <w:i w:val="0"/>
          <w:color w:val="203864"/>
          <w:sz w:val="20"/>
          <w:szCs w:val="20"/>
          <w:rtl/>
        </w:rPr>
        <w:t>تحديث بيانات الحضور والانصراف والمخالفات يوميًا (لوحة رقمية أو سجل منظم) بالتنسيق مع وكيل الشؤون الطلابية.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بروتوكول تصعيد متفق عليه: </w:t>
      </w:r>
      <w:r>
        <w:rPr>
          <w:rFonts w:ascii="Calibri Light" w:hAnsi="Calibri Light" w:cs="Calibri Light"/>
          <w:b w:val="0"/>
          <w:bCs w:val="0"/>
          <w:i w:val="0"/>
          <w:color w:val="203864"/>
          <w:sz w:val="20"/>
          <w:szCs w:val="20"/>
          <w:rtl/>
        </w:rPr>
        <w:t>غياب يوم ← تواصل مع الأسرة؛ غياب ثلاثة أيام ← جلسة إرشادية؛ استمرار الحالة ← الإجراءات النظامية المعمول بها.</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قناة تنسيق سريعة: </w:t>
      </w:r>
      <w:r>
        <w:rPr>
          <w:rFonts w:ascii="Calibri Light" w:hAnsi="Calibri Light" w:cs="Calibri Light"/>
          <w:b w:val="0"/>
          <w:bCs w:val="0"/>
          <w:i w:val="0"/>
          <w:color w:val="203864"/>
          <w:sz w:val="20"/>
          <w:szCs w:val="20"/>
          <w:rtl/>
        </w:rPr>
        <w:t>تنسيق يومي مع الوكلاء والمعلمين عبر مجموعة عمل واستمارة إلكترونية للرصد الفوري.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الدعم الفردي: </w:t>
      </w:r>
      <w:r>
        <w:rPr>
          <w:rFonts w:ascii="Calibri Light" w:hAnsi="Calibri Light" w:cs="Calibri Light"/>
          <w:b w:val="0"/>
          <w:bCs w:val="0"/>
          <w:i w:val="0"/>
          <w:color w:val="203864"/>
          <w:sz w:val="20"/>
          <w:szCs w:val="20"/>
          <w:rtl/>
        </w:rPr>
        <w:t>إنشاء ملف متابعة فردي للمتعلمين ذوي الحالات المتكررة، وخطط دعم تعاونية مع الأسرة.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خطوات التنفيذ الموصى بها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1 - </w:t>
      </w:r>
      <w:r>
        <w:rPr>
          <w:rFonts w:ascii="Calibri Light" w:hAnsi="Calibri Light" w:cs="Calibri Light"/>
          <w:b w:val="0"/>
          <w:bCs w:val="0"/>
          <w:i w:val="0"/>
          <w:color w:val="203864"/>
          <w:sz w:val="20"/>
          <w:szCs w:val="20"/>
          <w:rtl/>
        </w:rPr>
        <w:t>توحيد نموذج الرصد اليومي (حضور/تأخر/مخالفات) وتدريب المعلمين على التوثيق الفوري.</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2 - </w:t>
      </w:r>
      <w:r>
        <w:rPr>
          <w:rFonts w:ascii="Calibri Light" w:hAnsi="Calibri Light" w:cs="Calibri Light"/>
          <w:b w:val="0"/>
          <w:bCs w:val="0"/>
          <w:i w:val="0"/>
          <w:color w:val="203864"/>
          <w:sz w:val="20"/>
          <w:szCs w:val="20"/>
          <w:rtl/>
        </w:rPr>
        <w:t>تفعيل التواصل مع الأسرة خلال 24 ساعة للحالات المتجددة عبر القنوات الرسمية.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3 - </w:t>
      </w:r>
      <w:r>
        <w:rPr>
          <w:rFonts w:ascii="Calibri Light" w:hAnsi="Calibri Light" w:cs="Calibri Light"/>
          <w:b w:val="0"/>
          <w:bCs w:val="0"/>
          <w:i w:val="0"/>
          <w:color w:val="203864"/>
          <w:sz w:val="20"/>
          <w:szCs w:val="20"/>
          <w:rtl/>
        </w:rPr>
        <w:t>إصدار تقرير أسبوعي مختصر للإدارة يبرز الحالات المزمنة وسبل معالجتها.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4 - </w:t>
      </w:r>
      <w:r>
        <w:rPr>
          <w:rFonts w:ascii="Calibri Light" w:hAnsi="Calibri Light" w:cs="Calibri Light"/>
          <w:b w:val="0"/>
          <w:bCs w:val="0"/>
          <w:i w:val="0"/>
          <w:color w:val="203864"/>
          <w:sz w:val="20"/>
          <w:szCs w:val="20"/>
          <w:rtl/>
        </w:rPr>
        <w:t>تصميم خطط علاجية فردية للحالات المتكررة ومراجعتها شهريًا.</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رابعًا: مؤشرات نجاح التحقيق</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دقة التوثيق اليومي تتجاوز 95%.</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التواصل مع الأسرة خلال 24 ساعة في أغلب الحالات المتجددة.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انخفاض حالات التأخر والغياب المزمن ربع سنويًا.</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خامسًا: سيناريو تطبيقي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يظهر سجل الرصد تأخر متعلم أربع مرات في أسبوعين؛ يتواصل المرشد مع الأسرة خلال 24 ساعة، ويعقد جلسة قصيرة، ويتابع التحسن أسبوعيًا حتى تستقر الحالة.</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7"/>
                <w:szCs w:val="17"/>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20" w:line="264" w:lineRule="auto"/>
              <w:jc w:val="right"/>
            </w:pPr>
            <w:r>
              <w:rPr>
                <w:rFonts w:ascii="Calibri Light" w:hAnsi="Calibri Light" w:cs="Calibri Light"/>
                <w:b w:val="0"/>
                <w:bCs w:val="0"/>
                <w:i w:val="0"/>
                <w:color w:val="203864"/>
                <w:sz w:val="17"/>
                <w:szCs w:val="17"/>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الإضاءة الخامسة: تعزيز السلوك الإيجابي عبر برامج التحفيز والتكريم</w:t>
            </w:r>
          </w:p>
        </w:tc>
      </w:tr>
    </w:tbl>
    <w:tbl>
      <w:tblPr>
        <w:bidiVisual/>
        <w:tblW w:type="auto" w:w="0"/>
        <w:jc w:val="center"/>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5103"/>
        <w:gridCol w:w="5103"/>
      </w:tblGrid>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المجال</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نواتج التعلم</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المعيار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التطور الشخصي والصحي والاجتماعي</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المؤشر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9"/>
                <w:szCs w:val="19"/>
                <w:rtl/>
              </w:rPr>
              <w:t>يلتزم المتعلمون بقواعد السلوك والانضباط المدرسي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الفكرة المحورية</w:t>
      </w:r>
    </w:p>
    <w:p>
      <w:pPr>
        <w:bidi/>
        <w:spacing w:before="0" w:after="60" w:line="276" w:lineRule="auto"/>
        <w:jc w:val="right"/>
      </w:pPr>
      <w:r>
        <w:rPr>
          <w:rFonts w:ascii="Calibri Light" w:hAnsi="Calibri Light" w:cs="Calibri Light"/>
          <w:b w:val="0"/>
          <w:bCs w:val="0"/>
          <w:i w:val="0"/>
          <w:color w:val="203864"/>
          <w:sz w:val="21"/>
          <w:szCs w:val="21"/>
          <w:rtl/>
        </w:rPr>
        <w:t>أن الجزاء الإيجابي أثبت أثرًا من الزجر؛ برامج تحفيزية متنوعة تُعلي من قيمة الالتزام وتُثبّت السلوك السوي عبر تكريم المتعلمين الملتزمين بقواعد السلوك في الطابور الصباحي والفصول والمنصات المدرسية.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إثراء أدوار المرشد الطلابي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برنامج «طالب الأسبوع/الفصل»: </w:t>
      </w:r>
      <w:r>
        <w:rPr>
          <w:rFonts w:ascii="Calibri Light" w:hAnsi="Calibri Light" w:cs="Calibri Light"/>
          <w:b w:val="0"/>
          <w:bCs w:val="0"/>
          <w:i w:val="0"/>
          <w:color w:val="203864"/>
          <w:sz w:val="20"/>
          <w:szCs w:val="20"/>
          <w:rtl/>
        </w:rPr>
        <w:t>معايير شفافة (الالتزام، المواظبة، الأخلاق، المبادرة) يرشح لها المعلمون وزملاء الصف.</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تنويع أشكال التكريم: </w:t>
      </w:r>
      <w:r>
        <w:rPr>
          <w:rFonts w:ascii="Calibri Light" w:hAnsi="Calibri Light" w:cs="Calibri Light"/>
          <w:b w:val="0"/>
          <w:bCs w:val="0"/>
          <w:i w:val="0"/>
          <w:color w:val="203864"/>
          <w:sz w:val="20"/>
          <w:szCs w:val="20"/>
          <w:rtl/>
        </w:rPr>
        <w:t>شهادات، أوسمة، لوحة شرف، إعلان على المنصات المدرسية، ومكافآت رمزية تُحفّز دون مبالغة.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التحفيز الجماعي: </w:t>
      </w:r>
      <w:r>
        <w:rPr>
          <w:rFonts w:ascii="Calibri Light" w:hAnsi="Calibri Light" w:cs="Calibri Light"/>
          <w:b w:val="0"/>
          <w:bCs w:val="0"/>
          <w:i w:val="0"/>
          <w:color w:val="203864"/>
          <w:sz w:val="20"/>
          <w:szCs w:val="20"/>
          <w:rtl/>
        </w:rPr>
        <w:t>مسابقة الفصول الملتزمة (كأس الانضباط) لتنمية روح الفريق والمسؤولية المشتركة.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إشراف الطلاب: </w:t>
      </w:r>
      <w:r>
        <w:rPr>
          <w:rFonts w:ascii="Calibri Light" w:hAnsi="Calibri Light" w:cs="Calibri Light"/>
          <w:b w:val="0"/>
          <w:bCs w:val="0"/>
          <w:i w:val="0"/>
          <w:color w:val="203864"/>
          <w:sz w:val="20"/>
          <w:szCs w:val="20"/>
          <w:rtl/>
        </w:rPr>
        <w:t>إشراك القادة الطلابيين في الترشيح والتحكيم والتنظيم لترسيخ ملكية السلوك الإيجابي.</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خطوات التنفيذ الموصى بها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1 - </w:t>
      </w:r>
      <w:r>
        <w:rPr>
          <w:rFonts w:ascii="Calibri Light" w:hAnsi="Calibri Light" w:cs="Calibri Light"/>
          <w:b w:val="0"/>
          <w:bCs w:val="0"/>
          <w:i w:val="0"/>
          <w:color w:val="203864"/>
          <w:sz w:val="20"/>
          <w:szCs w:val="20"/>
          <w:rtl/>
        </w:rPr>
        <w:t>إعلان معايير التكريم ونشرها بشفافية على جميع المتعلمين.</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2 - </w:t>
      </w:r>
      <w:r>
        <w:rPr>
          <w:rFonts w:ascii="Calibri Light" w:hAnsi="Calibri Light" w:cs="Calibri Light"/>
          <w:b w:val="0"/>
          <w:bCs w:val="0"/>
          <w:i w:val="0"/>
          <w:color w:val="203864"/>
          <w:sz w:val="20"/>
          <w:szCs w:val="20"/>
          <w:rtl/>
        </w:rPr>
        <w:t>جدولة التكريم (طابور الأحد، لقاء شهري) والالتزام الدقيق بها.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3 - </w:t>
      </w:r>
      <w:r>
        <w:rPr>
          <w:rFonts w:ascii="Calibri Light" w:hAnsi="Calibri Light" w:cs="Calibri Light"/>
          <w:b w:val="0"/>
          <w:bCs w:val="0"/>
          <w:i w:val="0"/>
          <w:color w:val="203864"/>
          <w:sz w:val="20"/>
          <w:szCs w:val="20"/>
          <w:rtl/>
        </w:rPr>
        <w:t>توثيق التكريم ومشاركته مع الأسر لتوسيع أثر التحفيز.</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4 - </w:t>
      </w:r>
      <w:r>
        <w:rPr>
          <w:rFonts w:ascii="Calibri Light" w:hAnsi="Calibri Light" w:cs="Calibri Light"/>
          <w:b w:val="0"/>
          <w:bCs w:val="0"/>
          <w:i w:val="0"/>
          <w:color w:val="203864"/>
          <w:sz w:val="20"/>
          <w:szCs w:val="20"/>
          <w:rtl/>
        </w:rPr>
        <w:t>قياس أثر التحفيز عبر استبانة المتعلم/المعلم ومقارنة المؤشرات قبل وبعد.</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رابعًا: مؤشرات نجاح التحقيق</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ارتفاع نسبة المكرمين من إجمالي المتعلمين فصليًا.</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تحسن التزام الفصول المستهدفة بالمقارنة مع بداية العام.</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رضا المتعلمين عن عدالة معايير التكريم يتجاوز 85%.</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خامسًا: سيناريو تطبيقي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يكرم المرشد في طابور الأحد فصلًا كاملًا التزم بالمواظبة؛ يُوثَّق التكريم ويُرسل للأسر، فتنعكس الملاحظة الإيجابية على انضباط بقية الفصول.</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7"/>
                <w:szCs w:val="17"/>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20" w:line="264" w:lineRule="auto"/>
              <w:jc w:val="right"/>
            </w:pPr>
            <w:r>
              <w:rPr>
                <w:rFonts w:ascii="Calibri Light" w:hAnsi="Calibri Light" w:cs="Calibri Light"/>
                <w:b w:val="0"/>
                <w:bCs w:val="0"/>
                <w:i w:val="0"/>
                <w:color w:val="203864"/>
                <w:sz w:val="17"/>
                <w:szCs w:val="17"/>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الإضاءة السادسة: إجراءات عادلة لمعالجة المخالفات وتفعيل الجلسات الإرشادية</w:t>
            </w:r>
          </w:p>
        </w:tc>
      </w:tr>
    </w:tbl>
    <w:tbl>
      <w:tblPr>
        <w:bidiVisual/>
        <w:tblW w:type="auto" w:w="0"/>
        <w:jc w:val="center"/>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5103"/>
        <w:gridCol w:w="5103"/>
      </w:tblGrid>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المجال</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نواتج التعلم</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المعيار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التطور الشخصي والصحي والاجتماعي</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المؤشر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9"/>
                <w:szCs w:val="19"/>
                <w:rtl/>
              </w:rPr>
              <w:t>يلتزم المتعلمون بقواعد السلوك والانضباط المدرسي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الفكرة المحورية</w:t>
      </w:r>
    </w:p>
    <w:p>
      <w:pPr>
        <w:bidi/>
        <w:spacing w:before="0" w:after="60" w:line="276" w:lineRule="auto"/>
        <w:jc w:val="right"/>
      </w:pPr>
      <w:r>
        <w:rPr>
          <w:rFonts w:ascii="Calibri Light" w:hAnsi="Calibri Light" w:cs="Calibri Light"/>
          <w:b w:val="0"/>
          <w:bCs w:val="0"/>
          <w:i w:val="0"/>
          <w:color w:val="203864"/>
          <w:sz w:val="21"/>
          <w:szCs w:val="21"/>
          <w:rtl/>
        </w:rPr>
        <w:t>معالجة المخالفات بإجراءاتٍ واضحة وعادلة وفق لائحة قواعد السلوك والمواظبة والأنظمة المنظمة، ممزوجة بالعمل الإرشادي الذي يعالج الأسباب لا الأعراض، ويعيد المتعلم إلى المسار الصحيح بكرامة ومسؤولية.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إثراء أدوار المرشد الطلابي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سلم إجراءات متدرج: </w:t>
      </w:r>
      <w:r>
        <w:rPr>
          <w:rFonts w:ascii="Calibri Light" w:hAnsi="Calibri Light" w:cs="Calibri Light"/>
          <w:b w:val="0"/>
          <w:bCs w:val="0"/>
          <w:i w:val="0"/>
          <w:color w:val="203864"/>
          <w:sz w:val="20"/>
          <w:szCs w:val="20"/>
          <w:rtl/>
        </w:rPr>
        <w:t>تنبيه ← محضر ← جلسة إرشادية ← إشعار الأسرة ← الإحالة النظامية، موثقًا في سجل مركزي يضمن الشفافية.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الجلسات الإرشادية الفردية: </w:t>
      </w:r>
      <w:r>
        <w:rPr>
          <w:rFonts w:ascii="Calibri Light" w:hAnsi="Calibri Light" w:cs="Calibri Light"/>
          <w:b w:val="0"/>
          <w:bCs w:val="0"/>
          <w:i w:val="0"/>
          <w:color w:val="203864"/>
          <w:sz w:val="20"/>
          <w:szCs w:val="20"/>
          <w:rtl/>
        </w:rPr>
        <w:t>خطة قصيرة (3–5 جلسات) تتناول الدوافع، وإدارة الغضب، والمهارات الاجتماعية، وبناء الوعي بالعواقب.</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العدالة الإجرائية: </w:t>
      </w:r>
      <w:r>
        <w:rPr>
          <w:rFonts w:ascii="Calibri Light" w:hAnsi="Calibri Light" w:cs="Calibri Light"/>
          <w:b w:val="0"/>
          <w:bCs w:val="0"/>
          <w:i w:val="0"/>
          <w:color w:val="203864"/>
          <w:sz w:val="20"/>
          <w:szCs w:val="20"/>
          <w:rtl/>
        </w:rPr>
        <w:t>تطبيق موحّد بغض النظر عن الصف أو الشعبة، مع توثيق كل خطوة، وحق المتعلم في الشرح والاعتراض.</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الشراكة مع الأسرة: </w:t>
      </w:r>
      <w:r>
        <w:rPr>
          <w:rFonts w:ascii="Calibri Light" w:hAnsi="Calibri Light" w:cs="Calibri Light"/>
          <w:b w:val="0"/>
          <w:bCs w:val="0"/>
          <w:i w:val="0"/>
          <w:color w:val="203864"/>
          <w:sz w:val="20"/>
          <w:szCs w:val="20"/>
          <w:rtl/>
        </w:rPr>
        <w:t>اتفاقية تعهد سلوكية بعد الجلسة، ومتابعة الأسرة للتحسن، ومشاركة المدرسة للنتائج.</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خطوات التنفيذ الموصى بها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1 - </w:t>
      </w:r>
      <w:r>
        <w:rPr>
          <w:rFonts w:ascii="Calibri Light" w:hAnsi="Calibri Light" w:cs="Calibri Light"/>
          <w:b w:val="0"/>
          <w:bCs w:val="0"/>
          <w:i w:val="0"/>
          <w:color w:val="203864"/>
          <w:sz w:val="20"/>
          <w:szCs w:val="20"/>
          <w:rtl/>
        </w:rPr>
        <w:t>تعميم سلم الإجراءات على المعلمين والمتعلمين والأسر بوضوح وشفافية.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2 - </w:t>
      </w:r>
      <w:r>
        <w:rPr>
          <w:rFonts w:ascii="Calibri Light" w:hAnsi="Calibri Light" w:cs="Calibri Light"/>
          <w:b w:val="0"/>
          <w:bCs w:val="0"/>
          <w:i w:val="0"/>
          <w:color w:val="203864"/>
          <w:sz w:val="20"/>
          <w:szCs w:val="20"/>
          <w:rtl/>
        </w:rPr>
        <w:t>إعداد دليل الجلسة الإرشادية النموذجية (أهداف، أدوات، خطة متابعة).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3 - </w:t>
      </w:r>
      <w:r>
        <w:rPr>
          <w:rFonts w:ascii="Calibri Light" w:hAnsi="Calibri Light" w:cs="Calibri Light"/>
          <w:b w:val="0"/>
          <w:bCs w:val="0"/>
          <w:i w:val="0"/>
          <w:color w:val="203864"/>
          <w:sz w:val="20"/>
          <w:szCs w:val="20"/>
          <w:rtl/>
        </w:rPr>
        <w:t>توثيق كل حالة في ملف سلوكي منظم يُصان فيه السر المهني.</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4 - </w:t>
      </w:r>
      <w:r>
        <w:rPr>
          <w:rFonts w:ascii="Calibri Light" w:hAnsi="Calibri Light" w:cs="Calibri Light"/>
          <w:b w:val="0"/>
          <w:bCs w:val="0"/>
          <w:i w:val="0"/>
          <w:color w:val="203864"/>
          <w:sz w:val="20"/>
          <w:szCs w:val="20"/>
          <w:rtl/>
        </w:rPr>
        <w:t>مراجعة الحالات شهريًا وقياس تحسن السلوك بعد التدخل الإرشادي.</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رابعًا: مؤشرات نجاح التحقيق</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انخفاض نسبة إعادة المخالفة لدى الحالات المُعالَجة.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اكتمال توثيق الإجراءات وفق السلم المعتمد.</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قناعة المتعلمين والأسر بعدالة الإجراءات المتخذة.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خامسًا: سيناريو تطبيقي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متعلم يكرر مخالفة الإزعاج؛ فينفّذ المرشد سلم الإجراءات (تنبيه ← محضر ← جلستان ← اتفاقية أسرية)، وتتراجع إعادة المخالفة في المتابعة الشهرية.</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7"/>
                <w:szCs w:val="17"/>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20" w:line="264" w:lineRule="auto"/>
              <w:jc w:val="right"/>
            </w:pPr>
            <w:r>
              <w:rPr>
                <w:rFonts w:ascii="Calibri Light" w:hAnsi="Calibri Light" w:cs="Calibri Light"/>
                <w:b w:val="0"/>
                <w:bCs w:val="0"/>
                <w:i w:val="0"/>
                <w:color w:val="203864"/>
                <w:sz w:val="17"/>
                <w:szCs w:val="17"/>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الإضاءة السابعة: تهيئة بيئة مدرسية منظمة وآمنة تعزز الانضباط المدرسي</w:t>
            </w:r>
          </w:p>
        </w:tc>
      </w:tr>
    </w:tbl>
    <w:tbl>
      <w:tblPr>
        <w:bidiVisual/>
        <w:tblW w:type="auto" w:w="0"/>
        <w:jc w:val="center"/>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5103"/>
        <w:gridCol w:w="5103"/>
      </w:tblGrid>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المجال</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نواتج التعلم</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المعيار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التطور الشخصي والصحي والاجتماعي</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المؤشر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9"/>
                <w:szCs w:val="19"/>
                <w:rtl/>
              </w:rPr>
              <w:t>يلتزم المتعلمون بقواعد السلوك والانضباط المدرسي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الفكرة المحورية</w:t>
      </w:r>
    </w:p>
    <w:p>
      <w:pPr>
        <w:bidi/>
        <w:spacing w:before="0" w:after="60" w:line="276" w:lineRule="auto"/>
        <w:jc w:val="right"/>
      </w:pPr>
      <w:r>
        <w:rPr>
          <w:rFonts w:ascii="Calibri Light" w:hAnsi="Calibri Light" w:cs="Calibri Light"/>
          <w:b w:val="0"/>
          <w:bCs w:val="0"/>
          <w:i w:val="0"/>
          <w:color w:val="203864"/>
          <w:sz w:val="21"/>
          <w:szCs w:val="21"/>
          <w:rtl/>
        </w:rPr>
        <w:t>البيئة المنظمة تُعلّم الانضباط قبل أي كلمة؛ تنظيم الاصطفاف، وضبط حركة المتعلمين داخل المدرسة، والمحافظة على نظافة المرافق، ووضوح التعليمات السلوكية في جميع أرجاء المدرسة، كلها رسائل صامتة تصنع سلوكًا راسخًا.</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إثراء أدوار المرشد الطلابي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الخريطة السلوكية للمدرسة: </w:t>
      </w:r>
      <w:r>
        <w:rPr>
          <w:rFonts w:ascii="Calibri Light" w:hAnsi="Calibri Light" w:cs="Calibri Light"/>
          <w:b w:val="0"/>
          <w:bCs w:val="0"/>
          <w:i w:val="0"/>
          <w:color w:val="203864"/>
          <w:sz w:val="20"/>
          <w:szCs w:val="20"/>
          <w:rtl/>
        </w:rPr>
        <w:t>لافتات إرشادية واضحة في الممرات والفناء والكافتيريا والمرافق تذكّر بالقواعد بلغة بصرية محببة.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تنظيم الطابور والحركة: </w:t>
      </w:r>
      <w:r>
        <w:rPr>
          <w:rFonts w:ascii="Calibri Light" w:hAnsi="Calibri Light" w:cs="Calibri Light"/>
          <w:b w:val="0"/>
          <w:bCs w:val="0"/>
          <w:i w:val="0"/>
          <w:color w:val="203864"/>
          <w:sz w:val="20"/>
          <w:szCs w:val="20"/>
          <w:rtl/>
        </w:rPr>
        <w:t>خطة اصطفاف ومسارات حركة ومواعيد ذروة، بمناوبات مراقبة منسقة مع الوكلاء.</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النظافة والانضباط البيئي: </w:t>
      </w:r>
      <w:r>
        <w:rPr>
          <w:rFonts w:ascii="Calibri Light" w:hAnsi="Calibri Light" w:cs="Calibri Light"/>
          <w:b w:val="0"/>
          <w:bCs w:val="0"/>
          <w:i w:val="0"/>
          <w:color w:val="203864"/>
          <w:sz w:val="20"/>
          <w:szCs w:val="20"/>
          <w:rtl/>
        </w:rPr>
        <w:t>حملة «مدرستنا نظيفة» بمسؤوليات طلابية موزعة وتقييم أسبوعي ملموس.</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مناخ آمن ومحمي: </w:t>
      </w:r>
      <w:r>
        <w:rPr>
          <w:rFonts w:ascii="Calibri Light" w:hAnsi="Calibri Light" w:cs="Calibri Light"/>
          <w:b w:val="0"/>
          <w:bCs w:val="0"/>
          <w:i w:val="0"/>
          <w:color w:val="203864"/>
          <w:sz w:val="20"/>
          <w:szCs w:val="20"/>
          <w:rtl/>
        </w:rPr>
        <w:t>مكافحة التنمر، وصندوق شكاوى آمن، والاستجابة السريعة للحوادث بالتنسيق مع الإدارة.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خطوات التنفيذ الموصى بها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1 - </w:t>
      </w:r>
      <w:r>
        <w:rPr>
          <w:rFonts w:ascii="Calibri Light" w:hAnsi="Calibri Light" w:cs="Calibri Light"/>
          <w:b w:val="0"/>
          <w:bCs w:val="0"/>
          <w:i w:val="0"/>
          <w:color w:val="203864"/>
          <w:sz w:val="20"/>
          <w:szCs w:val="20"/>
          <w:rtl/>
        </w:rPr>
        <w:t>جولة تشخيصية مع الوكلاء لرصد نقاط الضعف البيئية وتحديد الأولويات.</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2 - </w:t>
      </w:r>
      <w:r>
        <w:rPr>
          <w:rFonts w:ascii="Calibri Light" w:hAnsi="Calibri Light" w:cs="Calibri Light"/>
          <w:b w:val="0"/>
          <w:bCs w:val="0"/>
          <w:i w:val="0"/>
          <w:color w:val="203864"/>
          <w:sz w:val="20"/>
          <w:szCs w:val="20"/>
          <w:rtl/>
        </w:rPr>
        <w:t>إعداد خطة التنظيم (المسارات، اللافتات، المناوبات) وتنفيذها تدريجيًا.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3 - </w:t>
      </w:r>
      <w:r>
        <w:rPr>
          <w:rFonts w:ascii="Calibri Light" w:hAnsi="Calibri Light" w:cs="Calibri Light"/>
          <w:b w:val="0"/>
          <w:bCs w:val="0"/>
          <w:i w:val="0"/>
          <w:color w:val="203864"/>
          <w:sz w:val="20"/>
          <w:szCs w:val="20"/>
          <w:rtl/>
        </w:rPr>
        <w:t>تدريب الطلاب القادة على قيادة الطابور والتنسيق وضبط حركة الزملاء.</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4 - </w:t>
      </w:r>
      <w:r>
        <w:rPr>
          <w:rFonts w:ascii="Calibri Light" w:hAnsi="Calibri Light" w:cs="Calibri Light"/>
          <w:b w:val="0"/>
          <w:bCs w:val="0"/>
          <w:i w:val="0"/>
          <w:color w:val="203864"/>
          <w:sz w:val="20"/>
          <w:szCs w:val="20"/>
          <w:rtl/>
        </w:rPr>
        <w:t>مراجعة أسبوعية للبيئة المدرسية وتعديل الخطة وفق الملاحظات.</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رابعًا: مؤشرات نجاح التحقيق</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انخفاض الازدحام والحوادث الميدانية في فترات الذروة.</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تقييم بصري أسبوعي لنظافة المرافق بمستوى جيد جدًا فأعلى.</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التزام المتعلمين بالمسارات والتعليمات السلوكية المعلنة.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خامسًا: سيناريو تطبيقي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ازدحام في ممر الفناء وقت الفسحة؛ فيعيد المرشد ترتيب المسارات ويضع اللافتات ويوزع المناوبات، فتنخفض الحوادث الميدانية خلال أسبوعين.</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7"/>
                <w:szCs w:val="17"/>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20" w:line="264" w:lineRule="auto"/>
              <w:jc w:val="right"/>
            </w:pPr>
            <w:r>
              <w:rPr>
                <w:rFonts w:ascii="Calibri Light" w:hAnsi="Calibri Light" w:cs="Calibri Light"/>
                <w:b w:val="0"/>
                <w:bCs w:val="0"/>
                <w:i w:val="0"/>
                <w:color w:val="203864"/>
                <w:sz w:val="17"/>
                <w:szCs w:val="17"/>
                <w:rtl/>
              </w:rPr>
              <w:t>أفضل ممارسة للمرشد الطلابي: جمع شواهد المؤشر دوريًا عبر الأدوات المحددة أعلاه، وتوثيقها في ملف التحسين المستمر.</w:t>
            </w:r>
          </w:p>
        </w:tc>
      </w:tr>
    </w:tbl>
    <w:p>
      <w:r>
        <w:br w:type="page"/>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0206"/>
      </w:tblGrid>
      <w:tr>
        <w:tc>
          <w:tcPr>
            <w:tcW w:type="dxa" w:w="10206"/>
            <w:shd w:val="clear" w:color="auto" w:fill="1F4E79"/>
            <w:tcMar>
              <w:top w:w="90" w:type="dxa"/>
              <w:left w:w="140" w:type="dxa"/>
              <w:bottom w:w="90" w:type="dxa"/>
              <w:right w:w="140" w:type="dxa"/>
            </w:tcMar>
          </w:tcPr>
          <w:p>
            <w:pPr>
              <w:bidi/>
              <w:spacing w:before="0" w:after="0" w:line="264" w:lineRule="auto"/>
              <w:jc w:val="right"/>
            </w:pPr>
            <w:r>
              <w:rPr>
                <w:rFonts w:ascii="Calibri Light" w:hAnsi="Calibri Light" w:cs="Calibri Light"/>
                <w:b/>
                <w:bCs w:val="1"/>
                <w:i w:val="0"/>
                <w:color w:val="FFFFFF"/>
                <w:sz w:val="24"/>
                <w:szCs w:val="24"/>
                <w:rtl/>
              </w:rPr>
              <w:t>الإضاءة الثامنة: متابعة وتقويم الالتزام بقواعد السلوك وتطوير الإجراءات الوقائية</w:t>
            </w:r>
          </w:p>
        </w:tc>
      </w:tr>
    </w:tbl>
    <w:tbl>
      <w:tblPr>
        <w:bidiVisual/>
        <w:tblW w:type="auto" w:w="0"/>
        <w:jc w:val="center"/>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Look w:firstColumn="1" w:firstRow="1" w:lastColumn="0" w:lastRow="0" w:noHBand="0" w:noVBand="1" w:val="04A0"/>
      </w:tblPr>
      <w:tblGrid>
        <w:gridCol w:w="5103"/>
        <w:gridCol w:w="5103"/>
      </w:tblGrid>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المجال</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نواتج التعلم</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المعيار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val="0"/>
                <w:bCs w:val="0"/>
                <w:i w:val="0"/>
                <w:color w:val="203864"/>
                <w:sz w:val="19"/>
                <w:szCs w:val="19"/>
                <w:rtl/>
              </w:rPr>
              <w:t>التطور الشخصي والصحي والاجتماعي</w:t>
            </w:r>
          </w:p>
        </w:tc>
      </w:tr>
      <w:tr>
        <w:tc>
          <w:tcPr>
            <w:tcW w:type="dxa" w:w="1814"/>
            <w:shd w:val="clear" w:color="auto" w:fill="DCE6F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1F4E79"/>
                <w:sz w:val="18"/>
                <w:szCs w:val="18"/>
                <w:rtl/>
              </w:rPr>
              <w:t>المؤشر</w:t>
            </w:r>
          </w:p>
        </w:tc>
        <w:tc>
          <w:tcPr>
            <w:tcW w:type="dxa" w:w="8391"/>
            <w:tcMar>
              <w:top w:w="30" w:type="dxa"/>
              <w:left w:w="80" w:type="dxa"/>
              <w:bottom w:w="30" w:type="dxa"/>
              <w:right w:w="80" w:type="dxa"/>
            </w:tcMar>
          </w:tcPr>
          <w:p>
            <w:pPr>
              <w:bidi/>
              <w:spacing w:before="0" w:after="0" w:line="252" w:lineRule="auto"/>
              <w:jc w:val="right"/>
            </w:pPr>
            <w:r>
              <w:rPr>
                <w:rFonts w:ascii="Calibri Light" w:hAnsi="Calibri Light" w:cs="Calibri Light"/>
                <w:b/>
                <w:bCs w:val="1"/>
                <w:i w:val="0"/>
                <w:color w:val="203864"/>
                <w:sz w:val="19"/>
                <w:szCs w:val="19"/>
                <w:rtl/>
              </w:rPr>
              <w:t>يلتزم المتعلمون بقواعد السلوك والانضباط المدرسي</w:t>
            </w:r>
          </w:p>
        </w:tc>
      </w:tr>
    </w:tbl>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أولًا: الفكرة المحورية</w:t>
      </w:r>
    </w:p>
    <w:p>
      <w:pPr>
        <w:bidi/>
        <w:spacing w:before="0" w:after="60" w:line="276" w:lineRule="auto"/>
        <w:jc w:val="right"/>
      </w:pPr>
      <w:r>
        <w:rPr>
          <w:rFonts w:ascii="Calibri Light" w:hAnsi="Calibri Light" w:cs="Calibri Light"/>
          <w:b w:val="0"/>
          <w:bCs w:val="0"/>
          <w:i w:val="0"/>
          <w:color w:val="203864"/>
          <w:sz w:val="21"/>
          <w:szCs w:val="21"/>
          <w:rtl/>
        </w:rPr>
        <w:t>لا استدامة للانضباط دون قياس؛ سجلات السلوك والمواظبة، والتقارير الدورية، وتحليل المؤشرات تُستثمر لتطوير الإجراءات الوقائية والعلاجية، وتعزيز استمرارية الالتزام عبر دورة تحسين موثقة.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ثانيًا: إثراء أدوار المرشد الطلابي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نظام توثيق مركزي: </w:t>
      </w:r>
      <w:r>
        <w:rPr>
          <w:rFonts w:ascii="Calibri Light" w:hAnsi="Calibri Light" w:cs="Calibri Light"/>
          <w:b w:val="0"/>
          <w:bCs w:val="0"/>
          <w:i w:val="0"/>
          <w:color w:val="203864"/>
          <w:sz w:val="20"/>
          <w:szCs w:val="20"/>
          <w:rtl/>
        </w:rPr>
        <w:t>سجلات منظمة (حضور، مخالفات، جلسات، تكريم) قابلة للتحليل والاسترجاع السريع.</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التقارير الدورية: </w:t>
      </w:r>
      <w:r>
        <w:rPr>
          <w:rFonts w:ascii="Calibri Light" w:hAnsi="Calibri Light" w:cs="Calibri Light"/>
          <w:b w:val="0"/>
          <w:bCs w:val="0"/>
          <w:i w:val="0"/>
          <w:color w:val="203864"/>
          <w:sz w:val="20"/>
          <w:szCs w:val="20"/>
          <w:rtl/>
        </w:rPr>
        <w:t>أسبوعية للتنفيذ، شهرية للمؤشرات، فصلية لاتخاذ قرارات التحسين.</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تحليل المؤشرات: </w:t>
      </w:r>
      <w:r>
        <w:rPr>
          <w:rFonts w:ascii="Calibri Light" w:hAnsi="Calibri Light" w:cs="Calibri Light"/>
          <w:b w:val="0"/>
          <w:bCs w:val="0"/>
          <w:i w:val="0"/>
          <w:color w:val="203864"/>
          <w:sz w:val="20"/>
          <w:szCs w:val="20"/>
          <w:rtl/>
        </w:rPr>
        <w:t>رصد أنماط الغياب وأوقات المخالفات والفصول المستهدفة لتفعيل التدخل الاستباقي.</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التحسين المبني على البيانات: </w:t>
      </w:r>
      <w:r>
        <w:rPr>
          <w:rFonts w:ascii="Calibri Light" w:hAnsi="Calibri Light" w:cs="Calibri Light"/>
          <w:b w:val="0"/>
          <w:bCs w:val="0"/>
          <w:i w:val="0"/>
          <w:color w:val="203864"/>
          <w:sz w:val="20"/>
          <w:szCs w:val="20"/>
          <w:rtl/>
        </w:rPr>
        <w:t>تعديل الخطة التوعوية والوقائية وفق النتائج، ومشاركة التقرير في المجلس المدرسي.</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ثالثًا: خطوات التنفيذ الموصى بها</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1 - </w:t>
      </w:r>
      <w:r>
        <w:rPr>
          <w:rFonts w:ascii="Calibri Light" w:hAnsi="Calibri Light" w:cs="Calibri Light"/>
          <w:b w:val="0"/>
          <w:bCs w:val="0"/>
          <w:i w:val="0"/>
          <w:color w:val="203864"/>
          <w:sz w:val="20"/>
          <w:szCs w:val="20"/>
          <w:rtl/>
        </w:rPr>
        <w:t>إعداد سجل موحّد ودليل استخدام واضح لجميع الأطراف المعنية.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2 - </w:t>
      </w:r>
      <w:r>
        <w:rPr>
          <w:rFonts w:ascii="Calibri Light" w:hAnsi="Calibri Light" w:cs="Calibri Light"/>
          <w:b w:val="0"/>
          <w:bCs w:val="0"/>
          <w:i w:val="0"/>
          <w:color w:val="203864"/>
          <w:sz w:val="20"/>
          <w:szCs w:val="20"/>
          <w:rtl/>
        </w:rPr>
        <w:t>استخراج مؤشرات شهرية (نسبة الالتزام، معدل المخالفات، سرعة المعالجة).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3 - </w:t>
      </w:r>
      <w:r>
        <w:rPr>
          <w:rFonts w:ascii="Calibri Light" w:hAnsi="Calibri Light" w:cs="Calibri Light"/>
          <w:b w:val="0"/>
          <w:bCs w:val="0"/>
          <w:i w:val="0"/>
          <w:color w:val="203864"/>
          <w:sz w:val="20"/>
          <w:szCs w:val="20"/>
          <w:rtl/>
        </w:rPr>
        <w:t>تحليل الأسباب الجذرية للحالات المتكررة وتصميم إجراءات وقائية مستهدفة.</w:t>
      </w:r>
    </w:p>
    <w:p>
      <w:pPr>
        <w:bidi/>
        <w:spacing w:before="0" w:after="40" w:line="269" w:lineRule="auto"/>
        <w:ind w:right="283" w:hanging="283"/>
        <w:jc w:val="right"/>
      </w:pPr>
      <w:r>
        <w:rPr>
          <w:rFonts w:ascii="Calibri Light" w:hAnsi="Calibri Light" w:cs="Calibri Light"/>
          <w:b/>
          <w:bCs w:val="1"/>
          <w:i w:val="0"/>
          <w:color w:val="6AA84F"/>
          <w:sz w:val="20"/>
          <w:szCs w:val="20"/>
          <w:rtl/>
        </w:rPr>
        <w:t xml:space="preserve">4 - </w:t>
      </w:r>
      <w:r>
        <w:rPr>
          <w:rFonts w:ascii="Calibri Light" w:hAnsi="Calibri Light" w:cs="Calibri Light"/>
          <w:b w:val="0"/>
          <w:bCs w:val="0"/>
          <w:i w:val="0"/>
          <w:color w:val="203864"/>
          <w:sz w:val="20"/>
          <w:szCs w:val="20"/>
          <w:rtl/>
        </w:rPr>
        <w:t>توثيق الإجراءات التحسينية فصليًا في تقرير التحسين المستمر.</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رابعًا: مؤشرات نجاح التحقيق</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اكتمال التوثيق في السجلات المركزية بنسبة تتجاوز 95%.</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تحسّن المؤشرات السلوكية ربع سنويًا بشكل ملموس.</w:t>
      </w:r>
    </w:p>
    <w:p>
      <w:pPr>
        <w:bidi/>
        <w:spacing w:before="0" w:after="40" w:line="269" w:lineRule="auto"/>
        <w:ind w:right="198" w:hanging="198"/>
        <w:jc w:val="right"/>
      </w:pPr>
      <w:r>
        <w:rPr>
          <w:rFonts w:ascii="Calibri Light" w:hAnsi="Calibri Light" w:cs="Calibri Light"/>
          <w:b/>
          <w:bCs w:val="1"/>
          <w:i w:val="0"/>
          <w:color w:val="6AA84F"/>
          <w:sz w:val="20"/>
          <w:szCs w:val="20"/>
          <w:rtl/>
        </w:rPr>
        <w:t xml:space="preserve">✓ </w:t>
      </w:r>
      <w:r>
        <w:rPr>
          <w:rFonts w:ascii="Calibri Light" w:hAnsi="Calibri Light" w:cs="Calibri Light"/>
          <w:b/>
          <w:bCs w:val="1"/>
          <w:i w:val="0"/>
          <w:color w:val="1F4E79"/>
          <w:sz w:val="20"/>
          <w:szCs w:val="20"/>
          <w:rtl/>
        </w:rPr>
        <w:t xml:space="preserve">مؤشر: </w:t>
      </w:r>
      <w:r>
        <w:rPr>
          <w:rFonts w:ascii="Calibri Light" w:hAnsi="Calibri Light" w:cs="Calibri Light"/>
          <w:b w:val="0"/>
          <w:bCs w:val="0"/>
          <w:i w:val="0"/>
          <w:color w:val="203864"/>
          <w:sz w:val="20"/>
          <w:szCs w:val="20"/>
          <w:rtl/>
        </w:rPr>
        <w:t>تحول ثقل الإجراءات من العلاجية إلى الوقائية.</w:t>
      </w:r>
    </w:p>
    <w:p>
      <w:pPr>
        <w:shd w:val="clear" w:color="auto" w:fill="6AA84F"/>
        <w:bidi/>
        <w:spacing w:before="100" w:after="60" w:line="252" w:lineRule="auto"/>
        <w:ind w:left="68" w:right="68"/>
        <w:jc w:val="right"/>
      </w:pPr>
      <w:r>
        <w:rPr>
          <w:rFonts w:ascii="Calibri Light" w:hAnsi="Calibri Light" w:cs="Calibri Light"/>
          <w:b/>
          <w:bCs w:val="1"/>
          <w:i w:val="0"/>
          <w:color w:val="FFFFFF"/>
          <w:sz w:val="21"/>
          <w:szCs w:val="21"/>
          <w:rtl/>
        </w:rPr>
        <w:t xml:space="preserve">  خامسًا: سيناريو تطبيقي للمرشد الطلابي</w:t>
      </w:r>
    </w:p>
    <w:tbl>
      <w:tblPr>
        <w:bidiVisual/>
        <w:tblW w:type="auto" w:w="0"/>
        <w:tblBorders>
          <w:top w:val="single" w:sz="4" w:space="0" w:color="6AA84F"/>
          <w:left w:val="single" w:sz="4" w:space="0" w:color="6AA84F"/>
          <w:bottom w:val="single" w:sz="4" w:space="0" w:color="6AA84F"/>
          <w:right w:val="single" w:sz="4" w:space="0" w:color="6AA84F"/>
          <w:insideH w:val="single" w:sz="4" w:space="0" w:color="6AA84F"/>
          <w:insideV w:val="single" w:sz="4" w:space="0" w:color="6AA84F"/>
        </w:tblBorders>
        <w:tblLook w:firstColumn="1" w:firstRow="1" w:lastColumn="0" w:lastRow="0" w:noHBand="0" w:noVBand="1" w:val="04A0"/>
      </w:tblPr>
      <w:tblGrid>
        <w:gridCol w:w="10206"/>
      </w:tblGrid>
      <w:tr>
        <w:tc>
          <w:tcPr>
            <w:tcW w:type="dxa" w:w="10206"/>
            <w:shd w:val="clear" w:color="auto" w:fill="F2F7EC"/>
            <w:tcMar>
              <w:top w:w="50" w:type="dxa"/>
              <w:left w:w="100" w:type="dxa"/>
              <w:bottom w:w="50" w:type="dxa"/>
              <w:right w:w="100" w:type="dxa"/>
            </w:tcMar>
          </w:tcPr>
          <w:p>
            <w:pPr>
              <w:bidi/>
              <w:spacing w:before="0" w:after="20" w:line="264" w:lineRule="auto"/>
              <w:jc w:val="right"/>
            </w:pPr>
            <w:r>
              <w:rPr>
                <w:rFonts w:ascii="Calibri Light" w:hAnsi="Calibri Light" w:cs="Calibri Light"/>
                <w:b w:val="0"/>
                <w:bCs w:val="0"/>
                <w:i w:val="0"/>
                <w:color w:val="203864"/>
                <w:sz w:val="19"/>
                <w:szCs w:val="19"/>
                <w:rtl/>
              </w:rPr>
              <w:t>يلاحظ المرشد من تحليل السجلات تركّز المخالفات في آخر الحصص؛ فيقترح خطة انتقالية ووقائية، فتتحول المخالفات من معالجةٍ إلى استباقٍ منظم.</w:t>
            </w:r>
          </w:p>
        </w:tc>
      </w:tr>
    </w:tbl>
    <w:tbl>
      <w:tblPr>
        <w:bidiVisual/>
        <w:tblW w:type="auto" w:w="0"/>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firstColumn="1" w:firstRow="1" w:lastColumn="0" w:lastRow="0" w:noHBand="0" w:noVBand="1" w:val="04A0"/>
      </w:tblPr>
      <w:tblGrid>
        <w:gridCol w:w="10206"/>
      </w:tblGrid>
      <w:tr>
        <w:tc>
          <w:tcPr>
            <w:tcW w:type="dxa" w:w="10206"/>
            <w:shd w:val="clear" w:color="auto" w:fill="EDF3F8"/>
            <w:tcMar>
              <w:top w:w="50" w:type="dxa"/>
              <w:left w:w="100" w:type="dxa"/>
              <w:bottom w:w="50" w:type="dxa"/>
              <w:right w:w="100" w:type="dxa"/>
            </w:tcMar>
          </w:tcPr>
          <w:p>
            <w:pPr>
              <w:bidi/>
              <w:spacing w:before="0" w:after="20" w:line="264" w:lineRule="auto"/>
              <w:jc w:val="right"/>
            </w:pPr>
            <w:r>
              <w:rPr>
                <w:rFonts w:ascii="Calibri Light" w:hAnsi="Calibri Light" w:cs="Calibri Light"/>
                <w:b/>
                <w:bCs w:val="1"/>
                <w:i w:val="0"/>
                <w:color w:val="1F4E79"/>
                <w:sz w:val="17"/>
                <w:szCs w:val="17"/>
                <w:rtl/>
              </w:rPr>
              <w:t>أدوات التقويم وفق النموذج:   ☑ استبانة المعلم   ☐ استبانة المتعلم   ☐ استبانة الأسرة   ☑ المقابلات   ☑ تحليل الوثائق   ☐ الملاحظة الصفية   ☐ ملاحظة بيئة التعلم</w:t>
            </w:r>
          </w:p>
          <w:p>
            <w:pPr>
              <w:bidi/>
              <w:spacing w:before="0" w:after="20" w:line="264" w:lineRule="auto"/>
              <w:jc w:val="right"/>
            </w:pPr>
            <w:r>
              <w:rPr>
                <w:rFonts w:ascii="Calibri Light" w:hAnsi="Calibri Light" w:cs="Calibri Light"/>
                <w:b w:val="0"/>
                <w:bCs w:val="0"/>
                <w:i w:val="0"/>
                <w:color w:val="203864"/>
                <w:sz w:val="17"/>
                <w:szCs w:val="17"/>
                <w:rtl/>
              </w:rPr>
              <w:t>أفضل ممارسة للمرشد الطلابي: جمع شواهد المؤشر دوريًا عبر الأدوات المحددة أعلاه، وتوثيقها في ملف التحسين المستمر.</w:t>
            </w:r>
          </w:p>
        </w:tc>
      </w:tr>
    </w:tbl>
    <w:sectPr w:rsidR="00FC693F" w:rsidRPr="0006063C" w:rsidSect="00034616">
      <w:headerReference w:type="default" r:id="rId9"/>
      <w:footerReference w:type="default" r:id="rId10"/>
      <w:pgSz w:w="11906" w:h="16838"/>
      <w:pgMar w:top="2013" w:right="850" w:bottom="1786" w:left="850" w:header="397"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3175"/>
      <w:gridCol w:w="3969"/>
      <w:gridCol w:w="3061"/>
    </w:tblGrid>
    <w:tr>
      <w:tc>
        <w:tcPr>
          <w:tcW w:type="dxa" w:w="3402"/>
          <w:tcMar>
            <w:top w:w="0" w:type="dxa"/>
            <w:left w:w="0" w:type="dxa"/>
            <w:bottom w:w="0" w:type="dxa"/>
            <w:right w:w="0" w:type="dxa"/>
          </w:tcMar>
        </w:tc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531"/>
            <w:gridCol w:w="1531"/>
          </w:tblGrid>
          <w:tr>
            <w:tc>
              <w:tcPr>
                <w:tcW w:type="dxa" w:w="1701"/>
                <w:tcBorders>
                  <w:top w:val="single" w:sz="4" w:space="0" w:color="BFBFBF"/>
                  <w:left w:val="single" w:sz="4" w:space="0" w:color="BFBFBF"/>
                  <w:bottom w:val="single" w:sz="4" w:space="0" w:color="BFBFBF"/>
                  <w:right w:val="single" w:sz="4" w:space="0" w:color="BFBFBF"/>
                </w:tcBorders>
                <w:tcMar>
                  <w:top w:w="20" w:type="dxa"/>
                  <w:left w:w="40" w:type="dxa"/>
                  <w:bottom w:w="20" w:type="dxa"/>
                  <w:right w:w="40" w:type="dxa"/>
                </w:tcMar>
              </w:tcPr>
              <w:p>
                <w:pPr>
                  <w:bidi/>
                  <w:spacing w:before="0" w:after="0" w:line="240" w:lineRule="auto"/>
                  <w:jc w:val="center"/>
                </w:pPr>
                <w:r>
                  <w:rPr>
                    <w:rFonts w:ascii="Calibri Light" w:hAnsi="Calibri Light" w:cs="Calibri Light"/>
                    <w:b/>
                    <w:bCs w:val="1"/>
                    <w:i w:val="0"/>
                    <w:color w:val="A60000"/>
                    <w:sz w:val="14"/>
                    <w:szCs w:val="14"/>
                    <w:rtl/>
                  </w:rPr>
                  <w:t>ISO 9001:2015</w:t>
                </w:r>
              </w:p>
              <w:p>
                <w:pPr>
                  <w:bidi/>
                  <w:spacing w:before="0" w:after="0" w:line="240" w:lineRule="auto"/>
                  <w:jc w:val="center"/>
                </w:pPr>
                <w:r>
                  <w:rPr>
                    <w:rFonts w:ascii="Calibri Light" w:hAnsi="Calibri Light" w:cs="Calibri Light"/>
                    <w:b w:val="0"/>
                    <w:bCs w:val="0"/>
                    <w:i w:val="0"/>
                    <w:color w:val="595959"/>
                    <w:sz w:val="11"/>
                    <w:szCs w:val="11"/>
                    <w:rtl/>
                  </w:rPr>
                  <w:t>CERTIFIED</w:t>
                </w:r>
              </w:p>
            </w:tc>
            <w:tc>
              <w:tcPr>
                <w:tcW w:type="dxa" w:w="1701"/>
                <w:tcBorders>
                  <w:top w:val="single" w:sz="4" w:space="0" w:color="BFBFBF"/>
                  <w:left w:val="single" w:sz="4" w:space="0" w:color="BFBFBF"/>
                  <w:bottom w:val="single" w:sz="4" w:space="0" w:color="BFBFBF"/>
                  <w:right w:val="single" w:sz="4" w:space="0" w:color="BFBFBF"/>
                </w:tcBorders>
                <w:tcMar>
                  <w:top w:w="20" w:type="dxa"/>
                  <w:left w:w="40" w:type="dxa"/>
                  <w:bottom w:w="20" w:type="dxa"/>
                  <w:right w:w="40" w:type="dxa"/>
                </w:tcMar>
              </w:tcPr>
              <w:p>
                <w:pPr>
                  <w:bidi/>
                  <w:spacing w:before="0" w:after="0" w:line="240" w:lineRule="auto"/>
                  <w:jc w:val="center"/>
                </w:pPr>
                <w:r>
                  <w:rPr>
                    <w:rFonts w:ascii="Calibri Light" w:hAnsi="Calibri Light" w:cs="Calibri Light"/>
                    <w:b/>
                    <w:bCs w:val="1"/>
                    <w:i w:val="0"/>
                    <w:color w:val="1F4E79"/>
                    <w:sz w:val="14"/>
                    <w:szCs w:val="14"/>
                    <w:rtl/>
                  </w:rPr>
                  <w:t>AiAA</w:t>
                </w:r>
              </w:p>
              <w:p>
                <w:pPr>
                  <w:bidi/>
                  <w:spacing w:before="0" w:after="0" w:line="240" w:lineRule="auto"/>
                  <w:jc w:val="center"/>
                </w:pPr>
                <w:r>
                  <w:rPr>
                    <w:rFonts w:ascii="Calibri Light" w:hAnsi="Calibri Light" w:cs="Calibri Light"/>
                    <w:b w:val="0"/>
                    <w:bCs w:val="0"/>
                    <w:i w:val="0"/>
                    <w:color w:val="595959"/>
                    <w:sz w:val="11"/>
                    <w:szCs w:val="11"/>
                    <w:rtl/>
                  </w:rPr>
                  <w:t>اعتماد دولي</w:t>
                </w:r>
              </w:p>
            </w:tc>
          </w:tr>
        </w:tbl>
        <w:p/>
      </w:tc>
      <w:tc>
        <w:tcPr>
          <w:tcW w:type="dxa" w:w="3402"/>
          <w:tcMar>
            <w:top w:w="0" w:type="dxa"/>
            <w:left w:w="0" w:type="dxa"/>
            <w:bottom w:w="0" w:type="dxa"/>
            <w:right w:w="0" w:type="dxa"/>
          </w:tcMar>
        </w:tcPr>
        <w:p>
          <w:pPr>
            <w:bidi/>
            <w:spacing w:before="0" w:after="20" w:line="240" w:lineRule="auto"/>
            <w:jc w:val="center"/>
          </w:pPr>
          <w:r>
            <w:rPr>
              <w:rFonts w:ascii="Calibri Light" w:hAnsi="Calibri Light" w:cs="Calibri Light"/>
              <w:b/>
              <w:bCs w:val="1"/>
              <w:i w:val="0"/>
              <w:color w:val="1F4E79"/>
              <w:sz w:val="17"/>
              <w:szCs w:val="17"/>
              <w:rtl/>
            </w:rPr>
            <w:t>التعليم المتقـدم يبنـي ...</w:t>
          </w: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247"/>
            <w:gridCol w:w="1247"/>
            <w:gridCol w:w="1247"/>
          </w:tblGrid>
          <w:tr>
            <w:tc>
              <w:tcPr>
                <w:tcW w:type="dxa" w:w="1134"/>
                <w:tcMar>
                  <w:top w:w="0" w:type="dxa"/>
                  <w:left w:w="0" w:type="dxa"/>
                  <w:bottom w:w="0" w:type="dxa"/>
                  <w:right w:w="0" w:type="dxa"/>
                </w:tcMar>
              </w:tcPr>
              <w:p>
                <w:pPr>
                  <w:bidi/>
                  <w:spacing w:before="0" w:after="0" w:line="240" w:lineRule="auto"/>
                  <w:jc w:val="center"/>
                </w:pPr>
                <w:r>
                  <w:drawing>
                    <wp:inline xmlns:a="http://schemas.openxmlformats.org/drawingml/2006/main" xmlns:pic="http://schemas.openxmlformats.org/drawingml/2006/picture">
                      <wp:extent cx="198000" cy="198000"/>
                      <wp:docPr id="1" name="Picture 1"/>
                      <wp:cNvGraphicFramePr>
                        <a:graphicFrameLocks noChangeAspect="1"/>
                      </wp:cNvGraphicFramePr>
                      <a:graphic>
                        <a:graphicData uri="http://schemas.openxmlformats.org/drawingml/2006/picture">
                          <pic:pic>
                            <pic:nvPicPr>
                              <pic:cNvPr id="0" name="icon_person.png"/>
                              <pic:cNvPicPr/>
                            </pic:nvPicPr>
                            <pic:blipFill>
                              <a:blip r:embed="rId1"/>
                              <a:stretch>
                                <a:fillRect/>
                              </a:stretch>
                            </pic:blipFill>
                            <pic:spPr>
                              <a:xfrm>
                                <a:off x="0" y="0"/>
                                <a:ext cx="198000" cy="198000"/>
                              </a:xfrm>
                              <a:prstGeom prst="rect"/>
                            </pic:spPr>
                          </pic:pic>
                        </a:graphicData>
                      </a:graphic>
                    </wp:inline>
                  </w:drawing>
                </w:r>
              </w:p>
              <w:p>
                <w:pPr>
                  <w:bidi/>
                  <w:spacing w:before="0" w:after="0" w:line="240" w:lineRule="auto"/>
                  <w:jc w:val="center"/>
                </w:pPr>
                <w:r>
                  <w:rPr>
                    <w:rFonts w:ascii="Calibri Light" w:hAnsi="Calibri Light" w:cs="Calibri Light"/>
                    <w:b w:val="0"/>
                    <w:bCs w:val="0"/>
                    <w:i w:val="0"/>
                    <w:color w:val="595959"/>
                    <w:sz w:val="11"/>
                    <w:szCs w:val="11"/>
                    <w:rtl/>
                  </w:rPr>
                  <w:t>المعرفة</w:t>
                </w:r>
              </w:p>
            </w:tc>
            <w:tc>
              <w:tcPr>
                <w:tcW w:type="dxa" w:w="1134"/>
                <w:tcMar>
                  <w:top w:w="0" w:type="dxa"/>
                  <w:left w:w="0" w:type="dxa"/>
                  <w:bottom w:w="0" w:type="dxa"/>
                  <w:right w:w="0" w:type="dxa"/>
                </w:tcMar>
              </w:tcPr>
              <w:p>
                <w:pPr>
                  <w:bidi/>
                  <w:spacing w:before="0" w:after="0" w:line="240" w:lineRule="auto"/>
                  <w:jc w:val="center"/>
                </w:pPr>
                <w:r>
                  <w:drawing>
                    <wp:inline xmlns:a="http://schemas.openxmlformats.org/drawingml/2006/main" xmlns:pic="http://schemas.openxmlformats.org/drawingml/2006/picture">
                      <wp:extent cx="198000" cy="198000"/>
                      <wp:docPr id="2" name="Picture 2"/>
                      <wp:cNvGraphicFramePr>
                        <a:graphicFrameLocks noChangeAspect="1"/>
                      </wp:cNvGraphicFramePr>
                      <a:graphic>
                        <a:graphicData uri="http://schemas.openxmlformats.org/drawingml/2006/picture">
                          <pic:pic>
                            <pic:nvPicPr>
                              <pic:cNvPr id="0" name="icon_chart.png"/>
                              <pic:cNvPicPr/>
                            </pic:nvPicPr>
                            <pic:blipFill>
                              <a:blip r:embed="rId2"/>
                              <a:stretch>
                                <a:fillRect/>
                              </a:stretch>
                            </pic:blipFill>
                            <pic:spPr>
                              <a:xfrm>
                                <a:off x="0" y="0"/>
                                <a:ext cx="198000" cy="198000"/>
                              </a:xfrm>
                              <a:prstGeom prst="rect"/>
                            </pic:spPr>
                          </pic:pic>
                        </a:graphicData>
                      </a:graphic>
                    </wp:inline>
                  </w:drawing>
                </w:r>
              </w:p>
              <w:p>
                <w:pPr>
                  <w:bidi/>
                  <w:spacing w:before="0" w:after="0" w:line="240" w:lineRule="auto"/>
                  <w:jc w:val="center"/>
                </w:pPr>
                <w:r>
                  <w:rPr>
                    <w:rFonts w:ascii="Calibri Light" w:hAnsi="Calibri Light" w:cs="Calibri Light"/>
                    <w:b w:val="0"/>
                    <w:bCs w:val="0"/>
                    <w:i w:val="0"/>
                    <w:color w:val="595959"/>
                    <w:sz w:val="11"/>
                    <w:szCs w:val="11"/>
                    <w:rtl/>
                  </w:rPr>
                  <w:t>التكنولوجيا</w:t>
                </w:r>
              </w:p>
            </w:tc>
            <w:tc>
              <w:tcPr>
                <w:tcW w:type="dxa" w:w="1134"/>
                <w:tcMar>
                  <w:top w:w="0" w:type="dxa"/>
                  <w:left w:w="0" w:type="dxa"/>
                  <w:bottom w:w="0" w:type="dxa"/>
                  <w:right w:w="0" w:type="dxa"/>
                </w:tcMar>
              </w:tcPr>
              <w:p>
                <w:pPr>
                  <w:bidi/>
                  <w:spacing w:before="0" w:after="0" w:line="240" w:lineRule="auto"/>
                  <w:jc w:val="center"/>
                </w:pPr>
                <w:r>
                  <w:drawing>
                    <wp:inline xmlns:a="http://schemas.openxmlformats.org/drawingml/2006/main" xmlns:pic="http://schemas.openxmlformats.org/drawingml/2006/picture">
                      <wp:extent cx="198000" cy="198000"/>
                      <wp:docPr id="3" name="Picture 3"/>
                      <wp:cNvGraphicFramePr>
                        <a:graphicFrameLocks noChangeAspect="1"/>
                      </wp:cNvGraphicFramePr>
                      <a:graphic>
                        <a:graphicData uri="http://schemas.openxmlformats.org/drawingml/2006/picture">
                          <pic:pic>
                            <pic:nvPicPr>
                              <pic:cNvPr id="0" name="icon_atom.png"/>
                              <pic:cNvPicPr/>
                            </pic:nvPicPr>
                            <pic:blipFill>
                              <a:blip r:embed="rId3"/>
                              <a:stretch>
                                <a:fillRect/>
                              </a:stretch>
                            </pic:blipFill>
                            <pic:spPr>
                              <a:xfrm>
                                <a:off x="0" y="0"/>
                                <a:ext cx="198000" cy="198000"/>
                              </a:xfrm>
                              <a:prstGeom prst="rect"/>
                            </pic:spPr>
                          </pic:pic>
                        </a:graphicData>
                      </a:graphic>
                    </wp:inline>
                  </w:drawing>
                </w:r>
              </w:p>
              <w:p>
                <w:pPr>
                  <w:bidi/>
                  <w:spacing w:before="0" w:after="0" w:line="240" w:lineRule="auto"/>
                  <w:jc w:val="center"/>
                </w:pPr>
                <w:r>
                  <w:rPr>
                    <w:rFonts w:ascii="Calibri Light" w:hAnsi="Calibri Light" w:cs="Calibri Light"/>
                    <w:b w:val="0"/>
                    <w:bCs w:val="0"/>
                    <w:i w:val="0"/>
                    <w:color w:val="595959"/>
                    <w:sz w:val="11"/>
                    <w:szCs w:val="11"/>
                    <w:rtl/>
                  </w:rPr>
                  <w:t>العلوم</w:t>
                </w:r>
              </w:p>
            </w:tc>
          </w:tr>
        </w:tbl>
        <w:p/>
      </w:tc>
      <w:tc>
        <w:tcPr>
          <w:tcW w:type="dxa" w:w="3402"/>
          <w:tcMar>
            <w:top w:w="0" w:type="dxa"/>
            <w:left w:w="0" w:type="dxa"/>
            <w:bottom w:w="0" w:type="dxa"/>
            <w:right w:w="0" w:type="dxa"/>
          </w:tcMar>
        </w:tcPr>
        <w:p>
          <w:pPr>
            <w:bidi/>
            <w:spacing w:before="0" w:after="0" w:line="264" w:lineRule="auto"/>
            <w:jc w:val="center"/>
          </w:pPr>
          <w:r>
            <w:rPr>
              <w:rFonts w:ascii="Calibri Light" w:hAnsi="Calibri Light" w:cs="Calibri Light"/>
              <w:b/>
              <w:bCs w:val="1"/>
              <w:i w:val="0"/>
              <w:color w:val="1F4E79"/>
              <w:sz w:val="16"/>
              <w:szCs w:val="16"/>
              <w:rtl/>
            </w:rPr>
            <w:t xml:space="preserve">f   X   ◎   </w:t>
          </w:r>
          <w:r>
            <w:rPr>
              <w:rFonts w:ascii="Calibri Light" w:hAnsi="Calibri Light" w:cs="Calibri Light"/>
              <w:b/>
              <w:bCs w:val="1"/>
              <w:i w:val="0"/>
              <w:color w:val="1F4E79"/>
              <w:sz w:val="16"/>
              <w:szCs w:val="16"/>
              <w:rtl/>
            </w:rPr>
            <w:t>Ajailyanbu</w:t>
          </w:r>
        </w:p>
        <w:p>
          <w:pPr>
            <w:bidi/>
            <w:spacing w:before="0" w:after="0" w:line="264" w:lineRule="auto"/>
            <w:jc w:val="center"/>
          </w:pPr>
          <w:r>
            <w:rPr>
              <w:rFonts w:ascii="Calibri Light" w:hAnsi="Calibri Light" w:cs="Calibri Light"/>
              <w:b/>
              <w:bCs w:val="1"/>
              <w:i w:val="0"/>
              <w:color w:val="6AA84F"/>
              <w:sz w:val="16"/>
              <w:szCs w:val="16"/>
              <w:rtl/>
            </w:rPr>
            <w:t xml:space="preserve">☎   </w:t>
          </w:r>
          <w:r>
            <w:rPr>
              <w:rFonts w:ascii="Calibri Light" w:hAnsi="Calibri Light" w:cs="Calibri Light"/>
              <w:b w:val="0"/>
              <w:bCs w:val="0"/>
              <w:i w:val="0"/>
              <w:color w:val="1F4E79"/>
              <w:sz w:val="16"/>
              <w:szCs w:val="16"/>
              <w:rtl/>
            </w:rPr>
            <w:t>Nabualmarifa.edu.sa</w:t>
          </w:r>
        </w:p>
      </w:tc>
    </w:tr>
  </w:tbl>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6520"/>
      <w:gridCol w:w="3685"/>
    </w:tblGrid>
    <w:tr>
      <w:tc>
        <w:tcPr>
          <w:tcW w:type="dxa" w:w="5102"/>
          <w:tcBorders>
            <w:bottom w:val="single" w:sz="6" w:space="0" w:color="1F4E79"/>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c>
        <w:tcPr>
          <w:tcW w:type="dxa" w:w="5102"/>
          <w:tcBorders>
            <w:bottom w:val="single" w:sz="36" w:space="0" w:color="6AA84F"/>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3969"/>
      <w:gridCol w:w="3402"/>
      <w:gridCol w:w="2835"/>
    </w:tblGrid>
    <w:tr>
      <w:tc>
        <w:tcPr>
          <w:tcW w:type="dxa" w:w="3402"/>
          <w:tcMar>
            <w:top w:w="0" w:type="dxa"/>
            <w:left w:w="0" w:type="dxa"/>
            <w:bottom w:w="0" w:type="dxa"/>
            <w:right w:w="0" w:type="dxa"/>
          </w:tcMar>
        </w:tc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2891"/>
            <w:gridCol w:w="964"/>
          </w:tblGrid>
          <w:tr>
            <w:tc>
              <w:tcPr>
                <w:tcW w:type="dxa" w:w="1701"/>
                <w:tcMar>
                  <w:top w:w="0" w:type="dxa"/>
                  <w:left w:w="0" w:type="dxa"/>
                  <w:bottom w:w="0" w:type="dxa"/>
                  <w:right w:w="0" w:type="dxa"/>
                </w:tcMar>
              </w:tcPr>
              <w:p>
                <w:pPr>
                  <w:bidi/>
                  <w:spacing w:before="0" w:after="0" w:line="240" w:lineRule="auto"/>
                  <w:jc w:val="right"/>
                </w:pPr>
                <w:r>
                  <w:rPr>
                    <w:rFonts w:ascii="Calibri Light" w:hAnsi="Calibri Light" w:cs="Calibri Light"/>
                    <w:b/>
                    <w:bCs w:val="1"/>
                    <w:i w:val="0"/>
                    <w:color w:val="2E7D32"/>
                    <w:sz w:val="20"/>
                    <w:szCs w:val="20"/>
                    <w:rtl/>
                  </w:rPr>
                  <w:t>المملكة العربية السعودية</w:t>
                </w:r>
              </w:p>
              <w:p>
                <w:pPr>
                  <w:bidi/>
                  <w:spacing w:before="0" w:after="0" w:line="240" w:lineRule="auto"/>
                  <w:jc w:val="right"/>
                </w:pPr>
                <w:r>
                  <w:rPr>
                    <w:rFonts w:ascii="Calibri Light" w:hAnsi="Calibri Light" w:cs="Calibri Light"/>
                    <w:b/>
                    <w:bCs w:val="1"/>
                    <w:i w:val="0"/>
                    <w:color w:val="203864"/>
                    <w:sz w:val="17"/>
                    <w:szCs w:val="17"/>
                    <w:rtl/>
                  </w:rPr>
                  <w:t>وزارة التعليم</w:t>
                </w:r>
              </w:p>
              <w:p>
                <w:pPr>
                  <w:bidi/>
                  <w:spacing w:before="0" w:after="0" w:line="240" w:lineRule="auto"/>
                  <w:jc w:val="right"/>
                </w:pPr>
                <w:r>
                  <w:rPr>
                    <w:rFonts w:ascii="Calibri Light" w:hAnsi="Calibri Light" w:cs="Calibri Light"/>
                    <w:b w:val="0"/>
                    <w:bCs w:val="0"/>
                    <w:i w:val="0"/>
                    <w:color w:val="203864"/>
                    <w:sz w:val="15"/>
                    <w:szCs w:val="15"/>
                    <w:rtl/>
                  </w:rPr>
                  <w:t>الإدارة العامة للتعليم</w:t>
                </w:r>
              </w:p>
              <w:p>
                <w:pPr>
                  <w:bidi/>
                  <w:spacing w:before="0" w:after="0" w:line="240" w:lineRule="auto"/>
                  <w:jc w:val="right"/>
                </w:pPr>
                <w:r>
                  <w:rPr>
                    <w:rFonts w:ascii="Calibri Light" w:hAnsi="Calibri Light" w:cs="Calibri Light"/>
                    <w:b w:val="0"/>
                    <w:bCs w:val="0"/>
                    <w:i w:val="0"/>
                    <w:color w:val="203864"/>
                    <w:sz w:val="15"/>
                    <w:szCs w:val="15"/>
                    <w:rtl/>
                  </w:rPr>
                  <w:t>مكتب التعليم</w:t>
                </w:r>
              </w:p>
            </w:tc>
            <w:tc>
              <w:tcPr>
                <w:tcW w:type="dxa" w:w="1701"/>
                <w:tcMar>
                  <w:top w:w="0" w:type="dxa"/>
                  <w:left w:w="0" w:type="dxa"/>
                  <w:bottom w:w="0" w:type="dxa"/>
                  <w:right w:w="0" w:type="dxa"/>
                </w:tcMar>
              </w:tcPr>
              <w:p>
                <w:pPr>
                  <w:bidi/>
                  <w:spacing w:before="0" w:after="0" w:line="252" w:lineRule="auto"/>
                  <w:jc w:val="center"/>
                </w:pPr>
                <w:r>
                  <w:drawing>
                    <wp:inline xmlns:a="http://schemas.openxmlformats.org/drawingml/2006/main" xmlns:pic="http://schemas.openxmlformats.org/drawingml/2006/picture">
                      <wp:extent cx="540000" cy="540000"/>
                      <wp:docPr id="1" name="Picture 1"/>
                      <wp:cNvGraphicFramePr>
                        <a:graphicFrameLocks noChangeAspect="1"/>
                      </wp:cNvGraphicFramePr>
                      <a:graphic>
                        <a:graphicData uri="http://schemas.openxmlformats.org/drawingml/2006/picture">
                          <pic:pic>
                            <pic:nvPicPr>
                              <pic:cNvPr id="0" name="mark_ksa.png"/>
                              <pic:cNvPicPr/>
                            </pic:nvPicPr>
                            <pic:blipFill>
                              <a:blip r:embed="rId1"/>
                              <a:stretch>
                                <a:fillRect/>
                              </a:stretch>
                            </pic:blipFill>
                            <pic:spPr>
                              <a:xfrm>
                                <a:off x="0" y="0"/>
                                <a:ext cx="540000" cy="540000"/>
                              </a:xfrm>
                              <a:prstGeom prst="rect"/>
                            </pic:spPr>
                          </pic:pic>
                        </a:graphicData>
                      </a:graphic>
                    </wp:inline>
                  </w:drawing>
                </w:r>
              </w:p>
            </w:tc>
          </w:tr>
        </w:tbl>
        <w:p/>
      </w:tc>
      <w:tc>
        <w:tcPr>
          <w:tcW w:type="dxa" w:w="3402"/>
          <w:tcMar>
            <w:top w:w="0" w:type="dxa"/>
            <w:left w:w="0" w:type="dxa"/>
            <w:bottom w:w="0" w:type="dxa"/>
            <w:right w:w="0" w:type="dxa"/>
          </w:tcMar>
        </w:tcPr>
        <w:p/>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2268"/>
            <w:gridCol w:w="1020"/>
          </w:tblGrid>
          <w:tr>
            <w:tc>
              <w:tcPr>
                <w:tcW w:type="dxa" w:w="1701"/>
                <w:tcMar>
                  <w:top w:w="0" w:type="dxa"/>
                  <w:left w:w="0" w:type="dxa"/>
                  <w:bottom w:w="0" w:type="dxa"/>
                  <w:right w:w="0" w:type="dxa"/>
                </w:tcMar>
              </w:tcPr>
              <w:p>
                <w:pPr>
                  <w:bidi/>
                  <w:spacing w:before="0" w:after="0" w:line="276" w:lineRule="auto"/>
                  <w:jc w:val="right"/>
                </w:pPr>
                <w:r>
                  <w:rPr>
                    <w:rFonts w:ascii="Calibri Light" w:hAnsi="Calibri Light" w:cs="Calibri Light"/>
                    <w:b/>
                    <w:bCs w:val="1"/>
                    <w:i w:val="0"/>
                    <w:color w:val="1F4E79"/>
                    <w:sz w:val="22"/>
                    <w:szCs w:val="22"/>
                    <w:rtl/>
                  </w:rPr>
                  <w:t>مـدارس أجـيال للبنـات المـتـميزة</w:t>
                </w:r>
              </w:p>
            </w:tc>
            <w:tc>
              <w:tcPr>
                <w:tcW w:type="dxa" w:w="1701"/>
                <w:tcMar>
                  <w:top w:w="0" w:type="dxa"/>
                  <w:left w:w="0" w:type="dxa"/>
                  <w:bottom w:w="0" w:type="dxa"/>
                  <w:right w:w="0" w:type="dxa"/>
                </w:tcMar>
              </w:tcPr>
              <w:p>
                <w:pPr>
                  <w:bidi/>
                  <w:spacing w:before="0" w:after="0" w:line="252" w:lineRule="auto"/>
                  <w:jc w:val="center"/>
                </w:pPr>
                <w: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mark_ajyal.png"/>
                              <pic:cNvPicPr/>
                            </pic:nvPicPr>
                            <pic:blipFill>
                              <a:blip r:embed="rId2"/>
                              <a:stretch>
                                <a:fillRect/>
                              </a:stretch>
                            </pic:blipFill>
                            <pic:spPr>
                              <a:xfrm>
                                <a:off x="0" y="0"/>
                                <a:ext cx="576000" cy="576000"/>
                              </a:xfrm>
                              <a:prstGeom prst="rect"/>
                            </pic:spPr>
                          </pic:pic>
                        </a:graphicData>
                      </a:graphic>
                    </wp:inline>
                  </w:drawing>
                </w:r>
              </w:p>
            </w:tc>
          </w:tr>
        </w:tbl>
        <w:p/>
      </w:tc>
      <w:tc>
        <w:tcPr>
          <w:tcW w:type="dxa" w:w="3402"/>
          <w:tcMar>
            <w:top w:w="0" w:type="dxa"/>
            <w:left w:w="0" w:type="dxa"/>
            <w:bottom w:w="0" w:type="dxa"/>
            <w:right w:w="0" w:type="dxa"/>
          </w:tcMar>
        </w:tcPr>
        <w:p>
          <w:pPr>
            <w:bidi/>
            <w:spacing w:before="0" w:after="0" w:line="252" w:lineRule="auto"/>
            <w:jc w:val="center"/>
          </w:pPr>
          <w:r>
            <w:drawing>
              <wp:inline xmlns:a="http://schemas.openxmlformats.org/drawingml/2006/main" xmlns:pic="http://schemas.openxmlformats.org/drawingml/2006/picture">
                <wp:extent cx="396000" cy="396000"/>
                <wp:docPr id="3" name="Picture 3"/>
                <wp:cNvGraphicFramePr>
                  <a:graphicFrameLocks noChangeAspect="1"/>
                </wp:cNvGraphicFramePr>
                <a:graphic>
                  <a:graphicData uri="http://schemas.openxmlformats.org/drawingml/2006/picture">
                    <pic:pic>
                      <pic:nvPicPr>
                        <pic:cNvPr id="0" name="mark_dev.png"/>
                        <pic:cNvPicPr/>
                      </pic:nvPicPr>
                      <pic:blipFill>
                        <a:blip r:embed="rId3"/>
                        <a:stretch>
                          <a:fillRect/>
                        </a:stretch>
                      </pic:blipFill>
                      <pic:spPr>
                        <a:xfrm>
                          <a:off x="0" y="0"/>
                          <a:ext cx="396000" cy="396000"/>
                        </a:xfrm>
                        <a:prstGeom prst="rect"/>
                      </pic:spPr>
                    </pic:pic>
                  </a:graphicData>
                </a:graphic>
              </wp:inline>
            </w:drawing>
          </w:r>
        </w:p>
        <w:p>
          <w:pPr>
            <w:bidi/>
            <w:spacing w:before="0" w:after="0" w:line="240" w:lineRule="auto"/>
            <w:jc w:val="center"/>
          </w:pPr>
          <w:r>
            <w:rPr>
              <w:rFonts w:ascii="Calibri Light" w:hAnsi="Calibri Light" w:cs="Calibri Light"/>
              <w:b/>
              <w:bCs w:val="1"/>
              <w:i w:val="0"/>
              <w:color w:val="1F4E79"/>
              <w:sz w:val="18"/>
              <w:szCs w:val="18"/>
              <w:rtl/>
            </w:rPr>
            <w:t>التنمية المتكاملة</w:t>
          </w:r>
        </w:p>
        <w:p>
          <w:pPr>
            <w:bidi/>
            <w:spacing w:before="0" w:after="0" w:line="240" w:lineRule="auto"/>
            <w:jc w:val="center"/>
          </w:pPr>
          <w:r>
            <w:rPr>
              <w:rFonts w:ascii="Calibri Light" w:hAnsi="Calibri Light" w:cs="Calibri Light"/>
              <w:b w:val="0"/>
              <w:bCs w:val="0"/>
              <w:i w:val="0"/>
              <w:color w:val="595959"/>
              <w:sz w:val="13"/>
              <w:szCs w:val="13"/>
              <w:rtl/>
            </w:rPr>
            <w:t>Integrated Developments</w:t>
          </w:r>
        </w:p>
      </w:tc>
    </w:tr>
  </w:tbl>
  <w:tbl>
    <w:tblPr>
      <w:bidiVisual/>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1984"/>
      <w:gridCol w:w="5669"/>
      <w:gridCol w:w="2551"/>
    </w:tblGrid>
    <w:tr>
      <w:tc>
        <w:tcPr>
          <w:tcW w:type="dxa" w:w="3402"/>
          <w:tcBorders>
            <w:bottom w:val="single" w:sz="6" w:space="0" w:color="A6A6A6"/>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c>
        <w:tcPr>
          <w:tcW w:type="dxa" w:w="3402"/>
          <w:tcBorders>
            <w:bottom w:val="single" w:sz="36" w:space="0" w:color="6AA84F"/>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c>
        <w:tcPr>
          <w:tcW w:type="dxa" w:w="3402"/>
          <w:tcBorders>
            <w:bottom w:val="single" w:sz="6" w:space="0" w:color="1F4E79"/>
          </w:tcBorders>
          <w:tcMar>
            <w:top w:w="0" w:type="dxa"/>
            <w:left w:w="0" w:type="dxa"/>
            <w:bottom w:w="0" w:type="dxa"/>
            <w:right w:w="0" w:type="dxa"/>
          </w:tcMar>
        </w:tcPr>
        <w:p>
          <w:pPr>
            <w:spacing w:before="0" w:after="0" w:line="168" w:lineRule="auto"/>
          </w:pPr>
          <w:r>
            <w:rPr>
              <w:rFonts w:ascii="Calibri Light" w:hAnsi="Calibri Light" w:cs="Calibri Light"/>
              <w:b w:val="0"/>
              <w:bCs w:val="0"/>
              <w:i w:val="0"/>
              <w:color w:val="203864"/>
              <w:sz w:val="4"/>
              <w:szCs w:val="4"/>
              <w:rtl/>
            </w:rPr>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Light" w:hAnsi="Calibri Light" w:cs="Calibri Light"/>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Relationship Id="rId3"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الوثيقة الموحدة — إضاءات السلوك والانضباط المدرسي (8 صفحات)</dc:title>
  <dc:subject>نموذج معايير التقويم والاعتماد المدرسي 2026 — نواتج التعلم</dc:subject>
  <dc:creator>المرشد الطلابي</dc:creator>
  <cp:keywords/>
  <dc:description>المؤشر: يلتزم المتعلمون بقواعد السلوك والانضباط المدرسي</dc:description>
  <cp:lastModifiedBy/>
  <cp:revision>1</cp:revision>
  <dcterms:created xsi:type="dcterms:W3CDTF">2013-12-23T23:15:00Z</dcterms:created>
  <dcterms:modified xsi:type="dcterms:W3CDTF">2013-12-23T23:15:00Z</dcterms:modified>
  <cp:category/>
</cp:coreProperties>
</file>