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tblBorders>
          <w:top w:val="none" w:sz="0" w:color="auto"/>
          <w:left w:val="none" w:sz="0" w:color="auto"/>
          <w:bottom w:val="none" w:sz="0" w:color="auto"/>
          <w:right w:val="none" w:sz="0" w:color="auto"/>
          <w:insideH w:val="none" w:sz="0" w:color="auto"/>
          <w:insideV w:val="none" w:sz="0" w:color="auto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1F4E79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bidi/>
              <w:spacing w:before="0" w:after="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FFFFFF"/>
                <w:sz w:val="24"/>
                <w:szCs w:val="24"/>
                <w:rtl/>
              </w:rPr>
              <w:t>الإضاءة الرابعة: المتابعة اليومية للحضور والانصراف والسلوك ومعالجة الانحرافات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المجال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نواتج التعلم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المعيار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1814"/>
            <w:shd w:val="clear" w:color="auto" w:fill="DCE6F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8"/>
                <w:szCs w:val="18"/>
                <w:rtl/>
              </w:rPr>
              <w:t>المؤشر</w:t>
            </w:r>
          </w:p>
        </w:tc>
        <w:tc>
          <w:tcPr>
            <w:tcW w:type="dxa" w:w="8391"/>
            <w:tcMar>
              <w:top w:w="30" w:type="dxa"/>
              <w:left w:w="80" w:type="dxa"/>
              <w:bottom w:w="30" w:type="dxa"/>
              <w:right w:w="8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203864"/>
                <w:sz w:val="19"/>
                <w:szCs w:val="19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أولًا: الفكرة المحورية</w:t>
      </w:r>
    </w:p>
    <w:p>
      <w:pPr>
        <w:bidi/>
        <w:spacing w:before="0" w:after="60" w:line="276" w:lineRule="auto"/>
        <w:jc w:val="right"/>
      </w:pPr>
      <w:r>
        <w:rPr>
          <w:rFonts w:ascii="Calibri Light" w:hAnsi="Calibri Light" w:cs="Calibri Light"/>
          <w:b w:val="0"/>
          <w:bCs w:val="0"/>
          <w:i w:val="0"/>
          <w:color w:val="203864"/>
          <w:sz w:val="21"/>
          <w:szCs w:val="21"/>
          <w:rtl/>
        </w:rPr>
        <w:t>رصدٌ يومي دقيق بالتنسيق مع وكلاء المدرسة والمعلمين؛ لاكتشاف حالات الغياب والتأخر والمخالفات مبكرًا، ومعالجتها بالتواصل مع أولياء الأمور وفق الأنظمة والتعليمات المنظمة، مع مراعاة خصوصية الحالات الفردية.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ثانيًا: إثراء أدوار المرشد الطلابي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لوحة المتابعة اليومية: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تحديث بيانات الحضور والانصراف والمخالفات يوميًا (لوحة رقمية أو سجل منظم) بالتنسيق مع وكيل الشؤون الطلابية.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بروتوكول تصعيد متفق عليه: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غياب يوم ← تواصل مع الأسرة؛ غياب ثلاثة أيام ← جلسة إرشادية؛ استمرار الحالة ← الإجراءات النظامية المعمول بها.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قناة تنسيق سريعة: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تنسيق يومي مع الوكلاء والمعلمين عبر مجموعة عمل واستمارة إلكترونية للرصد الفوري.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◆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الدعم الفردي: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إنشاء ملف متابعة فردي للمتعلمين ذوي الحالات المتكررة، وخطط دعم تعاونية مع الأسرة.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ثالثًا: خطوات التنفيذ الموصى بها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1 -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توحيد نموذج الرصد اليومي (حضور/تأخر/مخالفات) وتدريب المعلمين على التوثيق الفوري.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2 -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تفعيل التواصل مع الأسرة خلال 24 ساعة للحالات المتجددة عبر القنوات الرسمية.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3 -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إصدار تقرير أسبوعي مختصر للإدارة يبرز الحالات المزمنة وسبل معالجتها.</w:t>
      </w:r>
    </w:p>
    <w:p>
      <w:pPr>
        <w:bidi/>
        <w:spacing w:before="0" w:after="40" w:line="269" w:lineRule="auto"/>
        <w:ind w:right="283" w:hanging="283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4 -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تصميم خطط علاجية فردية للحالات المتكررة ومراجعتها شهريًا.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رابعًا: مؤشرات نجاح التحقيق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دقة التوثيق اليومي تتجاوز 95%.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التواصل مع الأسرة خلال 24 ساعة في أغلب الحالات المتجددة.</w:t>
      </w:r>
    </w:p>
    <w:p>
      <w:pPr>
        <w:bidi/>
        <w:spacing w:before="0" w:after="40" w:line="269" w:lineRule="auto"/>
        <w:ind w:right="198" w:hanging="198"/>
        <w:jc w:val="right"/>
      </w:pPr>
      <w:r>
        <w:rPr>
          <w:rFonts w:ascii="Calibri Light" w:hAnsi="Calibri Light" w:cs="Calibri Light"/>
          <w:b/>
          <w:bCs w:val="1"/>
          <w:i w:val="0"/>
          <w:color w:val="6AA84F"/>
          <w:sz w:val="20"/>
          <w:szCs w:val="20"/>
          <w:rtl/>
        </w:rPr>
        <w:t xml:space="preserve">✓ </w:t>
      </w:r>
      <w:r>
        <w:rPr>
          <w:rFonts w:ascii="Calibri Light" w:hAnsi="Calibri Light" w:cs="Calibri Light"/>
          <w:b/>
          <w:bCs w:val="1"/>
          <w:i w:val="0"/>
          <w:color w:val="1F4E79"/>
          <w:sz w:val="20"/>
          <w:szCs w:val="20"/>
          <w:rtl/>
        </w:rPr>
        <w:t xml:space="preserve">مؤشر: </w:t>
      </w:r>
      <w:r>
        <w:rPr>
          <w:rFonts w:ascii="Calibri Light" w:hAnsi="Calibri Light" w:cs="Calibri Light"/>
          <w:b w:val="0"/>
          <w:bCs w:val="0"/>
          <w:i w:val="0"/>
          <w:color w:val="203864"/>
          <w:sz w:val="20"/>
          <w:szCs w:val="20"/>
          <w:rtl/>
        </w:rPr>
        <w:t>انخفاض حالات التأخر والغياب المزمن ربع سنويًا.</w:t>
      </w:r>
    </w:p>
    <w:p>
      <w:pPr>
        <w:shd w:val="clear" w:color="auto" w:fill="6AA84F"/>
        <w:bidi/>
        <w:spacing w:before="100" w:after="60" w:line="252" w:lineRule="auto"/>
        <w:ind w:left="68" w:right="68"/>
        <w:jc w:val="right"/>
      </w:pPr>
      <w:r>
        <w:rPr>
          <w:rFonts w:ascii="Calibri Light" w:hAnsi="Calibri Light" w:cs="Calibri Light"/>
          <w:b/>
          <w:bCs w:val="1"/>
          <w:i w:val="0"/>
          <w:color w:val="FFFFFF"/>
          <w:sz w:val="21"/>
          <w:szCs w:val="21"/>
          <w:rtl/>
        </w:rPr>
        <w:t xml:space="preserve">  خامسًا: سيناريو تطبيقي للمرشد الطلابي</w:t>
      </w:r>
    </w:p>
    <w:tbl>
      <w:tblPr>
        <w:bidiVisual/>
        <w:tblW w:type="auto" w:w="0"/>
        <w:tblBorders>
          <w:top w:val="single" w:sz="4" w:space="0" w:color="6AA84F"/>
          <w:left w:val="single" w:sz="4" w:space="0" w:color="6AA84F"/>
          <w:bottom w:val="single" w:sz="4" w:space="0" w:color="6AA84F"/>
          <w:right w:val="single" w:sz="4" w:space="0" w:color="6AA84F"/>
          <w:insideH w:val="single" w:sz="4" w:space="0" w:color="6AA84F"/>
          <w:insideV w:val="single" w:sz="4" w:space="0" w:color="6AA84F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2F7EC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9"/>
                <w:szCs w:val="19"/>
                <w:rtl/>
              </w:rPr>
              <w:t>يظهر سجل الرصد تأخر متعلم أربع مرات في أسبوعين؛ يتواصل المرشد مع الأسرة خلال 24 ساعة، ويعقد جلسة قصيرة، ويتابع التحسن أسبوعيًا حتى تستقر الحالة.</w:t>
            </w:r>
          </w:p>
        </w:tc>
      </w:tr>
    </w:tbl>
    <w:tbl>
      <w:tblPr>
        <w:bidiVisual/>
        <w:tblW w:type="auto" w:w="0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EDF3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/>
                <w:bCs w:val="1"/>
                <w:i w:val="0"/>
                <w:color w:val="1F4E79"/>
                <w:sz w:val="17"/>
                <w:szCs w:val="17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20" w:line="264" w:lineRule="auto"/>
              <w:jc w:val="right"/>
            </w:pPr>
            <w:r>
              <w:rPr>
                <w:rFonts w:ascii="Calibri Light" w:hAnsi="Calibri Light" w:cs="Calibri Light"/>
                <w:b w:val="0"/>
                <w:bCs w:val="0"/>
                <w:i w:val="0"/>
                <w:color w:val="203864"/>
                <w:sz w:val="17"/>
                <w:szCs w:val="17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2013" w:right="850" w:bottom="1786" w:left="85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175"/>
      <w:gridCol w:w="3969"/>
      <w:gridCol w:w="3061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531"/>
            <w:gridCol w:w="1531"/>
          </w:tblGrid>
          <w:tr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A60000"/>
                    <w:sz w:val="14"/>
                    <w:szCs w:val="14"/>
                    <w:rtl/>
                  </w:rPr>
                  <w:t>ISO 9001:2015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CERTIFIED</w:t>
                </w:r>
              </w:p>
            </w:tc>
            <w:tc>
              <w:tcPr>
                <w:tcW w:type="dxa" w:w="1701"/>
                <w:tcBorders>
                  <w:top w:val="single" w:sz="4" w:space="0" w:color="BFBFBF"/>
                  <w:left w:val="single" w:sz="4" w:space="0" w:color="BFBFBF"/>
                  <w:bottom w:val="single" w:sz="4" w:space="0" w:color="BFBFBF"/>
                  <w:right w:val="single" w:sz="4" w:space="0" w:color="BFBFBF"/>
                </w:tcBorders>
                <w:tcMar>
                  <w:top w:w="20" w:type="dxa"/>
                  <w:left w:w="40" w:type="dxa"/>
                  <w:bottom w:w="20" w:type="dxa"/>
                  <w:right w:w="4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14"/>
                    <w:szCs w:val="14"/>
                    <w:rtl/>
                  </w:rPr>
                  <w:t>AiAA</w:t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اعتماد دولي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2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7"/>
              <w:szCs w:val="17"/>
              <w:rtl/>
            </w:rPr>
            <w:t>التعليم المتقـدم يبنـي ...</w:t>
          </w:r>
        </w:p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1247"/>
            <w:gridCol w:w="1247"/>
            <w:gridCol w:w="1247"/>
          </w:tblGrid>
          <w:tr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person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المعرفة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chart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التكنولوجيا</w:t>
                </w:r>
              </w:p>
            </w:tc>
            <w:tc>
              <w:tcPr>
                <w:tcW w:type="dxa" w:w="1134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198000" cy="198000"/>
                      <wp:docPr id="3" name="Picture 3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icon_atom.png"/>
                              <pic:cNvPicPr/>
                            </pic:nvPicPr>
                            <pic:blipFill>
                              <a:blip r:embed="rId3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8000" cy="198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  <w:p>
                <w:pPr>
                  <w:bidi/>
                  <w:spacing w:before="0" w:after="0" w:line="240" w:lineRule="auto"/>
                  <w:jc w:val="center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595959"/>
                    <w:sz w:val="11"/>
                    <w:szCs w:val="11"/>
                    <w:rtl/>
                  </w:rPr>
                  <w:t>العلوم</w:t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 xml:space="preserve">f   X   ◎   </w:t>
          </w: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6"/>
              <w:szCs w:val="16"/>
              <w:rtl/>
            </w:rPr>
            <w:t>Ajailyanbu</w:t>
          </w:r>
        </w:p>
        <w:p>
          <w:pPr>
            <w:bidi/>
            <w:spacing w:before="0" w:after="0" w:line="264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6AA84F"/>
              <w:sz w:val="16"/>
              <w:szCs w:val="16"/>
              <w:rtl/>
            </w:rPr>
            <w:t xml:space="preserve">☎   </w:t>
          </w:r>
          <w:r>
            <w:rPr>
              <w:rFonts w:ascii="Calibri Light" w:hAnsi="Calibri Light" w:cs="Calibri Light"/>
              <w:b w:val="0"/>
              <w:bCs w:val="0"/>
              <w:i w:val="0"/>
              <w:color w:val="1F4E79"/>
              <w:sz w:val="16"/>
              <w:szCs w:val="16"/>
              <w:rtl/>
            </w:rPr>
            <w:t>Nabualmarifa.edu.sa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6520"/>
      <w:gridCol w:w="3685"/>
    </w:tblGrid>
    <w:tr>
      <w:tc>
        <w:tcPr>
          <w:tcW w:type="dxa" w:w="51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51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3969"/>
      <w:gridCol w:w="3402"/>
      <w:gridCol w:w="2835"/>
    </w:tblGrid>
    <w:tr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891"/>
            <w:gridCol w:w="964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E7D32"/>
                    <w:sz w:val="20"/>
                    <w:szCs w:val="20"/>
                    <w:rtl/>
                  </w:rPr>
                  <w:t>المملكة العربية السعودية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203864"/>
                    <w:sz w:val="17"/>
                    <w:szCs w:val="17"/>
                    <w:rtl/>
                  </w:rPr>
                  <w:t>وزارة التعليم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الإدارة العامة للتعليم</w:t>
                </w:r>
              </w:p>
              <w:p>
                <w:pPr>
                  <w:bidi/>
                  <w:spacing w:before="0" w:after="0" w:line="240" w:lineRule="auto"/>
                  <w:jc w:val="right"/>
                </w:pPr>
                <w:r>
                  <w:rPr>
                    <w:rFonts w:ascii="Calibri Light" w:hAnsi="Calibri Light" w:cs="Calibri Light"/>
                    <w:b w:val="0"/>
                    <w:bCs w:val="0"/>
                    <w:i w:val="0"/>
                    <w:color w:val="203864"/>
                    <w:sz w:val="15"/>
                    <w:szCs w:val="15"/>
                    <w:rtl/>
                  </w:rPr>
                  <w:t>مكتب التعليم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40000" cy="540000"/>
                      <wp:docPr id="1" name="Picture 1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ksa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40000" cy="540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/>
        <w:tbl>
          <w:tblPr>
            <w:bidiVisual/>
            <w:tblW w:type="auto" w:w="0"/>
            <w:tblBorders>
              <w:top w:val="none" w:sz="0" w:color="auto"/>
              <w:left w:val="none" w:sz="0" w:color="auto"/>
              <w:bottom w:val="none" w:sz="0" w:color="auto"/>
              <w:right w:val="none" w:sz="0" w:color="auto"/>
              <w:insideH w:val="none" w:sz="0" w:color="auto"/>
              <w:insideV w:val="none" w:sz="0" w:color="auto"/>
            </w:tblBorders>
            <w:tblLook w:firstColumn="1" w:firstRow="1" w:lastColumn="0" w:lastRow="0" w:noHBand="0" w:noVBand="1" w:val="04A0"/>
          </w:tblPr>
          <w:tblGrid>
            <w:gridCol w:w="2268"/>
            <w:gridCol w:w="1020"/>
          </w:tblGrid>
          <w:tr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76" w:lineRule="auto"/>
                  <w:jc w:val="right"/>
                </w:pPr>
                <w:r>
                  <w:rPr>
                    <w:rFonts w:ascii="Calibri Light" w:hAnsi="Calibri Light" w:cs="Calibri Light"/>
                    <w:b/>
                    <w:bCs w:val="1"/>
                    <w:i w:val="0"/>
                    <w:color w:val="1F4E79"/>
                    <w:sz w:val="22"/>
                    <w:szCs w:val="22"/>
                    <w:rtl/>
                  </w:rPr>
                  <w:t>مـدارس أجـيال للبنـات المـتـميزة</w:t>
                </w:r>
              </w:p>
            </w:tc>
            <w:tc>
              <w:tcPr>
                <w:tcW w:type="dxa" w:w="1701"/>
                <w:tcMar>
                  <w:top w:w="0" w:type="dxa"/>
                  <w:left w:w="0" w:type="dxa"/>
                  <w:bottom w:w="0" w:type="dxa"/>
                  <w:right w:w="0" w:type="dxa"/>
                </w:tcMar>
              </w:tcPr>
              <w:p>
                <w:pPr>
                  <w:bidi/>
                  <w:spacing w:before="0" w:after="0" w:line="252" w:lineRule="auto"/>
                  <w:jc w:val="center"/>
                </w:pPr>
                <w:r>
                  <w:drawing>
                    <wp:inline xmlns:a="http://schemas.openxmlformats.org/drawingml/2006/main" xmlns:pic="http://schemas.openxmlformats.org/drawingml/2006/picture">
                      <wp:extent cx="576000" cy="576000"/>
                      <wp:docPr id="2" name="Picture 2"/>
                      <wp:cNvGraphicFramePr>
                        <a:graphicFrameLocks noChangeAspect="1"/>
                      </wp:cNvGraphicFramePr>
                      <a:graphic>
                        <a:graphicData uri="http://schemas.openxmlformats.org/drawingml/2006/picture">
                          <pic:pic>
                            <pic:nvPicPr>
                              <pic:cNvPr id="0" name="mark_ajyal.png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76000" cy="576000"/>
                              </a:xfrm>
                              <a:prstGeom prst="rect"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/>
      </w:tc>
      <w:tc>
        <w:tcPr>
          <w:tcW w:type="dxa" w:w="3402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bidi/>
            <w:spacing w:before="0" w:after="0" w:line="252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396000" cy="396000"/>
                <wp:docPr id="3" name="Picture 3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rk_dev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6000" cy="39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/>
              <w:bCs w:val="1"/>
              <w:i w:val="0"/>
              <w:color w:val="1F4E79"/>
              <w:sz w:val="18"/>
              <w:szCs w:val="18"/>
              <w:rtl/>
            </w:rPr>
            <w:t>التنمية المتكاملة</w:t>
          </w:r>
        </w:p>
        <w:p>
          <w:pPr>
            <w:bidi/>
            <w:spacing w:before="0" w:after="0" w:line="240" w:lineRule="auto"/>
            <w:jc w:val="center"/>
          </w:pPr>
          <w:r>
            <w:rPr>
              <w:rFonts w:ascii="Calibri Light" w:hAnsi="Calibri Light" w:cs="Calibri Light"/>
              <w:b w:val="0"/>
              <w:bCs w:val="0"/>
              <w:i w:val="0"/>
              <w:color w:val="595959"/>
              <w:sz w:val="13"/>
              <w:szCs w:val="13"/>
              <w:rtl/>
            </w:rPr>
            <w:t>Integrated Developments</w:t>
          </w:r>
        </w:p>
      </w:tc>
    </w:tr>
  </w:tbl>
  <w:tbl>
    <w:tblPr>
      <w:bidiVisual/>
      <w:tblW w:type="auto" w:w="0"/>
      <w:tblBorders>
        <w:top w:val="none" w:sz="0" w:color="auto"/>
        <w:left w:val="none" w:sz="0" w:color="auto"/>
        <w:bottom w:val="none" w:sz="0" w:color="auto"/>
        <w:right w:val="none" w:sz="0" w:color="auto"/>
        <w:insideH w:val="none" w:sz="0" w:color="auto"/>
        <w:insideV w:val="none" w:sz="0" w:color="auto"/>
      </w:tblBorders>
      <w:tblLook w:firstColumn="1" w:firstRow="1" w:lastColumn="0" w:lastRow="0" w:noHBand="0" w:noVBand="1" w:val="04A0"/>
    </w:tblPr>
    <w:tblGrid>
      <w:gridCol w:w="1984"/>
      <w:gridCol w:w="5669"/>
      <w:gridCol w:w="2551"/>
    </w:tblGrid>
    <w:tr>
      <w:tc>
        <w:tcPr>
          <w:tcW w:type="dxa" w:w="3402"/>
          <w:tcBorders>
            <w:bottom w:val="single" w:sz="6" w:space="0" w:color="A6A6A6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36" w:space="0" w:color="6AA84F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  <w:tc>
        <w:tcPr>
          <w:tcW w:type="dxa" w:w="3402"/>
          <w:tcBorders>
            <w:bottom w:val="single" w:sz="6" w:space="0" w:color="1F4E79"/>
          </w:tcBorders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 w:line="168" w:lineRule="auto"/>
          </w:pPr>
          <w:r>
            <w:rPr>
              <w:rFonts w:ascii="Calibri Light" w:hAnsi="Calibri Light" w:cs="Calibri Light"/>
              <w:b w:val="0"/>
              <w:bCs w:val="0"/>
              <w:i w:val="0"/>
              <w:color w:val="203864"/>
              <w:sz w:val="4"/>
              <w:szCs w:val="4"/>
              <w:rtl/>
            </w:rPr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 Light" w:hAnsi="Calibri Light" w:cs="Calibri Ligh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5.png"/><Relationship Id="rId3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الرابعة: المتابعة اليومية للحضور والانصراف والسلوك ومعالجة الانحرافات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