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السادسة: إجراءات عادلة لمعالجة المخالفات وتفعيل الجلسات الإرشادية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معالجة المخالفات بإجراءاتٍ واضحة وعادلة وفق لائحة قواعد السلوك والمواظبة والأنظمة المنظمة، ممزوجة بالعمل الإرشادي الذي يعالج الأسباب لا الأعراض، ويعيد المتعلم إلى المسار الصحيح بكرامة ومسؤولية.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سلم إجراءات متدرج: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تنبيه ← محضر ← جلسة إرشادية ← إشعار الأسرة ← الإحالة النظامية، موثقًا في سجل مركزي يضمن الشفافية.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الجلسات الإرشادية الفردية: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خطة قصيرة (3–5 جلسات) تتناول الدوافع، وإدارة الغضب، والمهارات الاجتماعية، وبناء الوعي بالعواقب.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العدالة الإجرائية: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تطبيق موحّد بغض النظر عن الصف أو الشعبة، مع توثيق كل خطوة، وحق المتعلم في الشرح والاعتراض.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الشراكة مع الأسرة: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اتفاقية تعهد سلوكية بعد الجلسة، ومتابعة الأسرة للتحسن، ومشاركة المدرسة للنتائج.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تعميم سلم الإجراءات على المعلمين والمتعلمين والأسر بوضوح وشفافية.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إعداد دليل الجلسة الإرشادية النموذجية (أهداف، أدوات، خطة متابعة).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توثيق كل حالة في ملف سلوكي منظم يُصان فيه السر المهني.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مراجعة الحالات شهريًا وقياس تحسن السلوك بعد التدخل الإرشادي.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انخفاض نسبة إعادة المخالفة لدى الحالات المُعالَجة.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اكتمال توثيق الإجراءات وفق السلم المعتمد.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قناعة المتعلمين والأسر بعدالة الإجراءات المتخذة.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متعلم يكرر مخالفة الإزعاج؛ فينفّذ المرشد سلم الإجراءات (تنبيه ← محضر ← جلستان ← اتفاقية أسرية)، وتتراجع إعادة المخالفة في المتابعة الشهرية.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السادسة: إجراءات عادلة لمعالجة المخالفات وتفعيل الجلسات الإرشادية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