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jc w:val="center"/>
        <w:tblBorders>
          <w:top w:val="single" w:sz="2" w:space="0" w:color="0F4C5C"/>
          <w:left w:val="single" w:sz="2" w:space="0" w:color="0F4C5C"/>
          <w:bottom w:val="single" w:sz="2" w:space="0" w:color="0F4C5C"/>
          <w:right w:val="single" w:sz="2" w:space="0" w:color="0F4C5C"/>
          <w:insideH w:val="single" w:sz="2" w:space="0" w:color="0F4C5C"/>
          <w:insideV w:val="single" w:sz="2" w:space="0" w:color="0F4C5C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0F4C5C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bidi/>
              <w:spacing w:before="0" w:after="2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C9DDE2"/>
                <w:sz w:val="19"/>
                <w:szCs w:val="19"/>
                <w:rtl/>
              </w:rPr>
              <w:t>نموذج معايير التقويم والاعتماد المدرسي للعام 2026م</w:t>
            </w:r>
          </w:p>
          <w:p>
            <w:pPr>
              <w:bidi/>
              <w:spacing w:before="20" w:after="0" w:line="240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FFFFFF"/>
                <w:sz w:val="28"/>
                <w:szCs w:val="28"/>
                <w:rtl/>
              </w:rPr>
              <w:t>الإضاءة الرابعة: المتابعة اليومية للحضور والانصراف والسلوك ومعالجة الانحرافات</w:t>
            </w:r>
          </w:p>
        </w:tc>
      </w:tr>
    </w:tbl>
    <w:p>
      <w:pPr>
        <w:spacing w:before="40" w:after="0" w:line="252" w:lineRule="auto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8"/>
          <w:szCs w:val="8"/>
          <w:rtl/>
        </w:rPr>
      </w:r>
    </w:p>
    <w:tbl>
      <w:tblPr>
        <w:bidiVisual/>
        <w:tblW w:type="auto" w:w="0"/>
        <w:jc w:val="center"/>
        <w:tblBorders>
          <w:top w:val="single" w:sz="4" w:space="0" w:color="0F4C5C"/>
          <w:left w:val="single" w:sz="4" w:space="0" w:color="0F4C5C"/>
          <w:bottom w:val="single" w:sz="4" w:space="0" w:color="0F4C5C"/>
          <w:right w:val="single" w:sz="4" w:space="0" w:color="0F4C5C"/>
          <w:insideH w:val="single" w:sz="4" w:space="0" w:color="9FB8BF"/>
          <w:insideV w:val="single" w:sz="4" w:space="0" w:color="9FB8BF"/>
        </w:tblBorders>
        <w:tblLook w:firstColumn="1" w:firstRow="1" w:lastColumn="0" w:lastRow="0" w:noHBand="0" w:noVBand="1" w:val="04A0"/>
      </w:tblPr>
      <w:tblGrid>
        <w:gridCol w:w="5244"/>
        <w:gridCol w:w="5244"/>
      </w:tblGrid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المجال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نواتج التعلم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المعيار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المؤشر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1F2D33"/>
                <w:sz w:val="20"/>
                <w:szCs w:val="20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أولًا: الفكرة المحورية</w:t>
      </w:r>
    </w:p>
    <w:p>
      <w:pPr>
        <w:bidi/>
        <w:spacing w:before="0" w:after="80" w:line="288" w:lineRule="auto"/>
        <w:jc w:val="right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22"/>
          <w:szCs w:val="22"/>
          <w:rtl/>
        </w:rPr>
        <w:t>رصدٌ يومي دقيق بالتنسيق مع وكلاء المدرسة والمعلمين؛ لاكتشاف حالات الغياب والتأخر والمخالفات مبكرًا، ومعالجتها بالتواصل مع أولياء الأمور وفق الأنظمة والتعليمات المنظمة، مع مراعاة خصوصية الحالات الفردية.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ثانيًا: إثراء أدوار المرشد الطلابي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لوحة المتابعة اليومية: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تحديث بيانات الحضور والانصراف والمخالفات يوميًا (لوحة رقمية أو سجل منظم) بالتنسيق مع وكيل الشؤون الطلابية.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بروتوكول تصعيد متفق عليه: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غياب يوم ← تواصل مع الأسرة؛ غياب ثلاثة أيام ← جلسة إرشادية؛ استمرار الحالة ← الإجراءات النظامية المعمول بها.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قناة تنسيق سريعة: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تنسيق يومي مع الوكلاء والمعلمين عبر مجموعة عمل واستمارة إلكترونية للرصد الفوري.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الدعم الفردي: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إنشاء ملف متابعة فردي للمتعلمين ذوي الحالات المتكررة، وخطط دعم تعاونية مع الأسرة.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ثالثًا: خطوات التنفيذ الموصى بها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1 -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توحيد نموذج الرصد اليومي (حضور/تأخر/مخالفات) وتدريب المعلمين على التوثيق الفوري.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2 -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تفعيل التواصل مع الأسرة خلال 24 ساعة للحالات المتجددة عبر القنوات الرسمية.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3 -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إصدار تقرير أسبوعي مختصر للإدارة يبرز الحالات المزمنة وسبل معالجتها.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4 -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تصميم خطط علاجية فردية للحالات المتكررة ومراجعتها شهريًا.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رابعًا: مؤشرات نجاح التحقيق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دقة التوثيق اليومي تتجاوز 95%.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التواصل مع الأسرة خلال 24 ساعة في أغلب الحالات المتجددة.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انخفاض حالات التأخر والغياب المزمن ربع سنويًا.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خامسًا: سيناريو تطبيقي للمرشد الطلابي</w:t>
      </w:r>
    </w:p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9"/>
                <w:szCs w:val="19"/>
                <w:rtl/>
              </w:rPr>
              <w:t>يظهر سجل الرصد تأخر متعلم أربع مرات في أسبوعين؛ يتواصل المرشد مع الأسرة خلال 24 ساعة، ويعقد جلسة قصيرة، ويتابع التحسن أسبوعيًا حتى تستقر الحالة.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8"/>
                <w:szCs w:val="18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8"/>
                <w:szCs w:val="18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24" w:right="709" w:bottom="624" w:left="709" w:header="720" w:footer="283" w:gutter="0"/>
      <w:pgBorders w:offsetFrom="page">
        <w:top w:val="single" w:sz="8" w:space="20" w:color="0F4C5C"/>
        <w:left w:val="single" w:sz="8" w:space="20" w:color="0F4C5C"/>
        <w:bottom w:val="single" w:sz="8" w:space="20" w:color="0F4C5C"/>
        <w:right w:val="single" w:sz="8" w:space="20" w:color="0F4C5C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40" w:after="0" w:line="252" w:lineRule="auto"/>
      <w:jc w:val="center"/>
    </w:pPr>
    <w:r>
      <w:rPr>
        <w:rFonts w:ascii="Sakkal Majala" w:hAnsi="Sakkal Majala" w:cs="Sakkal Majala"/>
        <w:b w:val="0"/>
        <w:bCs w:val="0"/>
        <w:i w:val="0"/>
        <w:color w:val="6B7B80"/>
        <w:sz w:val="16"/>
        <w:szCs w:val="16"/>
        <w:rtl/>
      </w:rPr>
      <w:t>إعداد: المرشد الطلابي — وثيقة العمل الإرشادي | الإضاءة الإضاءة 4 من 8 من 8 | العام الدراسي 2026م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kkal Majala" w:hAnsi="Sakkal Majala" w:cs="Sakkal Majal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الرابعة: المتابعة اليومية للحضور والانصراف والسلوك ومعالجة الانحرافات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