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bidiVisual/>
        <w:tblW w:type="auto" w:w="0"/>
        <w:jc w:val="center"/>
        <w:tblBorders>
          <w:top w:val="single" w:sz="2" w:space="0" w:color="0F4C5C"/>
          <w:left w:val="single" w:sz="2" w:space="0" w:color="0F4C5C"/>
          <w:bottom w:val="single" w:sz="2" w:space="0" w:color="0F4C5C"/>
          <w:right w:val="single" w:sz="2" w:space="0" w:color="0F4C5C"/>
          <w:insideH w:val="single" w:sz="2" w:space="0" w:color="0F4C5C"/>
          <w:insideV w:val="single" w:sz="2" w:space="0" w:color="0F4C5C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0F4C5C"/>
            <w:tcMar>
              <w:top w:w="120" w:type="dxa"/>
              <w:left w:w="160" w:type="dxa"/>
              <w:bottom w:w="120" w:type="dxa"/>
              <w:right w:w="160" w:type="dxa"/>
            </w:tcMar>
          </w:tcPr>
          <w:p>
            <w:pPr>
              <w:bidi/>
              <w:spacing w:before="0" w:after="2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C9DDE2"/>
                <w:sz w:val="19"/>
                <w:szCs w:val="19"/>
                <w:rtl/>
              </w:rPr>
              <w:t>نموذج معايير التقويم والاعتماد المدرسي للعام 2026م</w:t>
            </w:r>
          </w:p>
          <w:p>
            <w:pPr>
              <w:bidi/>
              <w:spacing w:before="20" w:after="0" w:line="240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FFFFFF"/>
                <w:sz w:val="28"/>
                <w:szCs w:val="28"/>
                <w:rtl/>
              </w:rPr>
              <w:t>الإضاءة الخامسة: تعزيز السلوك الإيجابي عبر برامج التحفيز والتكريم</w:t>
            </w:r>
          </w:p>
        </w:tc>
      </w:tr>
    </w:tbl>
    <w:p>
      <w:pPr>
        <w:spacing w:before="40" w:after="0" w:line="252" w:lineRule="auto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8"/>
          <w:szCs w:val="8"/>
          <w:rtl/>
        </w:rPr>
      </w:r>
    </w:p>
    <w:tbl>
      <w:tblPr>
        <w:bidiVisual/>
        <w:tblW w:type="auto" w:w="0"/>
        <w:jc w:val="center"/>
        <w:tblBorders>
          <w:top w:val="single" w:sz="4" w:space="0" w:color="0F4C5C"/>
          <w:left w:val="single" w:sz="4" w:space="0" w:color="0F4C5C"/>
          <w:bottom w:val="single" w:sz="4" w:space="0" w:color="0F4C5C"/>
          <w:right w:val="single" w:sz="4" w:space="0" w:color="0F4C5C"/>
          <w:insideH w:val="single" w:sz="4" w:space="0" w:color="9FB8BF"/>
          <w:insideV w:val="single" w:sz="4" w:space="0" w:color="9FB8BF"/>
        </w:tblBorders>
        <w:tblLook w:firstColumn="1" w:firstRow="1" w:lastColumn="0" w:lastRow="0" w:noHBand="0" w:noVBand="1" w:val="04A0"/>
      </w:tblPr>
      <w:tblGrid>
        <w:gridCol w:w="5244"/>
        <w:gridCol w:w="5244"/>
      </w:tblGrid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المجال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نواتج التعلم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المعيار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20"/>
                <w:szCs w:val="20"/>
                <w:rtl/>
              </w:rPr>
              <w:t>التطور الشخصي والصحي والاجتماعي</w:t>
            </w:r>
          </w:p>
        </w:tc>
      </w:tr>
      <w:tr>
        <w:tc>
          <w:tcPr>
            <w:tcW w:type="dxa" w:w="5244"/>
            <w:shd w:val="clear" w:color="auto" w:fill="D9E4E8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9"/>
                <w:szCs w:val="19"/>
                <w:rtl/>
              </w:rPr>
              <w:t>المؤشر</w:t>
            </w:r>
          </w:p>
        </w:tc>
        <w:tc>
          <w:tcPr>
            <w:tcW w:type="dxa" w:w="5244"/>
            <w:tcMar>
              <w:top w:w="50" w:type="dxa"/>
              <w:left w:w="100" w:type="dxa"/>
              <w:bottom w:w="50" w:type="dxa"/>
              <w:right w:w="100" w:type="dxa"/>
            </w:tcMar>
          </w:tcPr>
          <w:p>
            <w:pPr>
              <w:bidi/>
              <w:spacing w:before="0" w:after="0" w:line="252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1F2D33"/>
                <w:sz w:val="20"/>
                <w:szCs w:val="20"/>
                <w:rtl/>
              </w:rPr>
              <w:t>يلتزم المتعلمون بقواعد السلوك والانضباط المدرسي</w:t>
            </w:r>
          </w:p>
        </w:tc>
      </w:tr>
    </w:tbl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أولًا: الفكرة المحورية</w:t>
      </w:r>
    </w:p>
    <w:p>
      <w:pPr>
        <w:bidi/>
        <w:spacing w:before="0" w:after="80" w:line="288" w:lineRule="auto"/>
        <w:jc w:val="right"/>
      </w:pPr>
      <w:r>
        <w:rPr>
          <w:rFonts w:ascii="Sakkal Majala" w:hAnsi="Sakkal Majala" w:cs="Sakkal Majala"/>
          <w:b w:val="0"/>
          <w:bCs w:val="0"/>
          <w:i w:val="0"/>
          <w:color w:val="1F2D33"/>
          <w:sz w:val="22"/>
          <w:szCs w:val="22"/>
          <w:rtl/>
        </w:rPr>
        <w:t>أن الجزاء الإيجابي أثبت أثرًا من الزجر؛ برامج تحفيزية متنوعة تُعلي من قيمة الالتزام وتُثبّت السلوك السوي عبر تكريم المتعلمين الملتزمين بقواعد السلوك في الطابور الصباحي والفصول والمنصات المدرسية.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ثانيًا: إثراء أدوار المرشد الطلابي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برنامج «طالب الأسبوع/الفصل»: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معايير شفافة (الالتزام، المواظبة، الأخلاق، المبادرة) يرشح لها المعلمون وزملاء الصف.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تنويع أشكال التكريم: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شهادات، أوسمة، لوحة شرف، إعلان على المنصات المدرسية، ومكافآت رمزية تُحفّز دون مبالغة.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التحفيز الجماعي: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مسابقة الفصول الملتزمة (كأس الانضباط) لتنمية روح الفريق والمسؤولية المشتركة.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◆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إشراف الطلاب: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إشراك القادة الطلابيين في الترشيح والتحكيم والتنظيم لترسيخ ملكية السلوك الإيجابي.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ثالثًا: خطوات التنفيذ الموصى بها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1 -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إعلان معايير التكريم ونشرها بشفافية على جميع المتعلمين.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2 -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جدولة التكريم (طابور الأحد، لقاء شهري) والالتزام الدقيق بها.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3 -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توثيق التكريم ومشاركته مع الأسر لتوسيع أثر التحفيز.</w:t>
      </w:r>
    </w:p>
    <w:p>
      <w:pPr>
        <w:bidi/>
        <w:spacing w:before="0" w:after="60" w:line="276" w:lineRule="auto"/>
        <w:ind w:right="283" w:hanging="283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4 -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قياس أثر التحفيز عبر استبانة المتعلم/المعلم ومقارنة المؤشرات قبل وبعد.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رابعًا: مؤشرات نجاح التحقيق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ارتفاع نسبة المكرمين من إجمالي المتعلمين فصليًا.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تحسن التزام الفصول المستهدفة بالمقارنة مع بداية العام.</w:t>
      </w:r>
    </w:p>
    <w:p>
      <w:pPr>
        <w:bidi/>
        <w:spacing w:before="0" w:after="60" w:line="276" w:lineRule="auto"/>
        <w:ind w:right="198" w:hanging="198"/>
        <w:jc w:val="right"/>
      </w:pPr>
      <w:r>
        <w:rPr>
          <w:rFonts w:ascii="Sakkal Majala" w:hAnsi="Sakkal Majala" w:cs="Sakkal Majala"/>
          <w:b/>
          <w:bCs w:val="1"/>
          <w:i w:val="0"/>
          <w:color w:val="B4884D"/>
          <w:sz w:val="21"/>
          <w:szCs w:val="21"/>
          <w:rtl/>
        </w:rPr>
        <w:t xml:space="preserve">✓ </w:t>
      </w:r>
      <w:r>
        <w:rPr>
          <w:rFonts w:ascii="Sakkal Majala" w:hAnsi="Sakkal Majala" w:cs="Sakkal Majala"/>
          <w:b/>
          <w:bCs w:val="1"/>
          <w:i w:val="0"/>
          <w:color w:val="0F4C5C"/>
          <w:sz w:val="21"/>
          <w:szCs w:val="21"/>
          <w:rtl/>
        </w:rPr>
        <w:t xml:space="preserve">مؤشر: </w:t>
      </w:r>
      <w:r>
        <w:rPr>
          <w:rFonts w:ascii="Sakkal Majala" w:hAnsi="Sakkal Majala" w:cs="Sakkal Majala"/>
          <w:b w:val="0"/>
          <w:bCs w:val="0"/>
          <w:i w:val="0"/>
          <w:color w:val="1F2D33"/>
          <w:sz w:val="21"/>
          <w:szCs w:val="21"/>
          <w:rtl/>
        </w:rPr>
        <w:t>رضا المتعلمين عن عدالة معايير التكريم يتجاوز 85%.</w:t>
      </w:r>
    </w:p>
    <w:p>
      <w:pPr>
        <w:shd w:val="clear" w:color="auto" w:fill="0F4C5C"/>
        <w:bidi/>
        <w:spacing w:before="160" w:after="80" w:line="252" w:lineRule="auto"/>
        <w:ind w:left="85" w:right="85"/>
        <w:jc w:val="right"/>
      </w:pPr>
      <w:r>
        <w:rPr>
          <w:rFonts w:ascii="Sakkal Majala" w:hAnsi="Sakkal Majala" w:cs="Sakkal Majala"/>
          <w:b/>
          <w:bCs w:val="1"/>
          <w:i w:val="0"/>
          <w:color w:val="FFFFFF"/>
          <w:sz w:val="22"/>
          <w:szCs w:val="22"/>
          <w:rtl/>
        </w:rPr>
        <w:t xml:space="preserve">  خامسًا: سيناريو تطبيقي للمرشد الطلابي</w:t>
      </w:r>
    </w:p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9"/>
                <w:szCs w:val="19"/>
                <w:rtl/>
              </w:rPr>
              <w:t>يكرم المرشد في طابور الأحد فصلًا كاملًا التزم بالمواظبة؛ يُوثَّق التكريم ويُرسل للأسر، فتنعكس الملاحظة الإيجابية على انضباط بقية الفصول.</w:t>
            </w:r>
          </w:p>
        </w:tc>
      </w:tr>
    </w:tbl>
    <w:tbl>
      <w:tblPr>
        <w:bidiVisual/>
        <w:tblW w:type="auto" w:w="0"/>
        <w:jc w:val="center"/>
        <w:tblBorders>
          <w:top w:val="single" w:sz="4" w:space="0" w:color="B4884D"/>
          <w:left w:val="single" w:sz="4" w:space="0" w:color="B4884D"/>
          <w:bottom w:val="single" w:sz="4" w:space="0" w:color="B4884D"/>
          <w:right w:val="single" w:sz="4" w:space="0" w:color="B4884D"/>
          <w:insideH w:val="single" w:sz="4" w:space="0" w:color="B4884D"/>
          <w:insideV w:val="single" w:sz="4" w:space="0" w:color="B4884D"/>
        </w:tblBorders>
        <w:tblLook w:firstColumn="1" w:firstRow="1" w:lastColumn="0" w:lastRow="0" w:noHBand="0" w:noVBand="1" w:val="04A0"/>
      </w:tblPr>
      <w:tblGrid>
        <w:gridCol w:w="10488"/>
      </w:tblGrid>
      <w:tr>
        <w:tc>
          <w:tcPr>
            <w:tcW w:type="dxa" w:w="10488"/>
            <w:shd w:val="clear" w:color="auto" w:fill="EEF4F5"/>
            <w:tcMar>
              <w:top w:w="70" w:type="dxa"/>
              <w:left w:w="120" w:type="dxa"/>
              <w:bottom w:w="70" w:type="dxa"/>
              <w:right w:w="120" w:type="dxa"/>
            </w:tcMar>
          </w:tcPr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/>
                <w:bCs w:val="1"/>
                <w:i w:val="0"/>
                <w:color w:val="0F4C5C"/>
                <w:sz w:val="18"/>
                <w:szCs w:val="18"/>
                <w:rtl/>
              </w:rPr>
              <w:t>أدوات التقويم وفق النموذج:   ☑ استبانة المعلم   ☐ استبانة المتعلم   ☐ استبانة الأسرة   ☑ المقابلات   ☑ تحليل الوثائق   ☐ الملاحظة الصفية   ☐ ملاحظة بيئة التعلم</w:t>
            </w:r>
          </w:p>
          <w:p>
            <w:pPr>
              <w:bidi/>
              <w:spacing w:before="0" w:after="40" w:line="264" w:lineRule="auto"/>
              <w:jc w:val="right"/>
            </w:pPr>
            <w:r>
              <w:rPr>
                <w:rFonts w:ascii="Sakkal Majala" w:hAnsi="Sakkal Majala" w:cs="Sakkal Majala"/>
                <w:b w:val="0"/>
                <w:bCs w:val="0"/>
                <w:i w:val="0"/>
                <w:color w:val="1F2D33"/>
                <w:sz w:val="18"/>
                <w:szCs w:val="18"/>
                <w:rtl/>
              </w:rPr>
              <w:t>أفضل ممارسة للمرشد الطلابي: جمع شواهد المؤشر دوريًا عبر الأدوات المحددة أعلاه، وتوثيقها في ملف التحسين المستمر.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624" w:right="709" w:bottom="624" w:left="709" w:header="720" w:footer="283" w:gutter="0"/>
      <w:pgBorders w:offsetFrom="page">
        <w:top w:val="single" w:sz="8" w:space="20" w:color="0F4C5C"/>
        <w:left w:val="single" w:sz="8" w:space="20" w:color="0F4C5C"/>
        <w:bottom w:val="single" w:sz="8" w:space="20" w:color="0F4C5C"/>
        <w:right w:val="single" w:sz="8" w:space="20" w:color="0F4C5C"/>
      </w:pgBorders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bidi/>
      <w:spacing w:before="40" w:after="0" w:line="252" w:lineRule="auto"/>
      <w:jc w:val="center"/>
    </w:pPr>
    <w:r>
      <w:rPr>
        <w:rFonts w:ascii="Sakkal Majala" w:hAnsi="Sakkal Majala" w:cs="Sakkal Majala"/>
        <w:b w:val="0"/>
        <w:bCs w:val="0"/>
        <w:i w:val="0"/>
        <w:color w:val="6B7B80"/>
        <w:sz w:val="16"/>
        <w:szCs w:val="16"/>
        <w:rtl/>
      </w:rPr>
      <w:t>إعداد: المرشد الطلابي — وثيقة العمل الإرشادي | الإضاءة الإضاءة 5 من 8 من 8 | العام الدراسي 2026م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Sakkal Majala" w:hAnsi="Sakkal Majala" w:cs="Sakkal Majala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الإضاءة الخامسة: تعزيز السلوك الإيجابي عبر برامج التحفيز والتكريم</dc:title>
  <dc:subject>نموذج معايير التقويم والاعتماد المدرسي 2026 — نواتج التعلم</dc:subject>
  <dc:creator>المرشد الطلابي</dc:creator>
  <cp:keywords/>
  <dc:description>المؤشر: يلتزم المتعلمون بقواعد السلوك والانضباط المدرسي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