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السادسة: إجراءات عادلة لمعالجة المخالفات وتفعيل الجلسات الإرشادية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معالجة المخالفات بإجراءاتٍ واضحة وعادلة وفق لائحة قواعد السلوك والمواظبة والأنظمة المنظمة، ممزوجة بالعمل الإرشادي الذي يعالج الأسباب لا الأعراض، ويعيد المتعلم إلى المسار الصحيح بكرامة ومسؤولية.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سلم إجراءات متدرج: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تنبيه ← محضر ← جلسة إرشادية ← إشعار الأسرة ← الإحالة النظامية، موثقًا في سجل مركزي يضمن الشفافية.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الجلسات الإرشادية الفردية: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خطة قصيرة (3–5 جلسات) تتناول الدوافع، وإدارة الغضب، والمهارات الاجتماعية، وبناء الوعي بالعواقب.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العدالة الإجرائية: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تطبيق موحّد بغض النظر عن الصف أو الشعبة، مع توثيق كل خطوة، وحق المتعلم في الشرح والاعتراض.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الشراكة مع الأسرة: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اتفاقية تعهد سلوكية بعد الجلسة، ومتابعة الأسرة للتحسن، ومشاركة المدرسة للنتائج.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تعميم سلم الإجراءات على المعلمين والمتعلمين والأسر بوضوح وشفافية.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إعداد دليل الجلسة الإرشادية النموذجية (أهداف، أدوات، خطة متابعة).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توثيق كل حالة في ملف سلوكي منظم يُصان فيه السر المهني.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مراجعة الحالات شهريًا وقياس تحسن السلوك بعد التدخل الإرشادي.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انخفاض نسبة إعادة المخالفة لدى الحالات المُعالَجة.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اكتمال توثيق الإجراءات وفق السلم المعتمد.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قناعة المتعلمين والأسر بعدالة الإجراءات المتخذة.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متعلم يكرر مخالفة الإزعاج؛ فينفّذ المرشد سلم الإجراءات (تنبيه ← محضر ← جلستان ← اتفاقية أسرية)، وتتراجع إعادة المخالفة في المتابعة الشهرية.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الإضاءة 6 من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السادسة: إجراءات عادلة لمعالجة المخالفات وتفعيل الجلسات الإرشادية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