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bidiVisual/>
        <w:tblW w:type="auto" w:w="0"/>
        <w:jc w:val="center"/>
        <w:tblBorders>
          <w:top w:val="single" w:sz="2" w:space="0" w:color="0F4C5C"/>
          <w:left w:val="single" w:sz="2" w:space="0" w:color="0F4C5C"/>
          <w:bottom w:val="single" w:sz="2" w:space="0" w:color="0F4C5C"/>
          <w:right w:val="single" w:sz="2" w:space="0" w:color="0F4C5C"/>
          <w:insideH w:val="single" w:sz="2" w:space="0" w:color="0F4C5C"/>
          <w:insideV w:val="single" w:sz="2" w:space="0" w:color="0F4C5C"/>
        </w:tblBorders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val="clear" w:color="auto" w:fill="0F4C5C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bidi/>
              <w:spacing w:before="0" w:after="20" w:line="252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C9DDE2"/>
                <w:sz w:val="19"/>
                <w:szCs w:val="19"/>
                <w:rtl/>
              </w:rPr>
              <w:t>نموذج معايير التقويم والاعتماد المدرسي للعام 2026م</w:t>
            </w:r>
          </w:p>
          <w:p>
            <w:pPr>
              <w:bidi/>
              <w:spacing w:before="20" w:after="0" w:line="240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FFFFFF"/>
                <w:sz w:val="28"/>
                <w:szCs w:val="28"/>
                <w:rtl/>
              </w:rPr>
              <w:t>الإضاءة الثانية: تعزيز الوعي بالسلوك والانضباط عبر البرامج التوعوية المنظمة</w:t>
            </w:r>
          </w:p>
        </w:tc>
      </w:tr>
    </w:tbl>
    <w:p>
      <w:pPr>
        <w:spacing w:before="40" w:after="0" w:line="252" w:lineRule="auto"/>
      </w:pPr>
      <w:r>
        <w:rPr>
          <w:rFonts w:ascii="Sakkal Majala" w:hAnsi="Sakkal Majala" w:cs="Sakkal Majala"/>
          <w:b w:val="0"/>
          <w:bCs w:val="0"/>
          <w:i w:val="0"/>
          <w:color w:val="1F2D33"/>
          <w:sz w:val="8"/>
          <w:szCs w:val="8"/>
          <w:rtl/>
        </w:rPr>
      </w:r>
    </w:p>
    <w:tbl>
      <w:tblPr>
        <w:bidiVisual/>
        <w:tblW w:type="auto" w:w="0"/>
        <w:jc w:val="center"/>
        <w:tblBorders>
          <w:top w:val="single" w:sz="4" w:space="0" w:color="0F4C5C"/>
          <w:left w:val="single" w:sz="4" w:space="0" w:color="0F4C5C"/>
          <w:bottom w:val="single" w:sz="4" w:space="0" w:color="0F4C5C"/>
          <w:right w:val="single" w:sz="4" w:space="0" w:color="0F4C5C"/>
          <w:insideH w:val="single" w:sz="4" w:space="0" w:color="9FB8BF"/>
          <w:insideV w:val="single" w:sz="4" w:space="0" w:color="9FB8BF"/>
        </w:tblBorders>
        <w:tblLook w:firstColumn="1" w:firstRow="1" w:lastColumn="0" w:lastRow="0" w:noHBand="0" w:noVBand="1" w:val="04A0"/>
      </w:tblPr>
      <w:tblGrid>
        <w:gridCol w:w="5244"/>
        <w:gridCol w:w="5244"/>
      </w:tblGrid>
      <w:tr>
        <w:tc>
          <w:tcPr>
            <w:tcW w:type="dxa" w:w="5244"/>
            <w:shd w:val="clear" w:color="auto" w:fill="D9E4E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9"/>
                <w:szCs w:val="19"/>
                <w:rtl/>
              </w:rPr>
              <w:t>المجال</w:t>
            </w:r>
          </w:p>
        </w:tc>
        <w:tc>
          <w:tcPr>
            <w:tcW w:type="dxa" w:w="5244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20"/>
                <w:szCs w:val="20"/>
                <w:rtl/>
              </w:rPr>
              <w:t>نواتج التعلم</w:t>
            </w:r>
          </w:p>
        </w:tc>
      </w:tr>
      <w:tr>
        <w:tc>
          <w:tcPr>
            <w:tcW w:type="dxa" w:w="5244"/>
            <w:shd w:val="clear" w:color="auto" w:fill="D9E4E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9"/>
                <w:szCs w:val="19"/>
                <w:rtl/>
              </w:rPr>
              <w:t>المعيار</w:t>
            </w:r>
          </w:p>
        </w:tc>
        <w:tc>
          <w:tcPr>
            <w:tcW w:type="dxa" w:w="5244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20"/>
                <w:szCs w:val="20"/>
                <w:rtl/>
              </w:rPr>
              <w:t>التطور الشخصي والصحي والاجتماعي</w:t>
            </w:r>
          </w:p>
        </w:tc>
      </w:tr>
      <w:tr>
        <w:tc>
          <w:tcPr>
            <w:tcW w:type="dxa" w:w="5244"/>
            <w:shd w:val="clear" w:color="auto" w:fill="D9E4E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9"/>
                <w:szCs w:val="19"/>
                <w:rtl/>
              </w:rPr>
              <w:t>المؤشر</w:t>
            </w:r>
          </w:p>
        </w:tc>
        <w:tc>
          <w:tcPr>
            <w:tcW w:type="dxa" w:w="5244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1F2D33"/>
                <w:sz w:val="20"/>
                <w:szCs w:val="20"/>
                <w:rtl/>
              </w:rPr>
              <w:t>يلتزم المتعلمون بقواعد السلوك والانضباط المدرسي</w:t>
            </w:r>
          </w:p>
        </w:tc>
      </w:tr>
    </w:tbl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أولًا: الفكرة المحورية</w:t>
      </w:r>
    </w:p>
    <w:p>
      <w:pPr>
        <w:bidi/>
        <w:spacing w:before="0" w:after="80" w:line="288" w:lineRule="auto"/>
        <w:jc w:val="right"/>
      </w:pPr>
      <w:r>
        <w:rPr>
          <w:rFonts w:ascii="Sakkal Majala" w:hAnsi="Sakkal Majala" w:cs="Sakkal Majala"/>
          <w:b w:val="0"/>
          <w:bCs w:val="0"/>
          <w:i w:val="0"/>
          <w:color w:val="1F2D33"/>
          <w:sz w:val="22"/>
          <w:szCs w:val="22"/>
          <w:rtl/>
        </w:rPr>
        <w:t>أن يسبق الوعي الجزاء؛ برامج توعوية مخططة تشرح لائحة قواعد السلوك والمواظبة للمتعلمين والهيئة التعليمية وأولياء الأمور بلغة واضحة ومدخلات متجددة، فتترسخ القيم وتُرسَّخ الالتزامات قبل أي إجراء جزائي.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ثانيًا: إثراء أدوار المرشد الطلابي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برنامج «وعي وانضباط» السنوي: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خطة توعوية متدرجة (لقاءات، بطاقات إرشادية، مقاطع قصيرة، مسابقات) موجهة للمتعلمين في مختلف المراحل.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توعية أولياء الأمور: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لقاء بداية العام، ونشرة القواعد، وقناة تواصل فعّالة (مجموعة تواصل/منصة) لشرح اللوائح وتوضيح التوقعات.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حقيبة توعوية للهيئة التعليمية: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إرشادات موحّدة للغة التعامل الإيجابي وإدارة الفصل، ونشر الممارسات الناجحة بين المعلمين.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الحملات والمناسبات: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أسبوع الانضباط المدرسي، والطابور التوعوي، والفعاليات المرتبطة بالصحة النفسية والسلوك الإيجابي.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ثالثًا: خطوات التنفيذ الموصى بها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1 -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تحليل الاحتياج التوعوي باستبيان قصير للمعلمين والمتعلمين ورصد الفجوات المعرفية والسلوكية.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2 -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بناء الخطة التوعوية بمؤشرات حضور وتفاعل، وتوزيعها على فترات العام الدراسي.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3 -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التنفيذ بالشراكة مع الوكلاء والإعلام المدرسي والقادة الطلابيين.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4 -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قياس الأثر باختبار معرفي قصير (قبل/بعد) وملاحظة سلوكية ميدانية.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رابعًا: مؤشرات نجاح التحقيق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✓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مؤشر: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وصول الرسالة التوعوية إلى أكثر من 90% من المتعلمين والأسر.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✓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مؤشر: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انخفاض المخالفات السلوكية المتكررة خلال الفصل الدراسي.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✓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مؤشر: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تفاعل أولياء الأمور مع اللقاءات والنشرات التوعوية.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خامسًا: سيناريو تطبيقي للمرشد الطلابي</w:t>
      </w:r>
    </w:p>
    <w:tbl>
      <w:tblPr>
        <w:bidiVisual/>
        <w:tblW w:type="auto" w:w="0"/>
        <w:jc w:val="center"/>
        <w:tblBorders>
          <w:top w:val="single" w:sz="4" w:space="0" w:color="B4884D"/>
          <w:left w:val="single" w:sz="4" w:space="0" w:color="B4884D"/>
          <w:bottom w:val="single" w:sz="4" w:space="0" w:color="B4884D"/>
          <w:right w:val="single" w:sz="4" w:space="0" w:color="B4884D"/>
          <w:insideH w:val="single" w:sz="4" w:space="0" w:color="B4884D"/>
          <w:insideV w:val="single" w:sz="4" w:space="0" w:color="B4884D"/>
        </w:tblBorders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val="clear" w:color="auto" w:fill="EEF4F5"/>
            <w:tcMar>
              <w:top w:w="70" w:type="dxa"/>
              <w:left w:w="120" w:type="dxa"/>
              <w:bottom w:w="70" w:type="dxa"/>
              <w:right w:w="120" w:type="dxa"/>
            </w:tcMar>
          </w:tcPr>
          <w:p>
            <w:pPr>
              <w:bidi/>
              <w:spacing w:before="0" w:after="40" w:line="264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19"/>
                <w:szCs w:val="19"/>
                <w:rtl/>
              </w:rPr>
              <w:t>قبل بداية الفصل الثاني يطلق المرشد أسبوع «وعي وانضباط» بلقاءات قصيرة وبطاقات ومسابقات؛ فتتباطأ المخالفات المتكررة، وتزداد مشاركة الأسر في اللقاءات التوعوية.</w:t>
            </w:r>
          </w:p>
        </w:tc>
      </w:tr>
    </w:tbl>
    <w:tbl>
      <w:tblPr>
        <w:bidiVisual/>
        <w:tblW w:type="auto" w:w="0"/>
        <w:jc w:val="center"/>
        <w:tblBorders>
          <w:top w:val="single" w:sz="4" w:space="0" w:color="B4884D"/>
          <w:left w:val="single" w:sz="4" w:space="0" w:color="B4884D"/>
          <w:bottom w:val="single" w:sz="4" w:space="0" w:color="B4884D"/>
          <w:right w:val="single" w:sz="4" w:space="0" w:color="B4884D"/>
          <w:insideH w:val="single" w:sz="4" w:space="0" w:color="B4884D"/>
          <w:insideV w:val="single" w:sz="4" w:space="0" w:color="B4884D"/>
        </w:tblBorders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val="clear" w:color="auto" w:fill="EEF4F5"/>
            <w:tcMar>
              <w:top w:w="70" w:type="dxa"/>
              <w:left w:w="120" w:type="dxa"/>
              <w:bottom w:w="70" w:type="dxa"/>
              <w:right w:w="120" w:type="dxa"/>
            </w:tcMar>
          </w:tcPr>
          <w:p>
            <w:pPr>
              <w:bidi/>
              <w:spacing w:before="0" w:after="40" w:line="264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8"/>
                <w:szCs w:val="18"/>
                <w:rtl/>
              </w:rPr>
              <w:t>أدوات التقويم وفق النموذج:   ☑ استبانة المعلم   ☐ استبانة المتعلم   ☐ استبانة الأسرة   ☑ المقابلات   ☑ تحليل الوثائق   ☐ الملاحظة الصفية   ☐ ملاحظة بيئة التعلم</w:t>
            </w:r>
          </w:p>
          <w:p>
            <w:pPr>
              <w:bidi/>
              <w:spacing w:before="0" w:after="40" w:line="264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18"/>
                <w:szCs w:val="18"/>
                <w:rtl/>
              </w:rPr>
              <w:t>أفضل ممارسة للمرشد الطلابي: جمع شواهد المؤشر دوريًا عبر الأدوات المحددة أعلاه، وتوثيقها في ملف التحسين المستمر.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624" w:right="709" w:bottom="624" w:left="709" w:header="720" w:footer="283" w:gutter="0"/>
      <w:pgBorders w:offsetFrom="page">
        <w:top w:val="single" w:sz="8" w:space="20" w:color="0F4C5C"/>
        <w:left w:val="single" w:sz="8" w:space="20" w:color="0F4C5C"/>
        <w:bottom w:val="single" w:sz="8" w:space="20" w:color="0F4C5C"/>
        <w:right w:val="single" w:sz="8" w:space="20" w:color="0F4C5C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40" w:after="0" w:line="252" w:lineRule="auto"/>
      <w:jc w:val="center"/>
    </w:pPr>
    <w:r>
      <w:rPr>
        <w:rFonts w:ascii="Sakkal Majala" w:hAnsi="Sakkal Majala" w:cs="Sakkal Majala"/>
        <w:b w:val="0"/>
        <w:bCs w:val="0"/>
        <w:i w:val="0"/>
        <w:color w:val="6B7B80"/>
        <w:sz w:val="16"/>
        <w:szCs w:val="16"/>
        <w:rtl/>
      </w:rPr>
      <w:t>إعداد: المرشد الطلابي — وثيقة العمل الإرشادي | الإضاءة 2 من 8 | العام الدراسي 2026م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kkal Majala" w:hAnsi="Sakkal Majala" w:cs="Sakkal Majal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الإضاءة الثانية: تعزيز الوعي بالسلوك والانضباط عبر البرامج التوعوية المنظمة</dc:title>
  <dc:subject>نموذج معايير التقويم والاعتماد المدرسي 2026 — نواتج التعلم</dc:subject>
  <dc:creator>المرشد الطلابي</dc:creator>
  <cp:keywords/>
  <dc:description>المؤشر: يلتزم المتعلمون بقواعد السلوك والانضباط المدرسي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