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السادسة: إجراءات عادلة لمعالجة المخالفات وتفعيل الجلسات الإرشادية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معالجة المخالفات بإجراءاتٍ واضحة وعادلة وفق لائحة قواعد السلوك والمواظبة والأنظمة المنظمة، ممزوجة بالعمل الإرشادي الذي يعالج الأسباب لا الأعراض، ويعيد المتعلم إلى المسار الصحيح بكرامة ومسؤولية.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سلم إجراءات متدرج: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تنبيه ← محضر ← جلسة إرشادية ← إشعار الأسرة ← الإحالة النظامية، موثقًا في سجل مركزي يضمن الشفافية.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الجلسات الإرشادية الفردية: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خطة قصيرة (3–5 جلسات) تتناول الدوافع، وإدارة الغضب، والمهارات الاجتماعية، وبناء الوعي بالعواقب.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العدالة الإجرائية: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تطبيق موحّد بغض النظر عن الصف أو الشعبة، مع توثيق كل خطوة، وحق المتعلم في الشرح والاعتراض.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الشراكة مع الأسرة: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اتفاقية تعهد سلوكية بعد الجلسة، ومتابعة الأسرة للتحسن، ومشاركة المدرسة للنتائج.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تعميم سلم الإجراءات على المعلمين والمتعلمين والأسر بوضوح وشفافية.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إعداد دليل الجلسة الإرشادية النموذجية (أهداف، أدوات، خطة متابعة).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كل حالة في ملف سلوكي منظم يُصان فيه السر المهني.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مراجعة الحالات شهريًا وقياس تحسن السلوك بعد التدخل الإرشادي.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نسبة إعادة المخالفة لدى الحالات المُعالَجة.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توثيق الإجراءات وفق السلم المعتمد.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قناعة المتعلمين والأسر بعدالة الإجراءات المتخذة.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متعلم يكرر مخالفة الإزعاج؛ فينفّذ المرشد سلم الإجراءات (تنبيه ← محضر ← جلستان ← اتفاقية أسرية)، وتتراجع إعادة المخالفة في المتابعة الشهرية.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6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السادسة: إجراءات عادلة لمعالجة المخالفات وتفعيل الجلسات الإرشادية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