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n9uybqw9ze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PROPERTY MANAGEMENT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0ldoktrew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 MANAGEMENT AGREEMENT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[●]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 [Full Legal Name]</w:t>
      </w:r>
      <w:r w:rsidDel="00000000" w:rsidR="00000000" w:rsidRPr="00000000">
        <w:rPr>
          <w:rtl w:val="0"/>
        </w:rPr>
        <w:t xml:space="preserve">, represented by Christian Al Zoghbi</w:t>
        <w:br w:type="textWrapping"/>
        <w:t xml:space="preserve"> (“Manager”)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[Client Name / Entity]</w:t>
        <w:br w:type="textWrapping"/>
      </w:r>
      <w:r w:rsidDel="00000000" w:rsidR="00000000" w:rsidRPr="00000000">
        <w:rPr>
          <w:rtl w:val="0"/>
        </w:rPr>
        <w:t xml:space="preserve"> (“Owner”)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6lln1w43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appoints Neova to manage and oversee the property located at: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[Property Address]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cl2sba02d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Services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provides general property management services, including: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 property checks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of maintenance and repairs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of service providers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to Owner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6wkrb6d7u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Management Fee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agrees to pay: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€[X] per year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Payable: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annually in advance</w:t>
        <w:br w:type="textWrapping"/>
        <w:t xml:space="preserve"> OR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kishtuisj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Additional Services (Not Included)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services are </w:t>
      </w:r>
      <w:r w:rsidDel="00000000" w:rsidR="00000000" w:rsidRPr="00000000">
        <w:rPr>
          <w:b w:val="1"/>
          <w:bCs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 and may be billed separately: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renovation works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interventions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furnishing / decoration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management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87qlbjpx4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 Financial Commitment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does not incur any expense on behalf of the Owner without prior approval.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third-party costs are borne by the Owner.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hwejhp6xh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Limitation of Liability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acts as a coordinator only and shall not be liable for: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 performance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or defects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damages caused by third parties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8lttyi8l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Duration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valid for: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12 months (auto-renewable)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gc0j5o7y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Termination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party may terminate with: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30–60 days notice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85j2u7nbc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Governing Law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jnkxf6c07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Acceptance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(Signatures)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xnm3p4dud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PROPERTY MANAGEMENT MODEL (SIMPLE + SCALABLE)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want: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Yearly base fee (retainer)</w:t>
        <w:br w:type="textWrapping"/>
        <w:t xml:space="preserve"> +</w:t>
        <w:br w:type="textWrapping"/>
        <w:t xml:space="preserve"> 👉 Optional paid services (upsells)</w:t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yc43q2aqoi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CORE STRUCTURE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vnjquwrs7f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BASE MANAGEMENT FEE (MANDATORY)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Charge: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2% – 5% of property value/year</w:t>
        <w:br w:type="textWrapping"/>
        <w:t xml:space="preserve"> OR</w:t>
        <w:br w:type="textWrapping"/>
        <w:t xml:space="preserve"> 👉 €3K – €15K/year (depending on asset)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obigummh0fv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🔥 MY RECOMMENDATION (Paris high-end)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&lt; €1M → €3K–5K/year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€1M–€3M → €5K–10K/year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€3M+ → €10K–20K/year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Keep it fixed, not % → easier to sell</w:t>
      </w:r>
    </w:p>
    <w:p w:rsidR="00000000" w:rsidDel="00000000" w:rsidP="00000000" w:rsidRDefault="00000000" w:rsidRPr="00000000" w14:paraId="0000004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💸 2. WHERE YOU REALLY MAKE MONEY (UPSIDE)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important part: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OPTIONS = your real revenue engine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u1ib3s814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ADD THESE AS PAID OPTIONS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5vuf3bba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A. PROJECT MANAGEMENT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renovation happens: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5% – 10% of works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3yq8q9viv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B. MAINTENANCE INTERVENTION FEE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 manage something: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€150 – €500 per intervention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g6d02ga5s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C. EMERGENCY HANDLING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calls / issues: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€300 – €1,000 per case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qq70ge8wz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D. RENTAL MANAGEMENT (if applicable)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5% – 8% of rent</w:t>
        <w:br w:type="textWrapping"/>
        <w:t xml:space="preserve"> OR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month rent per year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d4h5cjei9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E. FURNISHING / SETUP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properties: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10% – 15% on furniture budget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a87enqgr9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F. CONTRACTOR MARGIN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bring contractors: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5% – 10% margin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54xhe4xtt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BEST PRACTICE (VERY IMPORTANT)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Don’t include everything in base fee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“Base = peace of mind”</w:t>
        <w:br w:type="textWrapping"/>
        <w:t xml:space="preserve"> “Extras = premium services”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bda124alk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STRUCTURE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pbr6tfmdm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now have: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3luqoxy1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One-time revenue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fee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/ contractor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xacphyqop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Recurring revenue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management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jw3itob4b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High-margin upside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renovation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furnishing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