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A364162" w14:textId="77777777" w:rsidR="000F6852" w:rsidRPr="000F6852" w:rsidRDefault="000F6852" w:rsidP="000F6852">
      <w:pPr>
        <w:rPr>
          <w:b/>
          <w:bCs/>
        </w:rPr>
      </w:pPr>
      <w:r w:rsidRPr="000F6852">
        <w:rPr>
          <w:b/>
          <w:bCs/>
        </w:rPr>
        <w:t>Project 6: Multi-Year Retail Sales &amp; Performance Dashboard</w:t>
      </w:r>
    </w:p>
    <w:p w14:paraId="7E772623" w14:textId="77777777" w:rsidR="000F6852" w:rsidRPr="000F6852" w:rsidRDefault="000F6852" w:rsidP="000F6852">
      <w:r w:rsidRPr="000F6852">
        <w:rPr>
          <w:b/>
          <w:bCs/>
        </w:rPr>
        <w:t>1. Project Objective</w:t>
      </w:r>
      <w:r w:rsidRPr="000F6852">
        <w:t xml:space="preserve"> The goal of this project was to analyze a comprehensive retail dataset across a four-year period (2021–2024) to evaluate overall plan achievement, segment profitability, and regional growth. The final deliverable is a high-contrast, interactive dashboard designed to give executives a top-down view of revenue generation and geographic performance against strategic targets.</w:t>
      </w:r>
    </w:p>
    <w:p w14:paraId="3BFF0F3E" w14:textId="77777777" w:rsidR="000F6852" w:rsidRPr="000F6852" w:rsidRDefault="000F6852" w:rsidP="000F6852">
      <w:r w:rsidRPr="000F6852">
        <w:rPr>
          <w:b/>
          <w:bCs/>
        </w:rPr>
        <w:t>2. Technical Skills Demonstrated</w:t>
      </w:r>
    </w:p>
    <w:p w14:paraId="42F8812F" w14:textId="77777777" w:rsidR="000F6852" w:rsidRPr="000F6852" w:rsidRDefault="000F6852" w:rsidP="000F6852">
      <w:pPr>
        <w:numPr>
          <w:ilvl w:val="0"/>
          <w:numId w:val="1"/>
        </w:numPr>
      </w:pPr>
      <w:r w:rsidRPr="000F6852">
        <w:rPr>
          <w:b/>
          <w:bCs/>
        </w:rPr>
        <w:t>Advanced UI/UX Design:</w:t>
      </w:r>
      <w:r w:rsidRPr="000F6852">
        <w:t xml:space="preserve"> Designed a custom, dark-mode interface in Excel to make key metrics "pop" and reduce visual fatigue for end-users.</w:t>
      </w:r>
    </w:p>
    <w:p w14:paraId="5280C2BD" w14:textId="77777777" w:rsidR="000F6852" w:rsidRPr="000F6852" w:rsidRDefault="000F6852" w:rsidP="000F6852">
      <w:pPr>
        <w:numPr>
          <w:ilvl w:val="0"/>
          <w:numId w:val="1"/>
        </w:numPr>
      </w:pPr>
      <w:r w:rsidRPr="000F6852">
        <w:rPr>
          <w:b/>
          <w:bCs/>
        </w:rPr>
        <w:t>Custom Charting:</w:t>
      </w:r>
      <w:r w:rsidRPr="000F6852">
        <w:t xml:space="preserve"> Engineered a dynamic Gauge Chart to track the "Plan Achievement Rate," a complex visual that requires advanced data formatting and layered charting techniques in Excel.</w:t>
      </w:r>
    </w:p>
    <w:p w14:paraId="30BB9E42" w14:textId="77777777" w:rsidR="000F6852" w:rsidRPr="000F6852" w:rsidRDefault="000F6852" w:rsidP="000F6852">
      <w:pPr>
        <w:numPr>
          <w:ilvl w:val="0"/>
          <w:numId w:val="1"/>
        </w:numPr>
      </w:pPr>
      <w:r w:rsidRPr="000F6852">
        <w:rPr>
          <w:b/>
          <w:bCs/>
        </w:rPr>
        <w:t>Multi-Dimensional Analysis:</w:t>
      </w:r>
      <w:r w:rsidRPr="000F6852">
        <w:t xml:space="preserve"> Integrated interactive slicers (Region and Year) to allow stakeholders to filter data across dozens of visual combinations instantly.</w:t>
      </w:r>
    </w:p>
    <w:p w14:paraId="28B31C66" w14:textId="77777777" w:rsidR="000F6852" w:rsidRPr="000F6852" w:rsidRDefault="000F6852" w:rsidP="000F6852">
      <w:pPr>
        <w:numPr>
          <w:ilvl w:val="0"/>
          <w:numId w:val="1"/>
        </w:numPr>
      </w:pPr>
      <w:r w:rsidRPr="000F6852">
        <w:rPr>
          <w:b/>
          <w:bCs/>
        </w:rPr>
        <w:t>KPI Tracking:</w:t>
      </w:r>
      <w:r w:rsidRPr="000F6852">
        <w:t xml:space="preserve"> Consolidated large-scale metrics into clear summary readouts, tracking over $2.75M in revenue and nearly 38,000 goods sold across 531 cities.</w:t>
      </w:r>
    </w:p>
    <w:p w14:paraId="7A554766" w14:textId="77777777" w:rsidR="000F6852" w:rsidRPr="000F6852" w:rsidRDefault="000F6852" w:rsidP="000F6852">
      <w:r w:rsidRPr="000F6852">
        <w:rPr>
          <w:b/>
          <w:bCs/>
        </w:rPr>
        <w:t>3. Key Business Insights</w:t>
      </w:r>
    </w:p>
    <w:p w14:paraId="34A105CC" w14:textId="77777777" w:rsidR="000F6852" w:rsidRPr="000F6852" w:rsidRDefault="000F6852" w:rsidP="000F6852">
      <w:pPr>
        <w:numPr>
          <w:ilvl w:val="0"/>
          <w:numId w:val="2"/>
        </w:numPr>
      </w:pPr>
      <w:r w:rsidRPr="000F6852">
        <w:rPr>
          <w:b/>
          <w:bCs/>
        </w:rPr>
        <w:t>Target Achievement:</w:t>
      </w:r>
      <w:r w:rsidRPr="000F6852">
        <w:t xml:space="preserve"> The business is performing very well against its targets, hitting a </w:t>
      </w:r>
      <w:r w:rsidRPr="000F6852">
        <w:rPr>
          <w:b/>
          <w:bCs/>
        </w:rPr>
        <w:t>92% plan achievement rate</w:t>
      </w:r>
      <w:r w:rsidRPr="000F6852">
        <w:t xml:space="preserve"> with a total revenue of over $2.75M.</w:t>
      </w:r>
    </w:p>
    <w:p w14:paraId="206832C3" w14:textId="77777777" w:rsidR="000F6852" w:rsidRPr="000F6852" w:rsidRDefault="000F6852" w:rsidP="000F6852">
      <w:pPr>
        <w:numPr>
          <w:ilvl w:val="0"/>
          <w:numId w:val="2"/>
        </w:numPr>
      </w:pPr>
      <w:r w:rsidRPr="000F6852">
        <w:rPr>
          <w:b/>
          <w:bCs/>
        </w:rPr>
        <w:t>Customer Segmentation:</w:t>
      </w:r>
      <w:r w:rsidRPr="000F6852">
        <w:t xml:space="preserve"> The "Consumer" segment is the primary driver of the business, accounting for more than half (51%) of all sales, significantly outpacing the Corporate (31%) and Home Office (19%) segments.</w:t>
      </w:r>
    </w:p>
    <w:p w14:paraId="58701989" w14:textId="77777777" w:rsidR="000F6852" w:rsidRPr="000F6852" w:rsidRDefault="000F6852" w:rsidP="000F6852">
      <w:pPr>
        <w:numPr>
          <w:ilvl w:val="0"/>
          <w:numId w:val="2"/>
        </w:numPr>
      </w:pPr>
      <w:r w:rsidRPr="000F6852">
        <w:rPr>
          <w:b/>
          <w:bCs/>
        </w:rPr>
        <w:t>Category Balance:</w:t>
      </w:r>
      <w:r w:rsidRPr="000F6852">
        <w:t xml:space="preserve"> Revenue is remarkably well-balanced across major product categories. Technology leads slightly at 36% ($1.0M), but Furniture (32%) and Office Supplies (31%) follow very closely, indicating a healthy, diversified product catalog.</w:t>
      </w:r>
    </w:p>
    <w:p w14:paraId="5F908D89" w14:textId="77777777" w:rsidR="000F6852" w:rsidRPr="000F6852" w:rsidRDefault="000F6852" w:rsidP="000F6852">
      <w:pPr>
        <w:numPr>
          <w:ilvl w:val="0"/>
          <w:numId w:val="2"/>
        </w:numPr>
      </w:pPr>
      <w:r w:rsidRPr="000F6852">
        <w:rPr>
          <w:b/>
          <w:bCs/>
        </w:rPr>
        <w:t>Geographic Leaders:</w:t>
      </w:r>
      <w:r w:rsidRPr="000F6852">
        <w:t xml:space="preserve"> The East and West coasts dominate the sales charts. New York City and Los Angeles are the undisputed top-performing cities, bringing in roughly $307K and $211K respectively, far ahead of the third-place city (Seattle).</w:t>
      </w:r>
    </w:p>
    <w:p w14:paraId="4792A8C5" w14:textId="77777777" w:rsidR="000F6852" w:rsidRDefault="000F6852" w:rsidP="000F6852">
      <w:pPr>
        <w:numPr>
          <w:ilvl w:val="0"/>
          <w:numId w:val="2"/>
        </w:numPr>
      </w:pPr>
      <w:r w:rsidRPr="000F6852">
        <w:rPr>
          <w:b/>
          <w:bCs/>
        </w:rPr>
        <w:t>Consistent Growth:</w:t>
      </w:r>
      <w:r w:rsidRPr="000F6852">
        <w:t xml:space="preserve"> The multi-year trend analysis (Revenue by Quarter and Region) demonstrates consistent year-over-year growth from 2021 through the end of 2024.</w:t>
      </w:r>
    </w:p>
    <w:p w14:paraId="60DCE55E" w14:textId="77777777" w:rsidR="000F6852" w:rsidRPr="000F6852" w:rsidRDefault="000F6852" w:rsidP="000F6852"/>
    <w:p w14:paraId="60616BE6" w14:textId="77777777" w:rsidR="000F6852" w:rsidRPr="000F6852" w:rsidRDefault="000F6852" w:rsidP="000F6852">
      <w:r w:rsidRPr="000F6852">
        <w:rPr>
          <w:b/>
          <w:bCs/>
        </w:rPr>
        <w:lastRenderedPageBreak/>
        <w:t>4. Strategic Recommendations</w:t>
      </w:r>
    </w:p>
    <w:p w14:paraId="14754AB2" w14:textId="77777777" w:rsidR="000F6852" w:rsidRPr="000F6852" w:rsidRDefault="000F6852" w:rsidP="000F6852">
      <w:pPr>
        <w:numPr>
          <w:ilvl w:val="0"/>
          <w:numId w:val="3"/>
        </w:numPr>
      </w:pPr>
      <w:r w:rsidRPr="000F6852">
        <w:rPr>
          <w:b/>
          <w:bCs/>
        </w:rPr>
        <w:t>Close the Target Gap:</w:t>
      </w:r>
      <w:r w:rsidRPr="000F6852">
        <w:t xml:space="preserve"> With plan achievement at 92%, leadership should investigate the remaining 8% gap. Identifying whether the shortfall is isolated to the underperforming "Home Office" segment or specific lower-tier cities can help hit 100% in the next fiscal year.</w:t>
      </w:r>
    </w:p>
    <w:p w14:paraId="72BF56F8" w14:textId="77777777" w:rsidR="000F6852" w:rsidRPr="000F6852" w:rsidRDefault="000F6852" w:rsidP="000F6852">
      <w:pPr>
        <w:numPr>
          <w:ilvl w:val="0"/>
          <w:numId w:val="3"/>
        </w:numPr>
      </w:pPr>
      <w:r w:rsidRPr="000F6852">
        <w:rPr>
          <w:b/>
          <w:bCs/>
        </w:rPr>
        <w:t>Urban Expansion:</w:t>
      </w:r>
      <w:r w:rsidRPr="000F6852">
        <w:t xml:space="preserve"> Since NYC and LA are such massive revenue drivers, allocate a larger percentage of localized marketing spend to mid-tier cities with similar demographics (like Chicago or Houston) to replicate that success.</w:t>
      </w:r>
    </w:p>
    <w:p w14:paraId="31784CCC" w14:textId="77777777" w:rsidR="000F6852" w:rsidRPr="000F6852" w:rsidRDefault="000F6852" w:rsidP="000F6852">
      <w:pPr>
        <w:numPr>
          <w:ilvl w:val="0"/>
          <w:numId w:val="3"/>
        </w:numPr>
      </w:pPr>
      <w:r w:rsidRPr="000F6852">
        <w:rPr>
          <w:b/>
          <w:bCs/>
        </w:rPr>
        <w:t>Consumer Tech Bundling:</w:t>
      </w:r>
      <w:r w:rsidRPr="000F6852">
        <w:t xml:space="preserve"> With Technology being the top category and Consumers the top segment, introduce specific tech-focused bundles marketed directly to everyday consumers to drive up the average order value.</w:t>
      </w:r>
    </w:p>
    <w:p w14:paraId="792593B6" w14:textId="77777777" w:rsidR="002A30E5" w:rsidRDefault="002A30E5"/>
    <w:sectPr w:rsidR="002A30E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283F6E"/>
    <w:multiLevelType w:val="multilevel"/>
    <w:tmpl w:val="6228E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E65417D"/>
    <w:multiLevelType w:val="multilevel"/>
    <w:tmpl w:val="2B6EA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5B66493"/>
    <w:multiLevelType w:val="multilevel"/>
    <w:tmpl w:val="320A2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53045254">
    <w:abstractNumId w:val="1"/>
  </w:num>
  <w:num w:numId="2" w16cid:durableId="645427773">
    <w:abstractNumId w:val="0"/>
  </w:num>
  <w:num w:numId="3" w16cid:durableId="174634386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79FA"/>
    <w:rsid w:val="000F6852"/>
    <w:rsid w:val="002A30E5"/>
    <w:rsid w:val="00756FD7"/>
    <w:rsid w:val="007A408C"/>
    <w:rsid w:val="00A079FA"/>
    <w:rsid w:val="00B14F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C35837"/>
  <w15:chartTrackingRefBased/>
  <w15:docId w15:val="{4B6E9253-0574-4E41-9B38-23E2F59683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079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079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079F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079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079F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079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079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079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079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079F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079F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079F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079F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079F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079F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079F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079F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079F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079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079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079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079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079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079F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079F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079F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079F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079F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079F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9403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497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432</Words>
  <Characters>2467</Characters>
  <Application>Microsoft Office Word</Application>
  <DocSecurity>0</DocSecurity>
  <Lines>20</Lines>
  <Paragraphs>5</Paragraphs>
  <ScaleCrop>false</ScaleCrop>
  <Company/>
  <LinksUpToDate>false</LinksUpToDate>
  <CharactersWithSpaces>2894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Aman Maheshwari</dc:creator>
  <cp:keywords/>
  <dc:description/>
  <cp:lastModifiedBy>Aman Maheshwari</cp:lastModifiedBy>
  <cp:revision>2</cp:revision>
  <dcterms:created xsi:type="dcterms:W3CDTF">2026-02-22T17:59:00Z</dcterms:created>
  <dcterms:modified xsi:type="dcterms:W3CDTF">2026-02-22T18:00:00Z</dcterms:modified>
</cp:coreProperties>
</file>