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FA049" w14:textId="77777777" w:rsidR="00F30485" w:rsidRPr="00F30485" w:rsidRDefault="00F30485" w:rsidP="00F30485">
      <w:pPr>
        <w:rPr>
          <w:sz w:val="20"/>
          <w:szCs w:val="20"/>
        </w:rPr>
      </w:pPr>
      <w:r w:rsidRPr="00F30485">
        <w:rPr>
          <w:b/>
          <w:bCs/>
          <w:sz w:val="20"/>
          <w:szCs w:val="20"/>
        </w:rPr>
        <w:t>1. Project Objective</w:t>
      </w:r>
      <w:r w:rsidRPr="00F30485">
        <w:rPr>
          <w:sz w:val="20"/>
          <w:szCs w:val="20"/>
        </w:rPr>
        <w:t xml:space="preserve"> The objective of this project was to perform a deep-dive, multi-faceted analysis of a US retail dataset using Tableau. The goal was to uncover hidden relationships between sales volume, profitability, and customer segments across various geographic regions, providing stakeholders with a 360-degree view of business performance.</w:t>
      </w:r>
    </w:p>
    <w:p w14:paraId="28F4F5E6" w14:textId="77777777" w:rsidR="00F30485" w:rsidRPr="00F30485" w:rsidRDefault="00F30485" w:rsidP="00F30485">
      <w:pPr>
        <w:rPr>
          <w:sz w:val="20"/>
          <w:szCs w:val="20"/>
        </w:rPr>
      </w:pPr>
      <w:r w:rsidRPr="00F30485">
        <w:rPr>
          <w:b/>
          <w:bCs/>
          <w:sz w:val="20"/>
          <w:szCs w:val="20"/>
        </w:rPr>
        <w:t>2. Technical Skills Demonstrated</w:t>
      </w:r>
    </w:p>
    <w:p w14:paraId="588A492D" w14:textId="77777777" w:rsidR="00F30485" w:rsidRPr="00F30485" w:rsidRDefault="00F30485" w:rsidP="00F30485">
      <w:pPr>
        <w:numPr>
          <w:ilvl w:val="0"/>
          <w:numId w:val="1"/>
        </w:numPr>
        <w:rPr>
          <w:sz w:val="20"/>
          <w:szCs w:val="20"/>
        </w:rPr>
      </w:pPr>
      <w:r w:rsidRPr="00F30485">
        <w:rPr>
          <w:b/>
          <w:bCs/>
          <w:sz w:val="20"/>
          <w:szCs w:val="20"/>
        </w:rPr>
        <w:t>Advanced Visualizations:</w:t>
      </w:r>
      <w:r w:rsidRPr="00F30485">
        <w:rPr>
          <w:sz w:val="20"/>
          <w:szCs w:val="20"/>
        </w:rPr>
        <w:t xml:space="preserve"> Went beyond standard charting by incorporating Word Clouds for sub-category volume, Scatter Plots for outlier detection, and Highlight Tables (Heat Maps) for regional performance.</w:t>
      </w:r>
    </w:p>
    <w:p w14:paraId="4C262E45" w14:textId="77777777" w:rsidR="00F30485" w:rsidRPr="00F30485" w:rsidRDefault="00F30485" w:rsidP="00F30485">
      <w:pPr>
        <w:numPr>
          <w:ilvl w:val="0"/>
          <w:numId w:val="1"/>
        </w:numPr>
        <w:rPr>
          <w:sz w:val="20"/>
          <w:szCs w:val="20"/>
        </w:rPr>
      </w:pPr>
      <w:r w:rsidRPr="00F30485">
        <w:rPr>
          <w:b/>
          <w:bCs/>
          <w:sz w:val="20"/>
          <w:szCs w:val="20"/>
        </w:rPr>
        <w:t>Geospatial Analytics:</w:t>
      </w:r>
      <w:r w:rsidRPr="00F30485">
        <w:rPr>
          <w:sz w:val="20"/>
          <w:szCs w:val="20"/>
        </w:rPr>
        <w:t xml:space="preserve"> Built an interactive US map to track regional sales and profitability.</w:t>
      </w:r>
    </w:p>
    <w:p w14:paraId="6FC9EE9F" w14:textId="77777777" w:rsidR="00F30485" w:rsidRPr="00F30485" w:rsidRDefault="00F30485" w:rsidP="00F30485">
      <w:pPr>
        <w:numPr>
          <w:ilvl w:val="0"/>
          <w:numId w:val="1"/>
        </w:numPr>
        <w:rPr>
          <w:sz w:val="20"/>
          <w:szCs w:val="20"/>
        </w:rPr>
      </w:pPr>
      <w:r w:rsidRPr="00F30485">
        <w:rPr>
          <w:b/>
          <w:bCs/>
          <w:sz w:val="20"/>
          <w:szCs w:val="20"/>
        </w:rPr>
        <w:t>Correlation Analysis:</w:t>
      </w:r>
      <w:r w:rsidRPr="00F30485">
        <w:rPr>
          <w:sz w:val="20"/>
          <w:szCs w:val="20"/>
        </w:rPr>
        <w:t xml:space="preserve"> Engineered multiple scatter plots (e.g., Profit vs. Sales, Quantity vs. Sales) to visually isolate highly profitable transactions from high-revenue, negative-profit outliers.</w:t>
      </w:r>
    </w:p>
    <w:p w14:paraId="30D436A2" w14:textId="77777777" w:rsidR="00F30485" w:rsidRPr="00F30485" w:rsidRDefault="00F30485" w:rsidP="00F30485">
      <w:pPr>
        <w:numPr>
          <w:ilvl w:val="0"/>
          <w:numId w:val="1"/>
        </w:numPr>
        <w:rPr>
          <w:sz w:val="20"/>
          <w:szCs w:val="20"/>
        </w:rPr>
      </w:pPr>
      <w:r w:rsidRPr="00F30485">
        <w:rPr>
          <w:b/>
          <w:bCs/>
          <w:sz w:val="20"/>
          <w:szCs w:val="20"/>
        </w:rPr>
        <w:t>Dashboard Interactivity:</w:t>
      </w:r>
      <w:r w:rsidRPr="00F30485">
        <w:rPr>
          <w:sz w:val="20"/>
          <w:szCs w:val="20"/>
        </w:rPr>
        <w:t xml:space="preserve"> Integrated global filters for Category, Sub-Category, and custom Parameter controls to allow users to dynamically adjust the data view.</w:t>
      </w:r>
    </w:p>
    <w:p w14:paraId="5840BBD8" w14:textId="77777777" w:rsidR="00F30485" w:rsidRPr="00F30485" w:rsidRDefault="00F30485" w:rsidP="00F30485">
      <w:pPr>
        <w:rPr>
          <w:sz w:val="20"/>
          <w:szCs w:val="20"/>
        </w:rPr>
      </w:pPr>
      <w:r w:rsidRPr="00F30485">
        <w:rPr>
          <w:b/>
          <w:bCs/>
          <w:sz w:val="20"/>
          <w:szCs w:val="20"/>
        </w:rPr>
        <w:t>3. Key Business Insights</w:t>
      </w:r>
    </w:p>
    <w:p w14:paraId="467322E3" w14:textId="77777777" w:rsidR="00F30485" w:rsidRPr="00F30485" w:rsidRDefault="00F30485" w:rsidP="00F30485">
      <w:pPr>
        <w:numPr>
          <w:ilvl w:val="0"/>
          <w:numId w:val="2"/>
        </w:numPr>
        <w:rPr>
          <w:sz w:val="20"/>
          <w:szCs w:val="20"/>
        </w:rPr>
      </w:pPr>
      <w:r w:rsidRPr="00F30485">
        <w:rPr>
          <w:b/>
          <w:bCs/>
          <w:sz w:val="20"/>
          <w:szCs w:val="20"/>
        </w:rPr>
        <w:t>Category Breakdown:</w:t>
      </w:r>
      <w:r w:rsidRPr="00F30485">
        <w:rPr>
          <w:sz w:val="20"/>
          <w:szCs w:val="20"/>
        </w:rPr>
        <w:t xml:space="preserve"> Sales are relatively balanced, but "Technology" is the leading category (36.3%), followed closely by "Furniture" (32.3%) and "Office Supplies" (31.3%).</w:t>
      </w:r>
    </w:p>
    <w:p w14:paraId="4A0E3B00" w14:textId="77777777" w:rsidR="00F30485" w:rsidRPr="00F30485" w:rsidRDefault="00F30485" w:rsidP="00F30485">
      <w:pPr>
        <w:numPr>
          <w:ilvl w:val="0"/>
          <w:numId w:val="2"/>
        </w:numPr>
        <w:rPr>
          <w:sz w:val="20"/>
          <w:szCs w:val="20"/>
        </w:rPr>
      </w:pPr>
      <w:r w:rsidRPr="00F30485">
        <w:rPr>
          <w:b/>
          <w:bCs/>
          <w:sz w:val="20"/>
          <w:szCs w:val="20"/>
        </w:rPr>
        <w:t>Segment Dominance:</w:t>
      </w:r>
      <w:r w:rsidRPr="00F30485">
        <w:rPr>
          <w:sz w:val="20"/>
          <w:szCs w:val="20"/>
        </w:rPr>
        <w:t xml:space="preserve"> The "Consumer" segment is the undeniable primary revenue driver across all regions, significantly outperforming both the Corporate and Home Office segments.</w:t>
      </w:r>
    </w:p>
    <w:p w14:paraId="1EFA555B" w14:textId="77777777" w:rsidR="00F30485" w:rsidRPr="00F30485" w:rsidRDefault="00F30485" w:rsidP="00F30485">
      <w:pPr>
        <w:numPr>
          <w:ilvl w:val="0"/>
          <w:numId w:val="2"/>
        </w:numPr>
        <w:rPr>
          <w:sz w:val="20"/>
          <w:szCs w:val="20"/>
        </w:rPr>
      </w:pPr>
      <w:r w:rsidRPr="00F30485">
        <w:rPr>
          <w:b/>
          <w:bCs/>
          <w:sz w:val="20"/>
          <w:szCs w:val="20"/>
        </w:rPr>
        <w:t>Profitability Outliers:</w:t>
      </w:r>
      <w:r w:rsidRPr="00F30485">
        <w:rPr>
          <w:sz w:val="20"/>
          <w:szCs w:val="20"/>
        </w:rPr>
        <w:t xml:space="preserve"> The Profit vs. Sales scatter plot reveals a critical business issue: while the majority of transactions are profitable, there is a distinct cluster of high-sales transactions that result in a negative profit.</w:t>
      </w:r>
    </w:p>
    <w:p w14:paraId="04A93C2F" w14:textId="77777777" w:rsidR="00F30485" w:rsidRPr="00F30485" w:rsidRDefault="00F30485" w:rsidP="00F30485">
      <w:pPr>
        <w:numPr>
          <w:ilvl w:val="0"/>
          <w:numId w:val="2"/>
        </w:numPr>
        <w:rPr>
          <w:sz w:val="20"/>
          <w:szCs w:val="20"/>
        </w:rPr>
      </w:pPr>
      <w:r w:rsidRPr="00F30485">
        <w:rPr>
          <w:b/>
          <w:bCs/>
          <w:sz w:val="20"/>
          <w:szCs w:val="20"/>
        </w:rPr>
        <w:t>Sub-Category Drivers:</w:t>
      </w:r>
      <w:r w:rsidRPr="00F30485">
        <w:rPr>
          <w:sz w:val="20"/>
          <w:szCs w:val="20"/>
        </w:rPr>
        <w:t xml:space="preserve"> The word cloud and regional heat maps highlight "Phones," "Chairs," "Storage," and "Binders" as the most significant drivers of both sales volume and revenue.</w:t>
      </w:r>
    </w:p>
    <w:p w14:paraId="6B768C6C" w14:textId="77777777" w:rsidR="00F30485" w:rsidRPr="00F30485" w:rsidRDefault="00F30485" w:rsidP="00F30485">
      <w:pPr>
        <w:rPr>
          <w:sz w:val="20"/>
          <w:szCs w:val="20"/>
        </w:rPr>
      </w:pPr>
      <w:r w:rsidRPr="00F30485">
        <w:rPr>
          <w:b/>
          <w:bCs/>
          <w:sz w:val="20"/>
          <w:szCs w:val="20"/>
        </w:rPr>
        <w:t>4. Strategic Recommendations</w:t>
      </w:r>
    </w:p>
    <w:p w14:paraId="3DF5F1A9" w14:textId="77777777" w:rsidR="00F30485" w:rsidRPr="00F30485" w:rsidRDefault="00F30485" w:rsidP="00F30485">
      <w:pPr>
        <w:numPr>
          <w:ilvl w:val="0"/>
          <w:numId w:val="3"/>
        </w:numPr>
        <w:rPr>
          <w:sz w:val="20"/>
          <w:szCs w:val="20"/>
        </w:rPr>
      </w:pPr>
      <w:r w:rsidRPr="00F30485">
        <w:rPr>
          <w:b/>
          <w:bCs/>
          <w:sz w:val="20"/>
          <w:szCs w:val="20"/>
        </w:rPr>
        <w:t>Investigate Profit Leaks:</w:t>
      </w:r>
      <w:r w:rsidRPr="00F30485">
        <w:rPr>
          <w:sz w:val="20"/>
          <w:szCs w:val="20"/>
        </w:rPr>
        <w:t xml:space="preserve"> Immediate action is required to investigate the high-revenue, negative-profit outliers identified in the scatter plot. The business must audit the discounting, shipping costs, or vendor pricing associated with these specific transactions to stop margin erosion.</w:t>
      </w:r>
    </w:p>
    <w:p w14:paraId="1F44C5ED" w14:textId="77777777" w:rsidR="00F30485" w:rsidRPr="00F30485" w:rsidRDefault="00F30485" w:rsidP="00F30485">
      <w:pPr>
        <w:numPr>
          <w:ilvl w:val="0"/>
          <w:numId w:val="3"/>
        </w:numPr>
        <w:rPr>
          <w:sz w:val="20"/>
          <w:szCs w:val="20"/>
        </w:rPr>
      </w:pPr>
      <w:r w:rsidRPr="00F30485">
        <w:rPr>
          <w:b/>
          <w:bCs/>
          <w:sz w:val="20"/>
          <w:szCs w:val="20"/>
        </w:rPr>
        <w:t>Consumer Tech Focus:</w:t>
      </w:r>
      <w:r w:rsidRPr="00F30485">
        <w:rPr>
          <w:sz w:val="20"/>
          <w:szCs w:val="20"/>
        </w:rPr>
        <w:t xml:space="preserve"> Since Technology and the Consumer segment are the largest revenue contributors, marketing teams should allocate a higher percentage of their ad spend to consumer-facing tech campaigns.</w:t>
      </w:r>
    </w:p>
    <w:p w14:paraId="2C69CD4C" w14:textId="77777777" w:rsidR="00F30485" w:rsidRPr="00F30485" w:rsidRDefault="00F30485" w:rsidP="00F30485">
      <w:pPr>
        <w:numPr>
          <w:ilvl w:val="0"/>
          <w:numId w:val="3"/>
        </w:numPr>
        <w:rPr>
          <w:sz w:val="20"/>
          <w:szCs w:val="20"/>
        </w:rPr>
      </w:pPr>
      <w:r w:rsidRPr="00F30485">
        <w:rPr>
          <w:b/>
          <w:bCs/>
          <w:sz w:val="20"/>
          <w:szCs w:val="20"/>
        </w:rPr>
        <w:t>Optimize Regional Inventory:</w:t>
      </w:r>
      <w:r w:rsidRPr="00F30485">
        <w:rPr>
          <w:sz w:val="20"/>
          <w:szCs w:val="20"/>
        </w:rPr>
        <w:t xml:space="preserve"> Utilize the Sub-Category highlight table to adjust inventory levels regionally, ensuring that heavy-hitting items like Phones and Chairs are stocked closer to the high-demand regions to reduce shipping costs.</w:t>
      </w:r>
    </w:p>
    <w:p w14:paraId="6ED4001D" w14:textId="77777777" w:rsidR="002A30E5" w:rsidRPr="002064A6" w:rsidRDefault="002A30E5">
      <w:pPr>
        <w:rPr>
          <w:sz w:val="20"/>
          <w:szCs w:val="20"/>
        </w:rPr>
      </w:pPr>
    </w:p>
    <w:sectPr w:rsidR="002A30E5" w:rsidRPr="00206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F1E21"/>
    <w:multiLevelType w:val="multilevel"/>
    <w:tmpl w:val="3F72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B1097"/>
    <w:multiLevelType w:val="multilevel"/>
    <w:tmpl w:val="6D52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CB2B5E"/>
    <w:multiLevelType w:val="multilevel"/>
    <w:tmpl w:val="CB38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191563">
    <w:abstractNumId w:val="2"/>
  </w:num>
  <w:num w:numId="2" w16cid:durableId="230897013">
    <w:abstractNumId w:val="1"/>
  </w:num>
  <w:num w:numId="3" w16cid:durableId="1905288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9C3"/>
    <w:rsid w:val="001409C3"/>
    <w:rsid w:val="001F2FB7"/>
    <w:rsid w:val="002064A6"/>
    <w:rsid w:val="002A30E5"/>
    <w:rsid w:val="007A408C"/>
    <w:rsid w:val="00B14FFB"/>
    <w:rsid w:val="00F30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320557-1AB1-41D6-A3BB-AD20B8ADA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5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386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Maheshwari</dc:creator>
  <cp:keywords/>
  <dc:description/>
  <cp:lastModifiedBy>Aman Maheshwari</cp:lastModifiedBy>
  <cp:revision>3</cp:revision>
  <dcterms:created xsi:type="dcterms:W3CDTF">2026-02-23T17:32:00Z</dcterms:created>
  <dcterms:modified xsi:type="dcterms:W3CDTF">2026-02-23T17:33:00Z</dcterms:modified>
</cp:coreProperties>
</file>