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LISTA DE CHEQUEO: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INFINITE HORIZONS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4350"/>
        <w:tblGridChange w:id="0">
          <w:tblGrid>
            <w:gridCol w:w="6825"/>
            <w:gridCol w:w="4350"/>
          </w:tblGrid>
        </w:tblGridChange>
      </w:tblGrid>
      <w:tr>
        <w:trPr>
          <w:cantSplit w:val="0"/>
          <w:trHeight w:val="464.462890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Puntos de chequeo: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Fecha: 10 de marzo del 2024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Claridad y coherencia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¿El reporte de requerimientos de software es claro y fácil de entender?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¿La información proporcionada en el reporte es coherente y consistente en todo momento?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¿Las elaboradas entrevistas ayudaron a completar parte del proyecto?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Requisitos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incluyen todos los requisitos funcionales necesarios para 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¿Están los requisitos funcionales bien definidos y específicos?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requisitos funcionales son verificables y medibles?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Requisitos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¿Se han identificado y documentado los requisitos no funcionales importantes?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requisitos no funcionales son claros en cuanto a sus expectativas de rendimiento, seguridad, usabilidad, etc.?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Priorización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priorizado los requerimientos de acuerdo con su importancia y urgencia?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 consultado a los stakeholders relevantes para establecer la priorización de los requerimientos?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 Consistencia con la Visión y Objetivos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requerimientos están alineados con la visión y los objetivos del proyecto?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 verificado que los requerimientos contribuyan directamente a los resultados esperados del proyecto?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6. Compleción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¿El reporte de requerimientos de software incluye todos los aspectos necesarios para el desarrollo del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considerado todos los escenarios posibles en la definición de los requerimientos?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7. Verificabilidad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¿Es posible verificar si se han cumplido los requerimientos una vez que el software esté implementado?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requerimientos están redactados de manera que permitan la verificación fácil y clara?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8. Consistencia con Normativas y Estándares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¿Los requerimientos cumplen con las normativas y estándares relevantes para el tipo de software que se está desarrollando?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considerado regulaciones específicas de la industria si es necesario?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9. Aceptabilidad de los Stakeholders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consultado y obtenido la aprobación de los stakeholders clave para los requerimientos establecidos?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¿Se han realizado revisiones y ajustes en base a los comentarios de los stakeholders?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1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1140"/>
        <w:gridCol w:w="1245"/>
        <w:gridCol w:w="1860"/>
        <w:gridCol w:w="1305"/>
        <w:tblGridChange w:id="0">
          <w:tblGrid>
            <w:gridCol w:w="5625"/>
            <w:gridCol w:w="1140"/>
            <w:gridCol w:w="1245"/>
            <w:gridCol w:w="1860"/>
            <w:gridCol w:w="1305"/>
          </w:tblGrid>
        </w:tblGridChange>
      </w:tblGrid>
      <w:tr>
        <w:trPr>
          <w:cantSplit w:val="0"/>
          <w:trHeight w:val="279.9804687499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10. Rastreabilidad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¿Se ha establecido una relación clara entre los requerimientos y los casos de uso, pruebas y otros artefactos del proyecto?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¿Es posible rastrear cada requerimiento desde su origen hasta su implementación y prueba?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