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rPr>
          <w:rFonts w:ascii="Palatino Linotype" w:hAnsi="Palatino Linotype" w:eastAsia="Palatino Linotype"/>
          <w:b/>
          <w:i w:val="0"/>
          <w:sz w:val="32"/>
        </w:rPr>
        <w:t>The Architectural Cost of Hybrid VTOL: meryemAircraft, a Propeller-Driven Tail-Sitting Blended-Wing-Body Without a Dedicated Lift System</w:t>
      </w:r>
    </w:p>
    <w:p>
      <w:pPr>
        <w:spacing w:before="0" w:after="40" w:line="240" w:lineRule="auto"/>
        <w:jc w:val="left"/>
      </w:pPr>
      <w:r>
        <w:rPr>
          <w:rFonts w:ascii="Palatino Linotype" w:hAnsi="Palatino Linotype" w:eastAsia="Palatino Linotype"/>
          <w:b w:val="0"/>
          <w:i w:val="0"/>
          <w:sz w:val="20"/>
        </w:rPr>
        <w:t xml:space="preserve">Meryem Gülmen </w:t>
      </w:r>
      <w:r>
        <w:rPr>
          <w:rFonts w:ascii="Palatino Linotype" w:hAnsi="Palatino Linotype" w:eastAsia="Palatino Linotype"/>
          <w:b w:val="0"/>
          <w:i w:val="0"/>
          <w:sz w:val="20"/>
          <w:vertAlign w:val="superscript"/>
        </w:rPr>
        <w:t>1,*</w:t>
      </w:r>
      <w:r>
        <w:rPr>
          <w:rFonts w:ascii="Palatino Linotype" w:hAnsi="Palatino Linotype" w:eastAsia="Palatino Linotype"/>
          <w:b w:val="0"/>
          <w:i w:val="0"/>
          <w:sz w:val="20"/>
        </w:rPr>
        <w:t xml:space="preserve">, Berke Gülmen </w:t>
      </w:r>
      <w:r>
        <w:rPr>
          <w:rFonts w:ascii="Palatino Linotype" w:hAnsi="Palatino Linotype" w:eastAsia="Palatino Linotype"/>
          <w:b w:val="0"/>
          <w:i w:val="0"/>
          <w:sz w:val="20"/>
          <w:vertAlign w:val="superscript"/>
        </w:rPr>
        <w:t>1</w:t>
      </w:r>
      <w:r>
        <w:rPr>
          <w:rFonts w:ascii="Palatino Linotype" w:hAnsi="Palatino Linotype" w:eastAsia="Palatino Linotype"/>
          <w:b w:val="0"/>
          <w:i w:val="0"/>
          <w:sz w:val="20"/>
        </w:rPr>
        <w:t xml:space="preserve">, Ömer Gülmen </w:t>
      </w:r>
      <w:r>
        <w:rPr>
          <w:rFonts w:ascii="Palatino Linotype" w:hAnsi="Palatino Linotype" w:eastAsia="Palatino Linotype"/>
          <w:b w:val="0"/>
          <w:i w:val="0"/>
          <w:sz w:val="20"/>
          <w:vertAlign w:val="superscript"/>
        </w:rPr>
        <w:t>1</w:t>
      </w:r>
    </w:p>
    <w:p>
      <w:pPr>
        <w:spacing w:before="0" w:after="40" w:line="240" w:lineRule="auto"/>
        <w:jc w:val="left"/>
      </w:pPr>
      <w:r>
        <w:rPr>
          <w:rFonts w:ascii="Palatino Linotype" w:hAnsi="Palatino Linotype" w:eastAsia="Palatino Linotype"/>
          <w:b w:val="0"/>
          <w:i w:val="0"/>
          <w:sz w:val="20"/>
          <w:vertAlign w:val="superscript"/>
        </w:rPr>
        <w:t>1</w:t>
      </w:r>
      <w:r>
        <w:rPr>
          <w:rFonts w:ascii="Palatino Linotype" w:hAnsi="Palatino Linotype" w:eastAsia="Palatino Linotype"/>
          <w:b w:val="0"/>
          <w:i w:val="0"/>
          <w:sz w:val="20"/>
        </w:rPr>
        <w:t xml:space="preserve"> Independent Researcher, Türkiye; meryemgulmen@outlook.com (M.G.); berkegulmen@outlook.com (B.G.); lordtek@me.com (Ö.G.)</w:t>
      </w:r>
    </w:p>
    <w:p>
      <w:pPr>
        <w:spacing w:before="0" w:after="40" w:line="240" w:lineRule="auto"/>
        <w:jc w:val="left"/>
      </w:pPr>
      <w:r>
        <w:rPr>
          <w:rFonts w:ascii="Palatino Linotype" w:hAnsi="Palatino Linotype" w:eastAsia="Palatino Linotype"/>
          <w:b w:val="0"/>
          <w:i w:val="0"/>
          <w:sz w:val="20"/>
          <w:vertAlign w:val="superscript"/>
        </w:rPr>
        <w:t>*</w:t>
      </w:r>
      <w:r>
        <w:rPr>
          <w:rFonts w:ascii="Palatino Linotype" w:hAnsi="Palatino Linotype" w:eastAsia="Palatino Linotype"/>
          <w:b w:val="0"/>
          <w:i w:val="0"/>
          <w:sz w:val="20"/>
        </w:rPr>
        <w:t xml:space="preserve"> Correspondence: meryemgulmen@outlook.com</w:t>
      </w:r>
    </w:p>
    <w:p>
      <w:pPr>
        <w:spacing w:before="120" w:after="60" w:line="240" w:lineRule="auto"/>
        <w:jc w:val="left"/>
      </w:pPr>
      <w:r>
        <w:rPr>
          <w:rFonts w:ascii="Palatino Linotype" w:hAnsi="Palatino Linotype" w:eastAsia="Palatino Linotype"/>
          <w:b/>
          <w:i w:val="0"/>
          <w:sz w:val="18"/>
        </w:rPr>
        <w:t>What are the main findings?</w:t>
      </w:r>
    </w:p>
    <w:p>
      <w:pPr>
        <w:spacing w:before="0" w:after="60" w:line="240" w:lineRule="auto"/>
        <w:ind w:left="280"/>
        <w:jc w:val="both"/>
      </w:pPr>
      <w:r>
        <w:rPr>
          <w:rFonts w:ascii="Palatino Linotype" w:hAnsi="Palatino Linotype" w:eastAsia="Palatino Linotype"/>
          <w:b w:val="0"/>
          <w:i w:val="0"/>
          <w:sz w:val="18"/>
        </w:rPr>
        <w:t>•  Hybrid VTOL aircraft pay for vertical flight in three coupled currencies — hover hardware carried through cruise, its drag when exposed, and continuous power sized by a condition holding for some two percent of the flight — and each architectural remedy surveyed here reduces one by raising another.</w:t>
      </w:r>
    </w:p>
    <w:p>
      <w:pPr>
        <w:spacing w:before="0" w:after="60" w:line="240" w:lineRule="auto"/>
        <w:ind w:left="280"/>
        <w:jc w:val="both"/>
      </w:pPr>
      <w:r>
        <w:rPr>
          <w:rFonts w:ascii="Palatino Linotype" w:hAnsi="Palatino Linotype" w:eastAsia="Palatino Linotype"/>
          <w:b w:val="0"/>
          <w:i w:val="0"/>
          <w:sz w:val="18"/>
        </w:rPr>
        <w:t>•  A tail-sitting blended-wing body whose single coaxial nose pair serves both regimes instantiates the escape condition, and carrying the case that far shows what it costs: the free-wheeling drag of its own attitude rotors is a bill the configuration was assumed to avoid, and charging it reverses one of the three range comparisons and takes the mass advantage from 42 to between 32 and 36 percent.</w:t>
      </w:r>
    </w:p>
    <w:p>
      <w:pPr>
        <w:spacing w:before="120" w:after="60" w:line="240" w:lineRule="auto"/>
        <w:jc w:val="left"/>
      </w:pPr>
      <w:r>
        <w:rPr>
          <w:rFonts w:ascii="Palatino Linotype" w:hAnsi="Palatino Linotype" w:eastAsia="Palatino Linotype"/>
          <w:b/>
          <w:i w:val="0"/>
          <w:sz w:val="18"/>
        </w:rPr>
        <w:t>What are the implications of the main findings?</w:t>
      </w:r>
    </w:p>
    <w:p>
      <w:pPr>
        <w:spacing w:before="0" w:after="60" w:line="240" w:lineRule="auto"/>
        <w:ind w:left="280"/>
        <w:jc w:val="both"/>
      </w:pPr>
      <w:r>
        <w:rPr>
          <w:rFonts w:ascii="Palatino Linotype" w:hAnsi="Palatino Linotype" w:eastAsia="Palatino Linotype"/>
          <w:b w:val="0"/>
          <w:i w:val="0"/>
          <w:sz w:val="18"/>
        </w:rPr>
        <w:t xml:space="preserve">•  Architectural rankings are properties of the sizing contract, not of the architecture. Across the computed drag bracket the lift-plus-cruise layout leads on range under equal fuel fractions by 24 to 45 percent, the tail-sitter leads under equal take-off mass by 29 to 43, and under equal fuel mass the sign changes inside the bracket. </w:t>
      </w:r>
      <w:r>
        <w:rPr>
          <w:rFonts w:ascii="Palatino Linotype" w:hAnsi="Palatino Linotype" w:eastAsia="Palatino Linotype"/>
          <w:b/>
          <w:i w:val="0"/>
          <w:sz w:val="18"/>
        </w:rPr>
        <w:t>A ranking quoted without its contract is not a result.</w:t>
      </w:r>
    </w:p>
    <w:p>
      <w:pPr>
        <w:spacing w:before="0" w:after="60" w:line="240" w:lineRule="auto"/>
        <w:ind w:left="280"/>
        <w:jc w:val="both"/>
      </w:pPr>
      <w:r>
        <w:rPr>
          <w:rFonts w:ascii="Palatino Linotype" w:hAnsi="Palatino Linotype" w:eastAsia="Palatino Linotype"/>
          <w:b w:val="0"/>
          <w:i w:val="0"/>
          <w:sz w:val="18"/>
        </w:rPr>
        <w:t>•  The configuration is not shown to be flyable: its 50 kg reference budget needs a battery specific power 3.8 times the highest rate yet measured on a flown pack, and re-closes 38 percent heavier at that measured rate; transition controllability rests on a pitching moment no current method predicts reliably.</w:t>
      </w:r>
    </w:p>
    <w:p>
      <w:pPr>
        <w:spacing w:before="200"/>
        <w:jc w:val="both"/>
      </w:pPr>
      <w:r>
        <w:rPr>
          <w:rFonts w:ascii="Palatino Linotype" w:hAnsi="Palatino Linotype" w:eastAsia="Palatino Linotype"/>
          <w:b/>
          <w:i w:val="0"/>
          <w:sz w:val="18"/>
        </w:rPr>
        <w:t xml:space="preserve">Abstract: </w:t>
      </w:r>
      <w:r>
        <w:rPr>
          <w:rFonts w:ascii="Palatino Linotype" w:hAnsi="Palatino Linotype" w:eastAsia="Palatino Linotype"/>
          <w:b w:val="0"/>
          <w:i w:val="0"/>
          <w:sz w:val="18"/>
        </w:rPr>
        <w:t xml:space="preserve">Hybrid vertical take-off and landing (VTOL) aircraft pay for runway independence in cruise efficiency. This paper treats that cost as architectural and builds an accounting framework: the penalty is charged in three coupled currencies — hover hardware carried through cruise, its drag when exposed, and continuous power sized by a two-percent-of-flight condition, and every remedy surveyed reduces one by raising another. Escape requires the same hardware, in the same orientation, doing the same job, with the hover peak from a buffer. </w:t>
      </w:r>
      <w:r>
        <w:rPr>
          <w:rFonts w:ascii="Palatino Linotype" w:hAnsi="Palatino Linotype" w:eastAsia="Palatino Linotype"/>
          <w:b/>
          <w:i w:val="0"/>
          <w:sz w:val="18"/>
        </w:rPr>
        <w:t>The framework predicts that architectural rankings belong to sizing contracts rather than to architectures</w:t>
      </w:r>
      <w:r>
        <w:rPr>
          <w:rFonts w:ascii="Palatino Linotype" w:hAnsi="Palatino Linotype" w:eastAsia="Palatino Linotype"/>
          <w:b w:val="0"/>
          <w:i w:val="0"/>
          <w:sz w:val="18"/>
        </w:rPr>
        <w:t xml:space="preserve">, so three contracts are reported. An uncrewed tail-sitting blended-wing body instantiates it in its primary propulsor, at two scales. Across a computed drag bracket it holds a 32 to 36 percent mass advantage over a lift-plus-cruise layout under every contract but loses the range comparison under equal fuel fractions, a reversal driven by the free-wheeling drag of its own attitude rotors — a bill computed here rather than assumed. It is not shown to be flyable: the budget needs 3.8 times the highest battery specific power yet measured, and transition rests on an unpredicted pitching moment. </w:t>
      </w:r>
      <w:r>
        <w:rPr>
          <w:rFonts w:ascii="Palatino Linotype" w:hAnsi="Palatino Linotype" w:eastAsia="Palatino Linotype"/>
          <w:b/>
          <w:i w:val="0"/>
          <w:sz w:val="18"/>
        </w:rPr>
        <w:t>The framework does not depend on that outcome.</w:t>
      </w:r>
    </w:p>
    <w:p>
      <w:pPr>
        <w:spacing w:after="240"/>
        <w:jc w:val="both"/>
      </w:pPr>
      <w:r>
        <w:rPr>
          <w:rFonts w:ascii="Palatino Linotype" w:hAnsi="Palatino Linotype" w:eastAsia="Palatino Linotype"/>
          <w:b/>
          <w:i w:val="0"/>
          <w:sz w:val="18"/>
        </w:rPr>
        <w:t xml:space="preserve">Keywords: </w:t>
      </w:r>
      <w:r>
        <w:rPr>
          <w:rFonts w:ascii="Palatino Linotype" w:hAnsi="Palatino Linotype" w:eastAsia="Palatino Linotype"/>
          <w:b w:val="0"/>
          <w:i w:val="0"/>
          <w:sz w:val="18"/>
        </w:rPr>
        <w:t>vertical take-off and landing; tail-sitter; blended wing body; uncrewed aerial vehicle; series hybrid propulsion; cruise efficiency; aircraft configuration design</w:t>
      </w:r>
    </w:p>
    <w:p>
      <w:pPr>
        <w:spacing w:before="200" w:after="80"/>
      </w:pPr>
      <w:r>
        <w:rPr>
          <w:rFonts w:ascii="Palatino Linotype" w:hAnsi="Palatino Linotype" w:eastAsia="Palatino Linotype"/>
          <w:b/>
          <w:i w:val="0"/>
          <w:sz w:val="26"/>
        </w:rPr>
        <w:t>1. Introduction</w:t>
      </w:r>
    </w:p>
    <w:p>
      <w:pPr>
        <w:spacing w:before="0" w:after="80" w:line="240" w:lineRule="auto"/>
        <w:jc w:val="both"/>
      </w:pPr>
      <w:r>
        <w:rPr>
          <w:rFonts w:ascii="Palatino Linotype" w:hAnsi="Palatino Linotype" w:eastAsia="Palatino Linotype"/>
          <w:b w:val="0"/>
          <w:i w:val="0"/>
          <w:sz w:val="20"/>
        </w:rPr>
        <w:t>Powered flight for uncrewed aircraft is dominated by two configuration families, and each is bounded by a different limit.</w:t>
      </w:r>
    </w:p>
    <w:p>
      <w:pPr>
        <w:spacing w:before="0" w:after="80" w:line="240" w:lineRule="auto"/>
        <w:jc w:val="both"/>
      </w:pPr>
      <w:r>
        <w:rPr>
          <w:rFonts w:ascii="Palatino Linotype" w:hAnsi="Palatino Linotype" w:eastAsia="Palatino Linotype"/>
          <w:b w:val="0"/>
          <w:i w:val="0"/>
          <w:sz w:val="20"/>
        </w:rPr>
        <w:t>Fixed-wing aircraft carry payload efficiently over long distances because the wing sustains the vehicle without continuously expending power on lift. Their limit is not aerodynamic but infrastructural: they require a runway, a catapult, or an equivalent launch and recovery installation. That requirement is expensive, fixed in place, and scales poorly — a larger fixed-wing aircraft demands a longer runway, stronger pavement, and wider taxiways, so its growth is gated by the ground rather than by the air.</w:t>
      </w:r>
    </w:p>
    <w:p>
      <w:pPr>
        <w:spacing w:before="0" w:after="80" w:line="240" w:lineRule="auto"/>
        <w:jc w:val="both"/>
      </w:pPr>
      <w:r>
        <w:rPr>
          <w:rFonts w:ascii="Palatino Linotype" w:hAnsi="Palatino Linotype" w:eastAsia="Palatino Linotype"/>
          <w:b w:val="0"/>
          <w:i w:val="0"/>
          <w:sz w:val="20"/>
        </w:rPr>
        <w:t>Rotary-wing and multirotor aircraft remove that requirement entirely. They take off and land vertically, hover, and operate from confined sites. Their limit is the converse: without a wing, every second of flight is paid for with installed power, so range and endurance remain modest and degrade further as the vehicle grows. Figure 1 places the two families against the two capabilities and marks the corner that neither occupies.</w:t>
      </w:r>
    </w:p>
    <w:p>
      <w:pPr>
        <w:spacing w:after="40"/>
        <w:jc w:val="center"/>
        <w:keepNext/>
      </w:pPr>
      <w:r>
        <w:drawing>
          <wp:inline xmlns:a="http://schemas.openxmlformats.org/drawingml/2006/main" xmlns:pic="http://schemas.openxmlformats.org/drawingml/2006/picture">
            <wp:extent cx="5400000" cy="4327138"/>
            <wp:docPr id="1" name="Picture 1"/>
            <wp:cNvGraphicFramePr>
              <a:graphicFrameLocks noChangeAspect="1"/>
            </wp:cNvGraphicFramePr>
            <a:graphic>
              <a:graphicData uri="http://schemas.openxmlformats.org/drawingml/2006/picture">
                <pic:pic>
                  <pic:nvPicPr>
                    <pic:cNvPr id="0" name="sekil01-iki-aile.png"/>
                    <pic:cNvPicPr/>
                  </pic:nvPicPr>
                  <pic:blipFill>
                    <a:blip r:embed="rId9"/>
                    <a:stretch>
                      <a:fillRect/>
                    </a:stretch>
                  </pic:blipFill>
                  <pic:spPr>
                    <a:xfrm>
                      <a:off x="0" y="0"/>
                      <a:ext cx="5400000" cy="4327138"/>
                    </a:xfrm>
                    <a:prstGeom prst="rect"/>
                  </pic:spPr>
                </pic:pic>
              </a:graphicData>
            </a:graphic>
          </wp:inline>
        </w:drawing>
      </w:r>
    </w:p>
    <w:p>
      <w:pPr>
        <w:spacing w:after="160"/>
        <w:jc w:val="both"/>
      </w:pPr>
      <w:r>
        <w:rPr>
          <w:rFonts w:ascii="Palatino Linotype" w:hAnsi="Palatino Linotype" w:eastAsia="Palatino Linotype"/>
          <w:b/>
          <w:i w:val="0"/>
          <w:sz w:val="18"/>
        </w:rPr>
        <w:t xml:space="preserve">Figure 1. </w:t>
      </w:r>
      <w:r>
        <w:rPr>
          <w:rFonts w:ascii="Palatino Linotype" w:hAnsi="Palatino Linotype" w:eastAsia="Palatino Linotype"/>
          <w:b w:val="0"/>
          <w:i w:val="0"/>
          <w:sz w:val="18"/>
        </w:rPr>
        <w:t>Two configuration families and the limit of each. Fixed-wing aircraft occupy the efficient-cruise corner and are bounded by ground infrastructure; rotary-wing aircraft occupy the runway-independent corner and are bounded by installed power. Seventy years of hybrid development has been an attempt to reach the corner that neither family occupies.</w:t>
      </w:r>
    </w:p>
    <w:p>
      <w:pPr>
        <w:spacing w:before="0" w:after="80" w:line="240" w:lineRule="auto"/>
        <w:jc w:val="both"/>
      </w:pPr>
      <w:r>
        <w:rPr>
          <w:rFonts w:ascii="Palatino Linotype" w:hAnsi="Palatino Linotype" w:eastAsia="Palatino Linotype"/>
          <w:b w:val="0"/>
          <w:i w:val="0"/>
          <w:sz w:val="20"/>
        </w:rPr>
        <w:t>The demand to combine the two has been continuous and expensive. Tail-sitting prototypes were flown in the 1950s, vectored-thrust and tilt-wing aircraft in the 1960s, tilt-rotors from the 1980s, and a broad family of hybrid vertical take-off and landing (VTOL) uncrewed aircraft since the 2010s. Different nations, services and propulsion philosophies have attacked the same problem for seventy years. No field sustains that level of effort against a need that is not real.</w:t>
      </w:r>
    </w:p>
    <w:p>
      <w:pPr>
        <w:spacing w:before="0" w:after="80" w:line="240" w:lineRule="auto"/>
        <w:jc w:val="both"/>
      </w:pPr>
      <w:r>
        <w:rPr>
          <w:rFonts w:ascii="Palatino Linotype" w:hAnsi="Palatino Linotype" w:eastAsia="Palatino Linotype"/>
          <w:b w:val="0"/>
          <w:i w:val="0"/>
          <w:sz w:val="20"/>
        </w:rPr>
        <w:t>Contemporary hybrid VTOL aircraft do combine the two capabilities, and several are in service. This paper does not dispute that. It argues, instead, that they purchase the capability at a specific and quantifiable price, and that the price is charged to cruise efficiency.</w:t>
      </w:r>
    </w:p>
    <w:p>
      <w:pPr>
        <w:spacing w:before="0" w:after="80" w:line="240" w:lineRule="auto"/>
        <w:jc w:val="both"/>
      </w:pPr>
      <w:r>
        <w:rPr>
          <w:rFonts w:ascii="Palatino Linotype" w:hAnsi="Palatino Linotype" w:eastAsia="Palatino Linotype"/>
          <w:b w:val="0"/>
          <w:i w:val="0"/>
          <w:sz w:val="20"/>
        </w:rPr>
        <w:t>The most common hybrid architecture — separate lifting rotors for the vertical phase and a separate propulsor for cruise — carries its hover hardware for the whole flight while using it for a few percent of it. The consequences are measurable. Lift propellers left exposed in forward flight impose a parasitic drag penalty large enough that retracting them recovers a substantial fraction of it; rotor-wake interference raises drag further in the hybrid regime; and the second propulsion system remains as dead mass for the entire cruise. Tilting architectures avoid the dead mass but substitute mechanical complexity, gyroscopic coupling during transition, and a non-trivial transition control problem.</w:t>
      </w:r>
    </w:p>
    <w:p>
      <w:pPr>
        <w:spacing w:before="0" w:after="80" w:line="240" w:lineRule="auto"/>
        <w:jc w:val="both"/>
      </w:pPr>
      <w:r>
        <w:rPr>
          <w:rFonts w:ascii="Palatino Linotype" w:hAnsi="Palatino Linotype" w:eastAsia="Palatino Linotype"/>
          <w:b w:val="0"/>
          <w:i w:val="0"/>
          <w:sz w:val="20"/>
        </w:rPr>
        <w:t>The central observation of this paper is that these penalties are not defects of implementation. They arise from the architecture itself: from the decision to provide hover and cruise with different hardware. Better engineering can move the penalty between mass, drag and powertrain sizing, and can reduce any one of them, but it cannot remove the trade, because the trade is structural.</w:t>
      </w:r>
    </w:p>
    <w:p>
      <w:pPr>
        <w:spacing w:before="0" w:after="80" w:line="240" w:lineRule="auto"/>
        <w:jc w:val="both"/>
      </w:pPr>
      <w:r>
        <w:rPr>
          <w:rFonts w:ascii="Palatino Linotype" w:hAnsi="Palatino Linotype" w:eastAsia="Palatino Linotype"/>
          <w:b w:val="0"/>
          <w:i w:val="0"/>
          <w:sz w:val="20"/>
        </w:rPr>
        <w:t>This paper presents a configuration that does not make that trade. In the proposed arrangement the aircraft sits on its tail, its entire body is a lifting blended-wing body, thrust for every flight phase is produced by a single coaxial counter-rotating propeller pair at the nose, and attitude control is produced by four small coaxial pairs mounted on rigid frames at the wing tips. The aircraft has no elevons, no rudder, no tilting mechanism and no dedicated lift system. Roll authority, which cannot be generated by thrust vectors parallel to the body axis, is assigned to a level-controlled deployable strip on the lower surface positioned within the main propeller slipstream, so that it is loaded at zero airspeed. Section 2.10 computes the roll inertia and the roll damping of this planform and states the moment the strip must supply; it does not show that the strip supplies it.</w:t>
      </w:r>
    </w:p>
    <w:p>
      <w:pPr>
        <w:spacing w:before="0" w:after="80" w:line="240" w:lineRule="auto"/>
        <w:jc w:val="both"/>
      </w:pPr>
      <w:r>
        <w:rPr>
          <w:rFonts w:ascii="Palatino Linotype" w:hAnsi="Palatino Linotype" w:eastAsia="Palatino Linotype"/>
          <w:b w:val="0"/>
          <w:i w:val="0"/>
          <w:sz w:val="20"/>
        </w:rPr>
        <w:t xml:space="preserve">Because the same primary propulsor serves hover and cruise without changing its orientation relative to the airframe, none of the three penalties </w:t>
      </w:r>
      <w:r>
        <w:rPr>
          <w:rFonts w:ascii="Palatino Linotype" w:hAnsi="Palatino Linotype" w:eastAsia="Palatino Linotype"/>
          <w:b/>
          <w:i w:val="0"/>
          <w:sz w:val="20"/>
        </w:rPr>
        <w:t>as defined in Section 2</w:t>
      </w:r>
      <w:r>
        <w:rPr>
          <w:rFonts w:ascii="Palatino Linotype" w:hAnsi="Palatino Linotype" w:eastAsia="Palatino Linotype"/>
          <w:b w:val="0"/>
          <w:i w:val="0"/>
          <w:sz w:val="20"/>
        </w:rPr>
        <w:t xml:space="preserve"> arises in full — but they do not fail to arise equally, and the differences are what Section 3 spends its length on.</w:t>
      </w:r>
    </w:p>
    <w:p>
      <w:pPr>
        <w:spacing w:before="0" w:after="80" w:line="240" w:lineRule="auto"/>
        <w:jc w:val="both"/>
      </w:pPr>
      <w:r>
        <w:rPr>
          <w:rFonts w:ascii="Palatino Linotype" w:hAnsi="Palatino Linotype" w:eastAsia="Palatino Linotype"/>
          <w:b/>
          <w:i w:val="0"/>
          <w:sz w:val="20"/>
        </w:rPr>
        <w:t>The mass bill does not arise</w:t>
      </w:r>
      <w:r>
        <w:rPr>
          <w:rFonts w:ascii="Palatino Linotype" w:hAnsi="Palatino Linotype" w:eastAsia="Palatino Linotype"/>
          <w:b w:val="0"/>
          <w:i w:val="0"/>
          <w:sz w:val="20"/>
        </w:rPr>
        <w:t xml:space="preserve">: there is no second thrust system to carry. </w:t>
      </w:r>
      <w:r>
        <w:rPr>
          <w:rFonts w:ascii="Palatino Linotype" w:hAnsi="Palatino Linotype" w:eastAsia="Palatino Linotype"/>
          <w:b/>
          <w:i w:val="0"/>
          <w:sz w:val="20"/>
        </w:rPr>
        <w:t>The power bill is halved rather than removed</w:t>
      </w:r>
      <w:r>
        <w:rPr>
          <w:rFonts w:ascii="Palatino Linotype" w:hAnsi="Palatino Linotype" w:eastAsia="Palatino Linotype"/>
          <w:b w:val="0"/>
          <w:i w:val="0"/>
          <w:sz w:val="20"/>
        </w:rPr>
        <w:t xml:space="preserve">, and Section 3.4 states the qualification rather than deferring it: the buffered series hybrid releases the engine and its fuel consumption from the hover condition, but the electric machines and the power electronics still pass the full hover power, and the hover-sized machine is the largest single item in the propulsion chain. </w:t>
      </w:r>
      <w:r>
        <w:rPr>
          <w:rFonts w:ascii="Palatino Linotype" w:hAnsi="Palatino Linotype" w:eastAsia="Palatino Linotype"/>
          <w:b/>
          <w:i w:val="0"/>
          <w:sz w:val="20"/>
        </w:rPr>
        <w:t>The drag bill is reduced and not removed.</w:t>
      </w:r>
      <w:r>
        <w:rPr>
          <w:rFonts w:ascii="Palatino Linotype" w:hAnsi="Palatino Linotype" w:eastAsia="Palatino Linotype"/>
          <w:b w:val="0"/>
          <w:i w:val="0"/>
          <w:sz w:val="20"/>
        </w:rPr>
        <w:t xml:space="preserve"> There is no </w:t>
      </w:r>
      <w:r>
        <w:rPr>
          <w:rFonts w:ascii="Palatino Linotype" w:hAnsi="Palatino Linotype" w:eastAsia="Palatino Linotype"/>
          <w:b w:val="0"/>
          <w:i/>
          <w:sz w:val="20"/>
        </w:rPr>
        <w:t>lift</w:t>
      </w:r>
      <w:r>
        <w:rPr>
          <w:rFonts w:ascii="Palatino Linotype" w:hAnsi="Palatino Linotype" w:eastAsia="Palatino Linotype"/>
          <w:b w:val="0"/>
          <w:i w:val="0"/>
          <w:sz w:val="20"/>
        </w:rPr>
        <w:t xml:space="preserve"> system left exposed in the cruise airstream — but the four attitude pairs are exposed, they cannot be feathered, and Section 3.3 computes what they cost rather than assuming it away. An earlier version of this paper counted that charge as absent; it is not, and it turns out to be the largest single entry in the ledger of Section 3.5.</w:t>
      </w:r>
    </w:p>
    <w:p>
      <w:pPr>
        <w:spacing w:before="0" w:after="80" w:line="240" w:lineRule="auto"/>
        <w:jc w:val="both"/>
      </w:pPr>
      <w:r>
        <w:rPr>
          <w:rFonts w:ascii="Palatino Linotype" w:hAnsi="Palatino Linotype" w:eastAsia="Palatino Linotype"/>
          <w:b w:val="0"/>
          <w:i w:val="0"/>
          <w:sz w:val="20"/>
        </w:rPr>
        <w:t xml:space="preserve">That is a statement about three specific charges, </w:t>
      </w:r>
      <w:r>
        <w:rPr>
          <w:rFonts w:ascii="Palatino Linotype" w:hAnsi="Palatino Linotype" w:eastAsia="Palatino Linotype"/>
          <w:b/>
          <w:i w:val="0"/>
          <w:sz w:val="20"/>
        </w:rPr>
        <w:t>one of which does not arise, one of which is halved and one of which is reduced</w:t>
      </w:r>
      <w:r>
        <w:rPr>
          <w:rFonts w:ascii="Palatino Linotype" w:hAnsi="Palatino Linotype" w:eastAsia="Palatino Linotype"/>
          <w:b w:val="0"/>
          <w:i w:val="0"/>
          <w:sz w:val="20"/>
        </w:rPr>
        <w:t>, not a claim that the configuration is free. What it pays instead — the mass and drag of the control propellers and their supporting frames, the rolling-moment device, and the transition manoeuvre itself — is reported and quantified in Section 3.5 rather than omitted.</w:t>
      </w:r>
    </w:p>
    <w:p>
      <w:pPr>
        <w:spacing w:before="0" w:after="80" w:line="240" w:lineRule="auto"/>
        <w:jc w:val="both"/>
      </w:pPr>
      <w:r>
        <w:rPr>
          <w:rFonts w:ascii="Palatino Linotype" w:hAnsi="Palatino Linotype" w:eastAsia="Palatino Linotype"/>
          <w:b/>
          <w:i w:val="0"/>
          <w:sz w:val="20"/>
        </w:rPr>
        <w:t>Contributions.</w:t>
      </w:r>
      <w:r>
        <w:rPr>
          <w:rFonts w:ascii="Palatino Linotype" w:hAnsi="Palatino Linotype" w:eastAsia="Palatino Linotype"/>
          <w:b w:val="0"/>
          <w:i w:val="0"/>
          <w:sz w:val="20"/>
        </w:rPr>
        <w:t xml:space="preserve"> The primary contribution is a framework; the aircraft is the case that instantiates it. The paper</w:t>
      </w:r>
    </w:p>
    <w:p>
      <w:pPr>
        <w:spacing w:before="0" w:after="80" w:line="240" w:lineRule="auto"/>
        <w:jc w:val="both"/>
      </w:pPr>
      <w:r>
        <w:rPr>
          <w:rFonts w:ascii="Palatino Linotype" w:hAnsi="Palatino Linotype" w:eastAsia="Palatino Linotype"/>
          <w:b w:val="0"/>
          <w:i w:val="0"/>
          <w:sz w:val="20"/>
        </w:rPr>
        <w:t xml:space="preserve">1. </w:t>
      </w:r>
      <w:r>
        <w:rPr>
          <w:rFonts w:ascii="Palatino Linotype" w:hAnsi="Palatino Linotype" w:eastAsia="Palatino Linotype"/>
          <w:b/>
          <w:i w:val="0"/>
          <w:sz w:val="20"/>
        </w:rPr>
        <w:t>states the cruise-efficiency penalty of hybrid VTOL as an architectural property</w:t>
      </w:r>
      <w:r>
        <w:rPr>
          <w:rFonts w:ascii="Palatino Linotype" w:hAnsi="Palatino Linotype" w:eastAsia="Palatino Linotype"/>
          <w:b w:val="0"/>
          <w:i w:val="0"/>
          <w:sz w:val="20"/>
        </w:rPr>
        <w:t xml:space="preserve"> rather than a defect of implementation, expresses it as three dimensionless charges — carried hover mass, exposed cruise drag, and continuous power sized by the hover peak — shows with published figures that the known remedies transfer the penalty between them rather than removing it, derives an explicit escape condition, and tests a consequence against an independent published sizing study: that the architecture with the best cruise efficiency need not be the lightest, which is what that study reports and what a single-metric comparison would not anticipate; 2. </w:t>
      </w:r>
      <w:r>
        <w:rPr>
          <w:rFonts w:ascii="Palatino Linotype" w:hAnsi="Palatino Linotype" w:eastAsia="Palatino Linotype"/>
          <w:b/>
          <w:i w:val="0"/>
          <w:sz w:val="20"/>
        </w:rPr>
        <w:t>shows that architectural comparisons are contract-dependent</w:t>
      </w:r>
      <w:r>
        <w:rPr>
          <w:rFonts w:ascii="Palatino Linotype" w:hAnsi="Palatino Linotype" w:eastAsia="Palatino Linotype"/>
          <w:b w:val="0"/>
          <w:i w:val="0"/>
          <w:sz w:val="20"/>
        </w:rPr>
        <w:t xml:space="preserve">, a methodological result independent of any particular aircraft: range computed at a fixed fuel fraction is independent of take-off mass, so the mass bill never reaches the range column. Three sizing contracts are reported side by side and the ranking changes between them; 3. </w:t>
      </w:r>
      <w:r>
        <w:rPr>
          <w:rFonts w:ascii="Palatino Linotype" w:hAnsi="Palatino Linotype" w:eastAsia="Palatino Linotype"/>
          <w:b/>
          <w:i w:val="0"/>
          <w:sz w:val="20"/>
        </w:rPr>
        <w:t>instantiates the escape condition in a configuration</w:t>
      </w:r>
      <w:r>
        <w:rPr>
          <w:rFonts w:ascii="Palatino Linotype" w:hAnsi="Palatino Linotype" w:eastAsia="Palatino Linotype"/>
          <w:b w:val="0"/>
          <w:i w:val="0"/>
          <w:sz w:val="20"/>
        </w:rPr>
        <w:t xml:space="preserve">, audits the three bills against it one at a time, and states what the configuration pays instead; 4. </w:t>
      </w:r>
      <w:r>
        <w:rPr>
          <w:rFonts w:ascii="Palatino Linotype" w:hAnsi="Palatino Linotype" w:eastAsia="Palatino Linotype"/>
          <w:b/>
          <w:i w:val="0"/>
          <w:sz w:val="20"/>
        </w:rPr>
        <w:t>supports the case study with computation rather than assertion</w:t>
      </w:r>
      <w:r>
        <w:rPr>
          <w:rFonts w:ascii="Palatino Linotype" w:hAnsi="Palatino Linotype" w:eastAsia="Palatino Linotype"/>
          <w:b w:val="0"/>
          <w:i w:val="0"/>
          <w:sz w:val="20"/>
        </w:rPr>
        <w:t xml:space="preserve"> where it could — a three-dimensional Reynolds-averaged solution for the zero-lift drag with a quantified sensitivity budget across grids, wall resolutions, turbulence closures and starting fields; a component mass build-up that closes the 50 kg design conditionally and leaves the 1000 kg one's closure undetermined; a rotational check establishing inertial feasibility of the transition; a viscous, station-by-station solution of the trimmed wing that corrects the assumed span efficiency downward; a blade-element solution of the attitude rotors in their free-wheeling cruise state, which overturns this study's own earlier assumption that they cost nothing; and a Reynolds-averaged comparison of the spanwise loading against the vortex-lattice solution, which supplies the first direct evidence that the method's magnitude error is largely multiplicative; and 5. </w:t>
      </w:r>
      <w:r>
        <w:rPr>
          <w:rFonts w:ascii="Palatino Linotype" w:hAnsi="Palatino Linotype" w:eastAsia="Palatino Linotype"/>
          <w:b/>
          <w:i w:val="0"/>
          <w:sz w:val="20"/>
        </w:rPr>
        <w:t>states what is not established, as a testable requirement rather than an omission.</w:t>
      </w:r>
      <w:r>
        <w:rPr>
          <w:rFonts w:ascii="Palatino Linotype" w:hAnsi="Palatino Linotype" w:eastAsia="Palatino Linotype"/>
          <w:b w:val="0"/>
          <w:i w:val="0"/>
          <w:sz w:val="20"/>
        </w:rPr>
        <w:t xml:space="preserve"> The aerodynamic pitching moment through the rotation is not known, and the paper reports the coefficient that would consume the available control margin instead of estimating the coefficient itself.</w:t>
      </w:r>
    </w:p>
    <w:p>
      <w:pPr>
        <w:spacing w:before="0" w:after="80" w:line="240" w:lineRule="auto"/>
        <w:jc w:val="both"/>
      </w:pPr>
      <w:r>
        <w:rPr>
          <w:rFonts w:ascii="Palatino Linotype" w:hAnsi="Palatino Linotype" w:eastAsia="Palatino Linotype"/>
          <w:b w:val="0"/>
          <w:i w:val="0"/>
          <w:sz w:val="20"/>
        </w:rPr>
        <w:t xml:space="preserve">Items 1 and 2 stand independently of whether this aircraft is ever built, and they are the contribution. Items 3 and 4 are what a case study is for: they show the framework applied to a real geometry in enough detail that the bills can be audited one at a time, including the two occasions on which the audit found against the configuration. Item 5 is the reason the paper does not claim the aircraft can be built. </w:t>
      </w:r>
      <w:r>
        <w:rPr>
          <w:rFonts w:ascii="Palatino Linotype" w:hAnsi="Palatino Linotype" w:eastAsia="Palatino Linotype"/>
          <w:b/>
          <w:i w:val="0"/>
          <w:sz w:val="20"/>
        </w:rPr>
        <w:t>Two architectural claims are made and a third is not</w:t>
      </w:r>
      <w:r>
        <w:rPr>
          <w:rFonts w:ascii="Palatino Linotype" w:hAnsi="Palatino Linotype" w:eastAsia="Palatino Linotype"/>
          <w:b w:val="0"/>
          <w:i w:val="0"/>
          <w:sz w:val="20"/>
        </w:rPr>
        <w:t xml:space="preserve">, and the distinction runs through the whole paper. The first is that this configuration escapes the runway requirement, which no fixed-wing aircraft does. The second is that it cruises on a wing, which a multirotor does not: lift in cruise is carried by a surface rather than by rotors, and that is a structural difference rather than a margin. For scale — and the two numbers are not the same kind of number — the sizing set discussed in Section 3.1 puts a turboshaft quadrotor at an </w:t>
      </w:r>
      <w:r>
        <w:rPr>
          <w:rFonts w:ascii="Palatino Linotype" w:hAnsi="Palatino Linotype" w:eastAsia="Palatino Linotype"/>
          <w:b w:val="0"/>
          <w:i/>
          <w:sz w:val="20"/>
        </w:rPr>
        <w:t>effective</w:t>
      </w:r>
      <w:r>
        <w:rPr>
          <w:rFonts w:ascii="Palatino Linotype" w:hAnsi="Palatino Linotype" w:eastAsia="Palatino Linotype"/>
          <w:b w:val="0"/>
          <w:i w:val="0"/>
          <w:sz w:val="20"/>
        </w:rPr>
        <w:t xml:space="preserve"> lift-to-drag ratio of 4.9, a system-level figure of merit, against this configuration's </w:t>
      </w:r>
      <w:r>
        <w:rPr>
          <w:rFonts w:ascii="Palatino Linotype" w:hAnsi="Palatino Linotype" w:eastAsia="Palatino Linotype"/>
          <w:b w:val="0"/>
          <w:i/>
          <w:sz w:val="20"/>
        </w:rPr>
        <w:t>aerodynamic</w:t>
      </w:r>
      <w:r>
        <w:rPr>
          <w:rFonts w:ascii="Palatino Linotype" w:hAnsi="Palatino Linotype" w:eastAsia="Palatino Linotype"/>
          <w:b w:val="0"/>
          <w:i w:val="0"/>
          <w:sz w:val="20"/>
        </w:rPr>
        <w:t xml:space="preserve"> 8.8 to 10.8 across its computed drag bracket. </w:t>
      </w:r>
      <w:r>
        <w:rPr>
          <w:rFonts w:ascii="Palatino Linotype" w:hAnsi="Palatino Linotype" w:eastAsia="Palatino Linotype"/>
          <w:b/>
          <w:i w:val="0"/>
          <w:sz w:val="20"/>
        </w:rPr>
        <w:t>Those two claims together are why the configuration exists, and neither is weakened by anything in this paper.</w:t>
      </w:r>
      <w:r>
        <w:rPr>
          <w:rFonts w:ascii="Palatino Linotype" w:hAnsi="Palatino Linotype" w:eastAsia="Palatino Linotype"/>
          <w:b w:val="0"/>
          <w:i w:val="0"/>
          <w:sz w:val="20"/>
        </w:rPr>
        <w:t xml:space="preserve"> What is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claimed is a ranking against the other hybrid VTOL architectures — lift-plus-cruise and tilting — because Section 3.6 shows that ranking reverses with the sizing contract.</w:t>
      </w:r>
    </w:p>
    <w:p>
      <w:pPr>
        <w:spacing w:before="0" w:after="80" w:line="240" w:lineRule="auto"/>
        <w:jc w:val="both"/>
      </w:pPr>
      <w:r>
        <w:rPr>
          <w:rFonts w:ascii="Palatino Linotype" w:hAnsi="Palatino Linotype" w:eastAsia="Palatino Linotype"/>
          <w:b/>
          <w:i w:val="0"/>
          <w:sz w:val="20"/>
        </w:rPr>
        <w:t>The line between the two is not arbitrary, and it is worth stating as a criterion: it tracks whether the competitor has a cruising wing at all.</w:t>
      </w:r>
      <w:r>
        <w:rPr>
          <w:rFonts w:ascii="Palatino Linotype" w:hAnsi="Palatino Linotype" w:eastAsia="Palatino Linotype"/>
          <w:b w:val="0"/>
          <w:i w:val="0"/>
          <w:sz w:val="20"/>
        </w:rPr>
        <w:t xml:space="preserve"> A multirotor does not, so the comparison with it is structural and no sizing contract can change it. The other hybrids do, so they sit in the same cruise-efficiency class as this configuration and the ordering between them turns on the mass, drag and power trade that Section 3.6 shows to be contract-dependent. The sizing results are therefore reported as properties of a case under stated contracts, not as a ranking of the hybrid family.</w:t>
      </w:r>
    </w:p>
    <w:p>
      <w:pPr>
        <w:spacing w:before="0" w:after="80" w:line="240" w:lineRule="auto"/>
        <w:jc w:val="both"/>
      </w:pPr>
      <w:r>
        <w:rPr>
          <w:rFonts w:ascii="Palatino Linotype" w:hAnsi="Palatino Linotype" w:eastAsia="Palatino Linotype"/>
          <w:b/>
          <w:i w:val="0"/>
          <w:sz w:val="20"/>
        </w:rPr>
        <w:t>Scope.</w:t>
      </w:r>
      <w:r>
        <w:rPr>
          <w:rFonts w:ascii="Palatino Linotype" w:hAnsi="Palatino Linotype" w:eastAsia="Palatino Linotype"/>
          <w:b w:val="0"/>
          <w:i w:val="0"/>
          <w:sz w:val="20"/>
        </w:rPr>
        <w:t xml:space="preserve"> This is a configuration study containing no wind-tunnel measurement and no flight test. Its results are analytical estimates from stated assumptions, with two exceptions computed here: the zero-lift drag of the wing and centre body, solved three-dimensionally, and the span efficiency of the trimmed wing, solved station by station with a viscous section method. The mass budget began as a target rather than a finding; a component build-up replaces it for the light design, closes conditionally, names the condition, and leaves the heavy design's closure undetermined at all. Section 4 states these limitations, and Supplementary S5 enumerates all of them.</w:t>
      </w:r>
    </w:p>
    <w:p>
      <w:pPr>
        <w:spacing w:before="0" w:after="80" w:line="240" w:lineRule="auto"/>
        <w:jc w:val="both"/>
      </w:pPr>
      <w:r>
        <w:rPr>
          <w:rFonts w:ascii="Palatino Linotype" w:hAnsi="Palatino Linotype" w:eastAsia="Palatino Linotype"/>
          <w:b/>
          <w:i w:val="0"/>
          <w:sz w:val="20"/>
        </w:rPr>
        <w:t>The paper is arranged as follows.</w:t>
      </w:r>
      <w:r>
        <w:rPr>
          <w:rFonts w:ascii="Palatino Linotype" w:hAnsi="Palatino Linotype" w:eastAsia="Palatino Linotype"/>
          <w:b w:val="0"/>
          <w:i w:val="0"/>
          <w:sz w:val="20"/>
        </w:rPr>
        <w:t xml:space="preserve"> Sections 2.1 to 2.6 set out the architectural tax in its three currencies, show that architectural remedies transfer it rather than remove it, and derive the condition under which it would not be charged. Sections 2.7 to 2.11 describe the proposed configuration, which is built to satisfy that condition, and Sections 2.12 to 2.14 give the sizing and computational methods and record the use of artificial-intelligence tools. Section 3.1 tests the framework against published sizing studies; Sections 3.2 to 3.6 audit the claim bill by bill, state what the configuration does pay, and size three architectures against one mission under three sizing contracts. Sections 3.7 to 3.11 size two reference designs twenty times apart in mass, bound the two assumed aerodynamic coefficients by calculation, and rebuild the mass budget from components. Sections 3.12 to 3.17 treat the flight profile and the transition manoeuvre, including a result that contradicts a common assumption about how quickly a tail-sitter should rotate. Section 4 places the results in context and states the limitations, ordered by whether they could change a conclusion. Section 5 concludes.</w:t>
      </w:r>
    </w:p>
    <w:p>
      <w:pPr>
        <w:spacing w:before="0" w:after="80" w:line="240" w:lineRule="auto"/>
        <w:jc w:val="both"/>
      </w:pPr>
      <w:r>
        <w:rPr>
          <w:rFonts w:ascii="Palatino Linotype" w:hAnsi="Palatino Linotype" w:eastAsia="Palatino Linotype"/>
          <w:b w:val="0"/>
          <w:i w:val="0"/>
          <w:sz w:val="20"/>
        </w:rPr>
        <w:t>The configuration proposed in this paper is new, but the problem it addresses is not, and neither are several of its ingredients. This section reviews the attempts that preceded it. The purpose is not to establish priority but to establish two things: that the need has been pursued continuously for seventy years, and that the pursuit was rarely abandoned because the aerodynamics failed. Figure 2 places the programmes discussed below on a single timeline, with the recorded reason each one stopped.</w:t>
      </w:r>
    </w:p>
    <w:p>
      <w:pPr>
        <w:spacing w:after="40"/>
        <w:jc w:val="center"/>
        <w:keepNext/>
      </w:pPr>
      <w:r>
        <w:drawing>
          <wp:inline xmlns:a="http://schemas.openxmlformats.org/drawingml/2006/main" xmlns:pic="http://schemas.openxmlformats.org/drawingml/2006/picture">
            <wp:extent cx="5400000" cy="2468571"/>
            <wp:docPr id="2" name="Picture 2"/>
            <wp:cNvGraphicFramePr>
              <a:graphicFrameLocks noChangeAspect="1"/>
            </wp:cNvGraphicFramePr>
            <a:graphic>
              <a:graphicData uri="http://schemas.openxmlformats.org/drawingml/2006/picture">
                <pic:pic>
                  <pic:nvPicPr>
                    <pic:cNvPr id="0" name="sekil02-zaman-cizelgesi.png"/>
                    <pic:cNvPicPr/>
                  </pic:nvPicPr>
                  <pic:blipFill>
                    <a:blip r:embed="rId10"/>
                    <a:stretch>
                      <a:fillRect/>
                    </a:stretch>
                  </pic:blipFill>
                  <pic:spPr>
                    <a:xfrm>
                      <a:off x="0" y="0"/>
                      <a:ext cx="5400000" cy="2468571"/>
                    </a:xfrm>
                    <a:prstGeom prst="rect"/>
                  </pic:spPr>
                </pic:pic>
              </a:graphicData>
            </a:graphic>
          </wp:inline>
        </w:drawing>
      </w:r>
    </w:p>
    <w:p>
      <w:pPr>
        <w:spacing w:after="160"/>
        <w:jc w:val="both"/>
      </w:pPr>
      <w:r>
        <w:rPr>
          <w:rFonts w:ascii="Palatino Linotype" w:hAnsi="Palatino Linotype" w:eastAsia="Palatino Linotype"/>
          <w:b/>
          <w:i w:val="0"/>
          <w:sz w:val="18"/>
        </w:rPr>
        <w:t xml:space="preserve">Figure 2. </w:t>
      </w:r>
      <w:r>
        <w:rPr>
          <w:rFonts w:ascii="Palatino Linotype" w:hAnsi="Palatino Linotype" w:eastAsia="Palatino Linotype"/>
          <w:b w:val="0"/>
          <w:i w:val="0"/>
          <w:sz w:val="18"/>
        </w:rPr>
        <w:t>Seventy years of attempts to merge the two families, with the recorded reason each programme ended. The two entries of 1954 and the reason the XFY-1 programme stopped are taken from [1] and [2]; the remaining entries carry no numerical claim.</w:t>
      </w:r>
    </w:p>
    <w:p>
      <w:pPr>
        <w:spacing w:before="200" w:after="80"/>
      </w:pPr>
      <w:r>
        <w:rPr>
          <w:rFonts w:ascii="Palatino Linotype" w:hAnsi="Palatino Linotype" w:eastAsia="Palatino Linotype"/>
          <w:b/>
          <w:i w:val="0"/>
          <w:sz w:val="22"/>
        </w:rPr>
        <w:t>1.1 Removing the fuselage</w:t>
      </w:r>
    </w:p>
    <w:p>
      <w:pPr>
        <w:spacing w:before="0" w:after="80" w:line="240" w:lineRule="auto"/>
        <w:jc w:val="both"/>
      </w:pPr>
      <w:r>
        <w:rPr>
          <w:rFonts w:ascii="Palatino Linotype" w:hAnsi="Palatino Linotype" w:eastAsia="Palatino Linotype"/>
          <w:b w:val="0"/>
          <w:i w:val="0"/>
          <w:sz w:val="20"/>
        </w:rPr>
        <w:t>The idea that a transport aircraft should carry its payload inside a lifting surface rather than inside a cylinder is as old as the transport aircraft itself. Burnelli's lifting-fuselage designs, flown in a succession of prototypes from the 1920s to the 1940s, placed cabin and cargo inside a thick aerofoil-shaped centre body that contributed lift instead of only drag. The aircraft flew, repeatedly and over two decades. They never entered series production. The reasons for that are outside the scope of this paper and are disputed; what matters here is only that the layout was flown rather than merely proposed, and was not abandoned at the drawing board.</w:t>
      </w:r>
    </w:p>
    <w:p>
      <w:pPr>
        <w:spacing w:before="0" w:after="80" w:line="240" w:lineRule="auto"/>
        <w:jc w:val="both"/>
      </w:pPr>
      <w:r>
        <w:rPr>
          <w:rFonts w:ascii="Palatino Linotype" w:hAnsi="Palatino Linotype" w:eastAsia="Palatino Linotype"/>
          <w:b w:val="0"/>
          <w:i w:val="0"/>
          <w:sz w:val="20"/>
        </w:rPr>
        <w:t>The Northrop XB-35 carried the same idea to its limit: a bomber with no fuselage and no tail at all. Its programme is often cited as evidence that the flying wing was premature. Whatever weight that reading deserves, the aircraft's best-documented difficulties lay in its power transmission rather than in its aerodynamics: the contra-rotating propellers were driven through remote gearboxes and long extension shafts, and were eventually changed to single-rotation units. The distinction between an airframe and the machinery installed in it matters for the present work, and Section 2.9 returns to it — the configuration proposed here uses counter-rotating propellers but never builds a contra-rotating gearbox, because each rotor of a pair is driven by its own electric machine on a common axis.</w:t>
      </w:r>
    </w:p>
    <w:p>
      <w:pPr>
        <w:spacing w:before="0" w:after="80" w:line="240" w:lineRule="auto"/>
        <w:jc w:val="both"/>
      </w:pPr>
      <w:r>
        <w:rPr>
          <w:rFonts w:ascii="Palatino Linotype" w:hAnsi="Palatino Linotype" w:eastAsia="Palatino Linotype"/>
          <w:b w:val="0"/>
          <w:i w:val="0"/>
          <w:sz w:val="20"/>
        </w:rPr>
        <w:t>Vought's V-173 and XF5U pursued the opposite extreme of the same intuition — a wing of very low aspect ratio with large propellers at the tips, intended to work against the tip vortices. The V-173 flew roughly two hundred times and supported the low-speed claims made for it. The XF5U was completed and never flown; the programme ended as the services moved to jet propulsion.</w:t>
      </w:r>
    </w:p>
    <w:p>
      <w:pPr>
        <w:spacing w:before="0" w:after="80" w:line="240" w:lineRule="auto"/>
        <w:jc w:val="both"/>
      </w:pPr>
      <w:r>
        <w:rPr>
          <w:rFonts w:ascii="Palatino Linotype" w:hAnsi="Palatino Linotype" w:eastAsia="Palatino Linotype"/>
          <w:b w:val="0"/>
          <w:i w:val="0"/>
          <w:sz w:val="20"/>
        </w:rPr>
        <w:t>The recurring pattern is worth stating plainly: in each case the aircraft flew, the configuration was not disqualified in flight, and the programme ended for a reason that came from outside the configuration.</w:t>
      </w:r>
    </w:p>
    <w:p>
      <w:pPr>
        <w:spacing w:before="200" w:after="80"/>
      </w:pPr>
      <w:r>
        <w:rPr>
          <w:rFonts w:ascii="Palatino Linotype" w:hAnsi="Palatino Linotype" w:eastAsia="Palatino Linotype"/>
          <w:b/>
          <w:i w:val="0"/>
          <w:sz w:val="22"/>
        </w:rPr>
        <w:t>1.2 Standing the aircraft on its tail</w:t>
      </w:r>
    </w:p>
    <w:p>
      <w:pPr>
        <w:spacing w:before="0" w:after="80" w:line="240" w:lineRule="auto"/>
        <w:jc w:val="both"/>
      </w:pPr>
      <w:r>
        <w:rPr>
          <w:rFonts w:ascii="Palatino Linotype" w:hAnsi="Palatino Linotype" w:eastAsia="Palatino Linotype"/>
          <w:b w:val="0"/>
          <w:i w:val="0"/>
          <w:sz w:val="20"/>
        </w:rPr>
        <w:t>The tail-sitter is the most direct answer to the runway: if the aircraft points its thrust line at the ground it needs no separate lift system, no tilting mechanism and no second propulsion group. Two American prototypes flew this idea in 1954. The Lockheed XFV-1 never completed the cycle — its "highly tapered, straight-wing design made the transition to vertical flight only at altitude, using a jury-rigged, landing-gear cradle for conventional takeoff and landings" [1,2]. The Convair XFY-1 did: it flew vertically in August 1954 and "six transitions to conventional flight were successfully completed" [2].</w:t>
      </w:r>
    </w:p>
    <w:p>
      <w:pPr>
        <w:spacing w:before="0" w:after="80" w:line="240" w:lineRule="auto"/>
        <w:jc w:val="both"/>
      </w:pPr>
      <w:r>
        <w:rPr>
          <w:rFonts w:ascii="Palatino Linotype" w:hAnsi="Palatino Linotype" w:eastAsia="Palatino Linotype"/>
          <w:b/>
          <w:i w:val="0"/>
          <w:sz w:val="20"/>
        </w:rPr>
        <w:t>Why the programme stopped matters, because the usual account is wrong.</w:t>
      </w:r>
      <w:r>
        <w:rPr>
          <w:rFonts w:ascii="Palatino Linotype" w:hAnsi="Palatino Linotype" w:eastAsia="Palatino Linotype"/>
          <w:b w:val="0"/>
          <w:i w:val="0"/>
          <w:sz w:val="20"/>
        </w:rPr>
        <w:t xml:space="preserve"> Two NASA reviews of United States V/STOL development — one written largely from the author's own flight-test experience [1] — judge the configuration itself favourably: "good configuration arrangement for low- and high-speed compatibility", with a high-speed potential near 500 mph. What they judge poorly is the machinery and the cockpit around it: "poor mechanical control system features including low actuator response rate"; "difficult to hover precisely over a spot"; "tip-over tendencies noted when on ground in gusty air" [1]. The landing difficulty is attributed to "the unusual spatial orientation where the pilot looked over his shoulder and down", to "the sensitivity to atmospheric turbulence", and to "reduced control power near touchdown" [2].</w:t>
      </w:r>
    </w:p>
    <w:p>
      <w:pPr>
        <w:spacing w:before="0" w:after="80" w:line="240" w:lineRule="auto"/>
        <w:jc w:val="both"/>
      </w:pPr>
      <w:r>
        <w:rPr>
          <w:rFonts w:ascii="Palatino Linotype" w:hAnsi="Palatino Linotype" w:eastAsia="Palatino Linotype"/>
          <w:b w:val="0"/>
          <w:i w:val="0"/>
          <w:sz w:val="20"/>
        </w:rPr>
        <w:t>And then the reason testing ended, stated the same way in both:</w:t>
      </w:r>
    </w:p>
    <w:p>
      <w:pPr>
        <w:spacing w:before="0" w:after="80" w:line="240" w:lineRule="auto"/>
        <w:jc w:val="both"/>
      </w:pPr>
      <w:r>
        <w:rPr>
          <w:rFonts w:ascii="Palatino Linotype" w:hAnsi="Palatino Linotype" w:eastAsia="Palatino Linotype"/>
          <w:b w:val="0"/>
          <w:i w:val="0"/>
          <w:sz w:val="20"/>
        </w:rPr>
        <w:t xml:space="preserve">"Six transitions to conventional flight were successfully completed </w:t>
      </w:r>
      <w:r>
        <w:rPr>
          <w:rFonts w:ascii="Palatino Linotype" w:hAnsi="Palatino Linotype" w:eastAsia="Palatino Linotype"/>
          <w:b/>
          <w:i w:val="0"/>
          <w:sz w:val="20"/>
        </w:rPr>
        <w:t>before testing was curtailed because of engine and gear-box reliability problems</w:t>
      </w:r>
      <w:r>
        <w:rPr>
          <w:rFonts w:ascii="Palatino Linotype" w:hAnsi="Palatino Linotype" w:eastAsia="Palatino Linotype"/>
          <w:b w:val="0"/>
          <w:i w:val="0"/>
          <w:sz w:val="20"/>
        </w:rPr>
        <w:t>." [2]</w:t>
      </w:r>
    </w:p>
    <w:p>
      <w:pPr>
        <w:spacing w:before="0" w:after="80" w:line="240" w:lineRule="auto"/>
        <w:jc w:val="both"/>
      </w:pPr>
      <w:r>
        <w:rPr>
          <w:rFonts w:ascii="Palatino Linotype" w:hAnsi="Palatino Linotype" w:eastAsia="Palatino Linotype"/>
          <w:b w:val="0"/>
          <w:i w:val="0"/>
          <w:sz w:val="20"/>
        </w:rPr>
        <w:t xml:space="preserve">The XFY-1 was not stopped by pilot workload. The workload was real, separately documented and severe — but what curtailed the testing was mechanical. </w:t>
      </w:r>
      <w:r>
        <w:rPr>
          <w:rFonts w:ascii="Palatino Linotype" w:hAnsi="Palatino Linotype" w:eastAsia="Palatino Linotype"/>
          <w:b/>
          <w:i w:val="0"/>
          <w:sz w:val="20"/>
        </w:rPr>
        <w:t>Three of the four objections recorded against these aircraft are objections to 1954 machinery and to a human pilot, not to the configuration</w:t>
      </w:r>
      <w:r>
        <w:rPr>
          <w:rFonts w:ascii="Palatino Linotype" w:hAnsi="Palatino Linotype" w:eastAsia="Palatino Linotype"/>
          <w:b w:val="0"/>
          <w:i w:val="0"/>
          <w:sz w:val="20"/>
        </w:rPr>
        <w:t>: actuator response rate, gearbox reliability, and an orientation problem that exists only because someone is sitting in it. Section 1.5 returns to what that leaves.</w:t>
      </w:r>
    </w:p>
    <w:p>
      <w:pPr>
        <w:spacing w:before="200" w:after="80"/>
      </w:pPr>
      <w:r>
        <w:rPr>
          <w:rFonts w:ascii="Palatino Linotype" w:hAnsi="Palatino Linotype" w:eastAsia="Palatino Linotype"/>
          <w:b/>
          <w:i w:val="0"/>
          <w:sz w:val="22"/>
        </w:rPr>
        <w:t>1.3 Distributing sweep along the span</w:t>
      </w:r>
    </w:p>
    <w:p>
      <w:pPr>
        <w:spacing w:before="0" w:after="80" w:line="240" w:lineRule="auto"/>
        <w:jc w:val="both"/>
      </w:pPr>
      <w:r>
        <w:rPr>
          <w:rFonts w:ascii="Palatino Linotype" w:hAnsi="Palatino Linotype" w:eastAsia="Palatino Linotype"/>
          <w:b w:val="0"/>
          <w:i w:val="0"/>
          <w:sz w:val="20"/>
        </w:rPr>
        <w:t>The proposed planform varies its leading-edge sweep continuously from root to tip while holding the trailing edge at a constant angle. The principle of treating sweep, chord and thickness as one coupled distribution rather than three independent choices is not new; the crescent wing of the Handley Page Victor is its best-known expression, its sweep decreasing outboard so that the wing was not governed by its most vulnerable station.</w:t>
      </w:r>
    </w:p>
    <w:p>
      <w:pPr>
        <w:spacing w:before="0" w:after="80" w:line="240" w:lineRule="auto"/>
        <w:jc w:val="both"/>
      </w:pPr>
      <w:r>
        <w:rPr>
          <w:rFonts w:ascii="Palatino Linotype" w:hAnsi="Palatino Linotype" w:eastAsia="Palatino Linotype"/>
          <w:b w:val="0"/>
          <w:i w:val="0"/>
          <w:sz w:val="20"/>
        </w:rPr>
        <w:t>The present aircraft is subsonic and does not inherit the transonic motivation that produced that planform. What it takes is the structural idea alone, and it takes it in a much reduced form: as Section 2.8 records, the sweep variation actually realised here is under seven degrees. No claim of descent from the crescent wing is made, and none is needed. Section 2.8 states the values used, and Section 4 states plainly that they were chosen rather than derived.</w:t>
      </w:r>
    </w:p>
    <w:p>
      <w:pPr>
        <w:spacing w:before="200" w:after="80"/>
      </w:pPr>
      <w:r>
        <w:rPr>
          <w:rFonts w:ascii="Palatino Linotype" w:hAnsi="Palatino Linotype" w:eastAsia="Palatino Linotype"/>
          <w:b/>
          <w:i w:val="0"/>
          <w:sz w:val="22"/>
        </w:rPr>
        <w:t>1.4 The contemporary hybrids</w:t>
      </w:r>
    </w:p>
    <w:p>
      <w:pPr>
        <w:spacing w:before="0" w:after="80" w:line="240" w:lineRule="auto"/>
        <w:jc w:val="both"/>
      </w:pPr>
      <w:r>
        <w:rPr>
          <w:rFonts w:ascii="Palatino Linotype" w:hAnsi="Palatino Linotype" w:eastAsia="Palatino Linotype"/>
          <w:b w:val="0"/>
          <w:i w:val="0"/>
          <w:sz w:val="20"/>
        </w:rPr>
        <w:t>The problem did not go away when the prototypes did. Since roughly 2010 a large family of hybrid VTOL uncrewed aircraft has reached service, in two dominant architectures. Lift-plus-cruise aircraft carry a set of rotors for the vertical phase and a separate propulsor for cruise, and fly as a fixed-wing aircraft in between. Tilting architectures — tilt-rotor, tilt-wing and tilt-nacelle — reuse the same propulsors in both regimes by rotating them.</w:t>
      </w:r>
    </w:p>
    <w:p>
      <w:pPr>
        <w:spacing w:before="0" w:after="80" w:line="240" w:lineRule="auto"/>
        <w:jc w:val="both"/>
      </w:pPr>
      <w:r>
        <w:rPr>
          <w:rFonts w:ascii="Palatino Linotype" w:hAnsi="Palatino Linotype" w:eastAsia="Palatino Linotype"/>
          <w:b w:val="0"/>
          <w:i w:val="0"/>
          <w:sz w:val="20"/>
        </w:rPr>
        <w:t>Both work. Both are in operational use. This paper does not claim otherwise, and Section 4.1 places the proposed reference designs alongside them without ranking them. What Section 2 argues is that each of these architectures pays for its capability in a way the other does not, that the payment can be moved between mass, drag and power system sizing, and that it cannot be brought to zero as long as hover and cruise are served by different hardware or by hardware that must move between two roles.</w:t>
      </w:r>
    </w:p>
    <w:p>
      <w:pPr>
        <w:spacing w:before="200" w:after="80"/>
      </w:pPr>
      <w:r>
        <w:rPr>
          <w:rFonts w:ascii="Palatino Linotype" w:hAnsi="Palatino Linotype" w:eastAsia="Palatino Linotype"/>
          <w:b/>
          <w:i w:val="0"/>
          <w:sz w:val="22"/>
        </w:rPr>
        <w:t>1.5 What this history does and does not show</w:t>
      </w:r>
    </w:p>
    <w:p>
      <w:pPr>
        <w:spacing w:before="0" w:after="80" w:line="240" w:lineRule="auto"/>
        <w:jc w:val="both"/>
      </w:pPr>
      <w:r>
        <w:rPr>
          <w:rFonts w:ascii="Palatino Linotype" w:hAnsi="Palatino Linotype" w:eastAsia="Palatino Linotype"/>
          <w:b w:val="0"/>
          <w:i w:val="0"/>
          <w:sz w:val="20"/>
        </w:rPr>
        <w:t>It would be too convenient to declare that every one of these programmes ended for reasons external to its configuration. Some of the difficulties were real and internal, and this paper inherits them. The tail-sitter's vertical descent is genuinely harder than a runway landing. A tail-sitting aircraft is more exposed to crosswind on the ground than a conventional one. And a set of propellers whose thrust vectors are all parallel to the body axis cannot, by construction, produce a rolling moment — a limitation that applies to this configuration exactly as it applied to its predecessors, and which Section 2.10 addresses rather than avoids.</w:t>
      </w:r>
    </w:p>
    <w:p>
      <w:pPr>
        <w:spacing w:before="0" w:after="80" w:line="240" w:lineRule="auto"/>
        <w:jc w:val="both"/>
      </w:pPr>
      <w:r>
        <w:rPr>
          <w:rFonts w:ascii="Palatino Linotype" w:hAnsi="Palatino Linotype" w:eastAsia="Palatino Linotype"/>
          <w:b w:val="0"/>
          <w:i w:val="0"/>
          <w:sz w:val="20"/>
        </w:rPr>
        <w:t>What the history does show is that the concept was never given a fair verdict under present-day conditions. The programmes of the 1950s were closed by engine deliveries, by jet-era procurement priorities, and — in the case where two contemporary NASA reviews record the reason directly and identically — by engine and gearbox reliability [1,2]. Not one of them was closed because the configuration failed to fly; one of the reviews rates the configuration itself favourably while condemning the machinery around it [1]. The human pilot, whose difficulties are the best-documented part of the record, is the single constraint that an uncrewed aircraft removes entirely. What is available now that was not available then — electric drive on each rotor, sensor-based attitude reference, and enough onboard computation that stability need not come from the airframe alone — removes exactly the obstacles that stopped it.</w:t>
      </w:r>
    </w:p>
    <w:p>
      <w:pPr>
        <w:spacing w:before="0" w:after="80" w:line="240" w:lineRule="auto"/>
        <w:jc w:val="both"/>
      </w:pPr>
      <w:r>
        <w:rPr>
          <w:rFonts w:ascii="Palatino Linotype" w:hAnsi="Palatino Linotype" w:eastAsia="Palatino Linotype"/>
          <w:b w:val="0"/>
          <w:i w:val="0"/>
          <w:sz w:val="20"/>
        </w:rPr>
        <w:t>What the history does not settle is why the contemporary aircraft that did succeed still pay for their vertical capability, and what exactly they pay. That is the subject of the next section.</w:t>
      </w:r>
    </w:p>
    <w:p>
      <w:pPr>
        <w:spacing w:before="200" w:after="80"/>
      </w:pPr>
      <w:r>
        <w:rPr>
          <w:rFonts w:ascii="Palatino Linotype" w:hAnsi="Palatino Linotype" w:eastAsia="Palatino Linotype"/>
          <w:b/>
          <w:i w:val="0"/>
          <w:sz w:val="26"/>
        </w:rPr>
        <w:t>2. Materials and Methods</w:t>
      </w:r>
    </w:p>
    <w:p>
      <w:pPr>
        <w:spacing w:before="0" w:after="80" w:line="240" w:lineRule="auto"/>
        <w:jc w:val="both"/>
      </w:pPr>
      <w:r>
        <w:rPr>
          <w:rFonts w:ascii="Palatino Linotype" w:hAnsi="Palatino Linotype" w:eastAsia="Palatino Linotype"/>
          <w:b w:val="0"/>
          <w:i w:val="0"/>
          <w:sz w:val="20"/>
        </w:rPr>
        <w:t>This section states the analytical framework the paper is built on, defines the configuration it is applied to, and gives the methods by which every number in Section 3 was produced. Sections 2.1 to 2.6 develop the framework; Sections 2.7 to 2.11 define the aircraft; Sections 2.12 and 2.13 give the sizing and computational methods; Section 2.14 records the use of artificial-intelligence tools.</w:t>
      </w:r>
    </w:p>
    <w:p>
      <w:pPr>
        <w:spacing w:before="0" w:after="80" w:line="240" w:lineRule="auto"/>
        <w:jc w:val="both"/>
      </w:pPr>
      <w:r>
        <w:rPr>
          <w:rFonts w:ascii="Palatino Linotype" w:hAnsi="Palatino Linotype" w:eastAsia="Palatino Linotype"/>
          <w:b w:val="0"/>
          <w:i w:val="0"/>
          <w:sz w:val="20"/>
        </w:rPr>
        <w:t>Hybrid VTOL aircraft work. The argument of this section is not that they do not, but that they pay for the capability in a way that can be located precisely, that the payment appears in three different currencies, and that an improvement in one currency is usually a transfer into another rather than a reduction. The section closes by stating the condition under which the payment would be zero — a condition none of the current architectures satisfies, and which Section 2 is built to satisfy.</w:t>
      </w:r>
    </w:p>
    <w:p>
      <w:pPr>
        <w:spacing w:before="200" w:after="80"/>
      </w:pPr>
      <w:r>
        <w:rPr>
          <w:rFonts w:ascii="Palatino Linotype" w:hAnsi="Palatino Linotype" w:eastAsia="Palatino Linotype"/>
          <w:b/>
          <w:i w:val="0"/>
          <w:sz w:val="22"/>
        </w:rPr>
        <w:t>2.1 The root: a duty cycle that does not match the hardware</w:t>
      </w:r>
    </w:p>
    <w:p>
      <w:pPr>
        <w:spacing w:before="0" w:after="80" w:line="240" w:lineRule="auto"/>
        <w:jc w:val="both"/>
      </w:pPr>
      <w:r>
        <w:rPr>
          <w:rFonts w:ascii="Palatino Linotype" w:hAnsi="Palatino Linotype" w:eastAsia="Palatino Linotype"/>
          <w:b w:val="0"/>
          <w:i w:val="0"/>
          <w:sz w:val="20"/>
        </w:rPr>
        <w:t>Every hybrid VTOL aircraft contains hardware whose only purpose is the vertical phase. That phase is short. For a mission of one hour, a take-off, a transition, a return transition and a landing occupy on the order of a minute — roughly two percent of the flight. The remaining ninety-eight percent is spent carrying that hardware through the air.</w:t>
      </w:r>
    </w:p>
    <w:p>
      <w:pPr>
        <w:spacing w:before="0" w:after="80" w:line="240" w:lineRule="auto"/>
        <w:jc w:val="both"/>
      </w:pPr>
      <w:r>
        <w:rPr>
          <w:rFonts w:ascii="Palatino Linotype" w:hAnsi="Palatino Linotype" w:eastAsia="Palatino Linotype"/>
          <w:b w:val="0"/>
          <w:i w:val="0"/>
          <w:sz w:val="20"/>
        </w:rPr>
        <w:t>This is not an implementation defect and it cannot be engineered away by making the hardware better, because it is a statement about duty cycle rather than about quality. A lighter lift rotor is still carried for the whole flight. A cleaner lift rotor is still carried for the whole flight. The mismatch between how long a component is needed and how long it is present is the origin of all three bills below.</w:t>
      </w:r>
    </w:p>
    <w:p>
      <w:pPr>
        <w:spacing w:before="200" w:after="80"/>
      </w:pPr>
      <w:r>
        <w:rPr>
          <w:rFonts w:ascii="Palatino Linotype" w:hAnsi="Palatino Linotype" w:eastAsia="Palatino Linotype"/>
          <w:b/>
          <w:i w:val="0"/>
          <w:sz w:val="22"/>
        </w:rPr>
        <w:t>2.2 Bill 1 — mass</w:t>
      </w:r>
    </w:p>
    <w:p>
      <w:pPr>
        <w:spacing w:before="0" w:after="80" w:line="240" w:lineRule="auto"/>
        <w:jc w:val="both"/>
      </w:pPr>
      <w:r>
        <w:rPr>
          <w:rFonts w:ascii="Palatino Linotype" w:hAnsi="Palatino Linotype" w:eastAsia="Palatino Linotype"/>
          <w:b w:val="0"/>
          <w:i w:val="0"/>
          <w:sz w:val="20"/>
        </w:rPr>
        <w:t>The most direct payment is dead mass. A lift-plus-cruise aircraft carries two propulsion groups: rotors, motors, mounts, wiring and structural reinforcement for the vertical phase, and a separate propulsor for cruise. The vertical group is inert for the whole cruise but is still lifted. Its cost is not linear, because mass growth feeds itself: MTOW = m_payload / (1 − f_empty − f_energy) shows that additional empty mass enters through a multiplier that grows as the denominator shrinks, and in the vertical phase the same increment is charged again because hover power scales with W^1.5. A modest dead-mass fraction becomes a large payload penalty.</w:t>
      </w:r>
    </w:p>
    <w:p>
      <w:pPr>
        <w:spacing w:before="0" w:after="80" w:line="240" w:lineRule="auto"/>
        <w:jc w:val="both"/>
      </w:pPr>
      <w:r>
        <w:rPr>
          <w:rFonts w:ascii="Palatino Linotype" w:hAnsi="Palatino Linotype" w:eastAsia="Palatino Linotype"/>
          <w:b/>
          <w:i w:val="0"/>
          <w:sz w:val="20"/>
        </w:rPr>
        <w:t>This bill has been identified independently.</w:t>
      </w:r>
      <w:r>
        <w:rPr>
          <w:rFonts w:ascii="Palatino Linotype" w:hAnsi="Palatino Linotype" w:eastAsia="Palatino Linotype"/>
          <w:b w:val="0"/>
          <w:i w:val="0"/>
          <w:sz w:val="20"/>
        </w:rPr>
        <w:t xml:space="preserve"> A NASA study sizing four VTOL architectures against a common mission with common tools found the lift-plus-cruise concepts the heaviest of the vehicles examined, and is explicit about the cause [22]:</w:t>
      </w:r>
    </w:p>
    <w:p>
      <w:pPr>
        <w:spacing w:before="0" w:after="80" w:line="240" w:lineRule="auto"/>
        <w:jc w:val="both"/>
      </w:pPr>
      <w:r>
        <w:rPr>
          <w:rFonts w:ascii="Palatino Linotype" w:hAnsi="Palatino Linotype" w:eastAsia="Palatino Linotype"/>
          <w:b w:val="0"/>
          <w:i/>
          <w:sz w:val="20"/>
        </w:rPr>
        <w:t>"The weight of the Lift+Cruise concepts is heavier in general than for the other vehicles. This is not driven by the cruise power draw, as the L/D_e of the Lift+Cruise is indeed higher than the other vehicles... the most likely targets for reducing vehicle weight are the extra empty weight items on board in hover (wing and propeller)."</w:t>
      </w:r>
    </w:p>
    <w:p>
      <w:pPr>
        <w:spacing w:before="0" w:after="80" w:line="240" w:lineRule="auto"/>
        <w:jc w:val="both"/>
      </w:pPr>
      <w:r>
        <w:rPr>
          <w:rFonts w:ascii="Palatino Linotype" w:hAnsi="Palatino Linotype" w:eastAsia="Palatino Linotype"/>
          <w:b/>
          <w:i w:val="0"/>
          <w:sz w:val="20"/>
        </w:rPr>
        <w:t>The finding separates the two things this paper is at pains to separate</w:t>
      </w:r>
      <w:r>
        <w:rPr>
          <w:rFonts w:ascii="Palatino Linotype" w:hAnsi="Palatino Linotype" w:eastAsia="Palatino Linotype"/>
          <w:b w:val="0"/>
          <w:i w:val="0"/>
          <w:sz w:val="20"/>
        </w:rPr>
        <w:t xml:space="preserve">: the lift-plus-cruise vehicle is </w:t>
      </w:r>
      <w:r>
        <w:rPr>
          <w:rFonts w:ascii="Palatino Linotype" w:hAnsi="Palatino Linotype" w:eastAsia="Palatino Linotype"/>
          <w:b w:val="0"/>
          <w:i/>
          <w:sz w:val="20"/>
        </w:rPr>
        <w:t>aerodynamically better</w:t>
      </w:r>
      <w:r>
        <w:rPr>
          <w:rFonts w:ascii="Palatino Linotype" w:hAnsi="Palatino Linotype" w:eastAsia="Palatino Linotype"/>
          <w:b w:val="0"/>
          <w:i w:val="0"/>
          <w:sz w:val="20"/>
        </w:rPr>
        <w:t xml:space="preserve"> than the alternatives — its cruise efficiency is higher, and the study says so — and it is nevertheless the heaviest, because of hardware carried in order to hover. That is Bill 1 stated by an independent source in its own terms: not a failure of engineering, but the cost of an architecture.</w:t>
      </w:r>
    </w:p>
    <w:p>
      <w:pPr>
        <w:spacing w:before="0" w:after="80" w:line="240" w:lineRule="auto"/>
        <w:jc w:val="both"/>
      </w:pPr>
      <w:r>
        <w:rPr>
          <w:rFonts w:ascii="Palatino Linotype" w:hAnsi="Palatino Linotype" w:eastAsia="Palatino Linotype"/>
          <w:b w:val="0"/>
          <w:i w:val="0"/>
          <w:sz w:val="20"/>
        </w:rPr>
        <w:t xml:space="preserve">A second NASA review states the structural half as a general principle, drawn from a tilt-prop aircraft whose propeller separated in flight after a gearbox mounting fatigued: "to safely transmit power to the extremities of the planform, very strong (and fatigue-resistant) structures must be incorporated with an obvious weight penalty" [2]. </w:t>
      </w:r>
      <w:r>
        <w:rPr>
          <w:rFonts w:ascii="Palatino Linotype" w:hAnsi="Palatino Linotype" w:eastAsia="Palatino Linotype"/>
          <w:b/>
          <w:i w:val="0"/>
          <w:sz w:val="20"/>
        </w:rPr>
        <w:t>Distributing lift or thrust across the span therefore obliges the structure that reaches it to be strong enough and fatigue-resistant enough to keep transmitting power there — charged to mass, whether or not the distributed propulsors are running.</w:t>
      </w:r>
    </w:p>
    <w:p>
      <w:pPr>
        <w:spacing w:before="200" w:after="80"/>
      </w:pPr>
      <w:r>
        <w:rPr>
          <w:rFonts w:ascii="Palatino Linotype" w:hAnsi="Palatino Linotype" w:eastAsia="Palatino Linotype"/>
          <w:b/>
          <w:i w:val="0"/>
          <w:sz w:val="22"/>
        </w:rPr>
        <w:t>2.3 Bill 2 — drag</w:t>
      </w:r>
    </w:p>
    <w:p>
      <w:pPr>
        <w:spacing w:before="0" w:after="80" w:line="240" w:lineRule="auto"/>
        <w:jc w:val="both"/>
      </w:pPr>
      <w:r>
        <w:rPr>
          <w:rFonts w:ascii="Palatino Linotype" w:hAnsi="Palatino Linotype" w:eastAsia="Palatino Linotype"/>
          <w:b w:val="0"/>
          <w:i w:val="0"/>
          <w:sz w:val="20"/>
        </w:rPr>
        <w:t>The second payment is charged only to architectures that leave hover hardware exposed in forward flight: rotors stopped in the airstream, the booms that carry them, and the interference between their wakes and the wing.</w:t>
      </w:r>
    </w:p>
    <w:p>
      <w:pPr>
        <w:spacing w:before="0" w:after="80" w:line="240" w:lineRule="auto"/>
        <w:jc w:val="both"/>
      </w:pPr>
      <w:r>
        <w:rPr>
          <w:rFonts w:ascii="Palatino Linotype" w:hAnsi="Palatino Linotype" w:eastAsia="Palatino Linotype"/>
          <w:b w:val="0"/>
          <w:i w:val="0"/>
          <w:sz w:val="20"/>
        </w:rPr>
        <w:t>The cleanest measurement is a controlled comparison within a single aircraft. In a doctoral study, one uncrewed airframe was tested in a wind tunnel in three configurations (Table 1):</w:t>
      </w:r>
    </w:p>
    <w:p>
      <w:pPr>
        <w:spacing w:before="0" w:after="80" w:line="240" w:lineRule="auto"/>
        <w:jc w:val="both"/>
        <w:keepNext/>
      </w:pPr>
      <w:r>
        <w:rPr>
          <w:rFonts w:ascii="Palatino Linotype" w:hAnsi="Palatino Linotype" w:eastAsia="Palatino Linotype"/>
          <w:b/>
          <w:i w:val="0"/>
          <w:sz w:val="20"/>
        </w:rPr>
        <w:t>Table 1.</w:t>
      </w:r>
      <w:r>
        <w:rPr>
          <w:rFonts w:ascii="Palatino Linotype" w:hAnsi="Palatino Linotype" w:eastAsia="Palatino Linotype"/>
          <w:b w:val="0"/>
          <w:i w:val="0"/>
          <w:sz w:val="20"/>
        </w:rPr>
        <w:t xml:space="preserve"> Maximum lift-to-drag ratio of one uncrewed airframe tested in three configurations in a single wind-tunnel campaign [3].</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Configuration</w:t>
            </w:r>
          </w:p>
        </w:tc>
        <w:tc>
          <w:tcPr>
            <w:tcW w:type="dxa" w:w="4986"/>
          </w:tcPr>
          <w:p>
            <w:pPr>
              <w:spacing w:before="20" w:after="20"/>
            </w:pPr>
            <w:r/>
            <w:r>
              <w:rPr>
                <w:rFonts w:ascii="Palatino Linotype" w:hAnsi="Palatino Linotype" w:eastAsia="Palatino Linotype"/>
                <w:b/>
                <w:i w:val="0"/>
                <w:sz w:val="18"/>
              </w:rPr>
              <w:t>Maximum L/D</w:t>
            </w:r>
          </w:p>
        </w:tc>
      </w:tr>
      <w:tr>
        <w:trPr>
          <w:cantSplit/>
        </w:trPr>
        <w:tc>
          <w:tcPr>
            <w:tcW w:type="dxa" w:w="4986"/>
          </w:tcPr>
          <w:p>
            <w:pPr>
              <w:spacing w:before="20" w:after="20"/>
            </w:pPr>
            <w:r/>
            <w:r>
              <w:rPr>
                <w:rFonts w:ascii="Palatino Linotype" w:hAnsi="Palatino Linotype" w:eastAsia="Palatino Linotype"/>
                <w:b w:val="0"/>
                <w:i w:val="0"/>
                <w:sz w:val="18"/>
              </w:rPr>
              <w:t>Clean airframe, no hover hardware</w:t>
            </w:r>
          </w:p>
        </w:tc>
        <w:tc>
          <w:tcPr>
            <w:tcW w:type="dxa" w:w="4986"/>
          </w:tcPr>
          <w:p>
            <w:pPr>
              <w:spacing w:before="20" w:after="20"/>
            </w:pPr>
            <w:r/>
            <w:r>
              <w:rPr>
                <w:rFonts w:ascii="Palatino Linotype" w:hAnsi="Palatino Linotype" w:eastAsia="Palatino Linotype"/>
                <w:b w:val="0"/>
                <w:i w:val="0"/>
                <w:sz w:val="18"/>
              </w:rPr>
              <w:t>≈ 17</w:t>
            </w:r>
          </w:p>
        </w:tc>
      </w:tr>
      <w:tr>
        <w:trPr>
          <w:cantSplit/>
        </w:trPr>
        <w:tc>
          <w:tcPr>
            <w:tcW w:type="dxa" w:w="4986"/>
          </w:tcPr>
          <w:p>
            <w:pPr>
              <w:spacing w:before="20" w:after="20"/>
            </w:pPr>
            <w:r/>
            <w:r>
              <w:rPr>
                <w:rFonts w:ascii="Palatino Linotype" w:hAnsi="Palatino Linotype" w:eastAsia="Palatino Linotype"/>
                <w:b w:val="0"/>
                <w:i w:val="0"/>
                <w:sz w:val="18"/>
              </w:rPr>
              <w:t>Hover hardware installed, propellers aligned with the flow</w:t>
            </w:r>
          </w:p>
        </w:tc>
        <w:tc>
          <w:tcPr>
            <w:tcW w:type="dxa" w:w="4986"/>
          </w:tcPr>
          <w:p>
            <w:pPr>
              <w:spacing w:before="20" w:after="20"/>
            </w:pPr>
            <w:r/>
            <w:r>
              <w:rPr>
                <w:rFonts w:ascii="Palatino Linotype" w:hAnsi="Palatino Linotype" w:eastAsia="Palatino Linotype"/>
                <w:b w:val="0"/>
                <w:i w:val="0"/>
                <w:sz w:val="18"/>
              </w:rPr>
              <w:t>≈ 13</w:t>
            </w:r>
          </w:p>
        </w:tc>
      </w:tr>
      <w:tr>
        <w:trPr>
          <w:cantSplit/>
        </w:trPr>
        <w:tc>
          <w:tcPr>
            <w:tcW w:type="dxa" w:w="4986"/>
          </w:tcPr>
          <w:p>
            <w:pPr>
              <w:spacing w:before="20" w:after="20"/>
            </w:pPr>
            <w:r/>
            <w:r>
              <w:rPr>
                <w:rFonts w:ascii="Palatino Linotype" w:hAnsi="Palatino Linotype" w:eastAsia="Palatino Linotype"/>
                <w:b w:val="0"/>
                <w:i w:val="0"/>
                <w:sz w:val="18"/>
              </w:rPr>
              <w:t>Hover hardware installed, propellers perpendicular to the flow</w:t>
            </w:r>
          </w:p>
        </w:tc>
        <w:tc>
          <w:tcPr>
            <w:tcW w:type="dxa" w:w="4986"/>
          </w:tcPr>
          <w:p>
            <w:pPr>
              <w:spacing w:before="20" w:after="20"/>
            </w:pPr>
            <w:r/>
            <w:r>
              <w:rPr>
                <w:rFonts w:ascii="Palatino Linotype" w:hAnsi="Palatino Linotype" w:eastAsia="Palatino Linotype"/>
                <w:b w:val="0"/>
                <w:i w:val="0"/>
                <w:sz w:val="18"/>
              </w:rPr>
              <w:t>≈ 9</w:t>
            </w:r>
          </w:p>
        </w:tc>
      </w:tr>
    </w:tbl>
    <w:p/>
    <w:p>
      <w:pPr>
        <w:spacing w:before="0" w:after="80" w:line="240" w:lineRule="auto"/>
        <w:jc w:val="both"/>
      </w:pPr>
      <w:r>
        <w:rPr>
          <w:rFonts w:ascii="Palatino Linotype" w:hAnsi="Palatino Linotype" w:eastAsia="Palatino Linotype"/>
          <w:b/>
          <w:i w:val="0"/>
          <w:sz w:val="20"/>
        </w:rPr>
        <w:t>Two measured numbers follow.</w:t>
      </w:r>
      <w:r>
        <w:rPr>
          <w:rFonts w:ascii="Palatino Linotype" w:hAnsi="Palatino Linotype" w:eastAsia="Palatino Linotype"/>
          <w:b w:val="0"/>
          <w:i w:val="0"/>
          <w:sz w:val="20"/>
        </w:rPr>
        <w:t xml:space="preserve"> Installing the hover hardware costs about a quarter of the lift-to-drag ratio; failing to let the propellers align with the flow costs about a third of what remains. A second model on a different airframe reproduced the pattern, at L/D ≈ 11 retracted against ≈ 8 exposed. Expressed as drag, retracting the propellers reduced it by 34 % and 30 % relative to a standard quadplane. That study's author is careful about which comparison is legitimate — measuring the retracted aircraft against </w:t>
      </w:r>
      <w:r>
        <w:rPr>
          <w:rFonts w:ascii="Palatino Linotype" w:hAnsi="Palatino Linotype" w:eastAsia="Palatino Linotype"/>
          <w:b w:val="0"/>
          <w:i/>
          <w:sz w:val="20"/>
        </w:rPr>
        <w:t>itself</w:t>
      </w:r>
      <w:r>
        <w:rPr>
          <w:rFonts w:ascii="Palatino Linotype" w:hAnsi="Palatino Linotype" w:eastAsia="Palatino Linotype"/>
          <w:b w:val="0"/>
          <w:i w:val="0"/>
          <w:sz w:val="20"/>
        </w:rPr>
        <w:t xml:space="preserve"> with propellers deployed gives 63 %, which he explicitly rejects — and the caution is worth adopting. Because range is linear in lift-to-drag ratio for a fixed energy system, this ladder translates directly into range (Figure 3).</w:t>
      </w:r>
    </w:p>
    <w:p>
      <w:pPr>
        <w:spacing w:after="40"/>
        <w:jc w:val="center"/>
        <w:keepNext/>
      </w:pPr>
      <w:r>
        <w:drawing>
          <wp:inline xmlns:a="http://schemas.openxmlformats.org/drawingml/2006/main" xmlns:pic="http://schemas.openxmlformats.org/drawingml/2006/picture">
            <wp:extent cx="5400000" cy="6027907"/>
            <wp:docPr id="3" name="Picture 3"/>
            <wp:cNvGraphicFramePr>
              <a:graphicFrameLocks noChangeAspect="1"/>
            </wp:cNvGraphicFramePr>
            <a:graphic>
              <a:graphicData uri="http://schemas.openxmlformats.org/drawingml/2006/picture">
                <pic:pic>
                  <pic:nvPicPr>
                    <pic:cNvPr id="0" name="sekil03-menzil-LD.png"/>
                    <pic:cNvPicPr/>
                  </pic:nvPicPr>
                  <pic:blipFill>
                    <a:blip r:embed="rId11"/>
                    <a:stretch>
                      <a:fillRect/>
                    </a:stretch>
                  </pic:blipFill>
                  <pic:spPr>
                    <a:xfrm>
                      <a:off x="0" y="0"/>
                      <a:ext cx="5400000" cy="6027907"/>
                    </a:xfrm>
                    <a:prstGeom prst="rect"/>
                  </pic:spPr>
                </pic:pic>
              </a:graphicData>
            </a:graphic>
          </wp:inline>
        </w:drawing>
      </w:r>
    </w:p>
    <w:p>
      <w:pPr>
        <w:spacing w:after="160"/>
        <w:jc w:val="both"/>
      </w:pPr>
      <w:r>
        <w:rPr>
          <w:rFonts w:ascii="Palatino Linotype" w:hAnsi="Palatino Linotype" w:eastAsia="Palatino Linotype"/>
          <w:b/>
          <w:i w:val="0"/>
          <w:sz w:val="18"/>
        </w:rPr>
        <w:t xml:space="preserve">Figure 3. </w:t>
      </w:r>
      <w:r>
        <w:rPr>
          <w:rFonts w:ascii="Palatino Linotype" w:hAnsi="Palatino Linotype" w:eastAsia="Palatino Linotype"/>
          <w:b w:val="0"/>
          <w:i w:val="0"/>
          <w:sz w:val="18"/>
        </w:rPr>
        <w:t>Range against cruise lift-to-drag ratio for (a) a battery-electric and (b) a series-hybrid energy system. Filled markers are L/D values measured in wind-tunnel tests of one airframe [3]; open markers are the calculated reference designs of this study.</w:t>
      </w:r>
    </w:p>
    <w:p>
      <w:pPr>
        <w:spacing w:before="0" w:after="80" w:line="240" w:lineRule="auto"/>
        <w:jc w:val="both"/>
      </w:pPr>
      <w:r>
        <w:rPr>
          <w:rFonts w:ascii="Palatino Linotype" w:hAnsi="Palatino Linotype" w:eastAsia="Palatino Linotype"/>
          <w:b/>
          <w:i w:val="0"/>
          <w:sz w:val="20"/>
        </w:rPr>
        <w:t>A third finding constrains what can be done about the penalty</w:t>
      </w:r>
      <w:r>
        <w:rPr>
          <w:rFonts w:ascii="Palatino Linotype" w:hAnsi="Palatino Linotype" w:eastAsia="Palatino Linotype"/>
          <w:b w:val="0"/>
          <w:i w:val="0"/>
          <w:sz w:val="20"/>
        </w:rPr>
        <w:t>, and matters more than either number:</w:t>
      </w:r>
    </w:p>
    <w:p>
      <w:pPr>
        <w:spacing w:before="0" w:after="80" w:line="240" w:lineRule="auto"/>
        <w:jc w:val="both"/>
      </w:pPr>
      <w:r>
        <w:rPr>
          <w:rFonts w:ascii="Palatino Linotype" w:hAnsi="Palatino Linotype" w:eastAsia="Palatino Linotype"/>
          <w:b w:val="0"/>
          <w:i/>
          <w:sz w:val="20"/>
        </w:rPr>
        <w:t>"The difference between propellers parallel to the airflow and without propellers is modest. The drag produced by the motors is significant."</w:t>
      </w:r>
    </w:p>
    <w:p>
      <w:pPr>
        <w:spacing w:before="0" w:after="80" w:line="240" w:lineRule="auto"/>
        <w:jc w:val="both"/>
      </w:pPr>
      <w:r>
        <w:rPr>
          <w:rFonts w:ascii="Palatino Linotype" w:hAnsi="Palatino Linotype" w:eastAsia="Palatino Linotype"/>
          <w:b w:val="0"/>
          <w:i w:val="0"/>
          <w:sz w:val="20"/>
        </w:rPr>
        <w:t xml:space="preserve">The bill is charged mainly by the motors and the beams that carry them — hardware that cannot be feathered, folded or aligned away, </w:t>
      </w:r>
      <w:r>
        <w:rPr>
          <w:rFonts w:ascii="Palatino Linotype" w:hAnsi="Palatino Linotype" w:eastAsia="Palatino Linotype"/>
          <w:b/>
          <w:i w:val="0"/>
          <w:sz w:val="20"/>
        </w:rPr>
        <w:t>because its cost is its presence.</w:t>
      </w:r>
    </w:p>
    <w:p>
      <w:pPr>
        <w:spacing w:before="0" w:after="80" w:line="240" w:lineRule="auto"/>
        <w:jc w:val="both"/>
      </w:pPr>
      <w:r>
        <w:rPr>
          <w:rFonts w:ascii="Palatino Linotype" w:hAnsi="Palatino Linotype" w:eastAsia="Palatino Linotype"/>
          <w:b w:val="0"/>
          <w:i w:val="0"/>
          <w:sz w:val="20"/>
        </w:rPr>
        <w:t>Two further measurements support the direction. Wind-tunnel characterisation of a QuadPlane found the highest lift and least drag in fixed-wing mode at both cruise airspeeds, drag in the hybrid regime exceeding either pure mode through adverse flow interaction, and — a point that matters for how such aircraft are designed — that a simulation assuming negligible rotor–structure interaction "always predicts higher lift and lower drag than were experimentally observed." Separately, a study of twenty-six stationary lift propellers held edge-on found their drag scaling with frontal area and the square of airspeed, with hover powertrain components adding "a significant amount of aerodynamic drag during forward flight" absent a stowing mechanism.</w:t>
      </w:r>
    </w:p>
    <w:p>
      <w:pPr>
        <w:spacing w:before="0" w:after="80" w:line="240" w:lineRule="auto"/>
        <w:jc w:val="both"/>
      </w:pPr>
      <w:r>
        <w:rPr>
          <w:rFonts w:ascii="Palatino Linotype" w:hAnsi="Palatino Linotype" w:eastAsia="Palatino Linotype"/>
          <w:b/>
          <w:i w:val="0"/>
          <w:sz w:val="20"/>
        </w:rPr>
        <w:t>The important property of this bill is not its size but where it is charged.</w:t>
      </w:r>
      <w:r>
        <w:rPr>
          <w:rFonts w:ascii="Palatino Linotype" w:hAnsi="Palatino Linotype" w:eastAsia="Palatino Linotype"/>
          <w:b w:val="0"/>
          <w:i w:val="0"/>
          <w:sz w:val="20"/>
        </w:rPr>
        <w:t xml:space="preserve"> It is charged per unit time in cruise, so it grows with exactly the quantity the aircraft exists to maximise.</w:t>
      </w:r>
    </w:p>
    <w:p>
      <w:pPr>
        <w:spacing w:before="200" w:after="80"/>
      </w:pPr>
      <w:r>
        <w:rPr>
          <w:rFonts w:ascii="Palatino Linotype" w:hAnsi="Palatino Linotype" w:eastAsia="Palatino Linotype"/>
          <w:b/>
          <w:i w:val="0"/>
          <w:sz w:val="22"/>
        </w:rPr>
        <w:t>2.4 Bill 3 — power system sizing</w:t>
      </w:r>
    </w:p>
    <w:p>
      <w:pPr>
        <w:spacing w:before="0" w:after="80" w:line="240" w:lineRule="auto"/>
        <w:jc w:val="both"/>
      </w:pPr>
      <w:r>
        <w:rPr>
          <w:rFonts w:ascii="Palatino Linotype" w:hAnsi="Palatino Linotype" w:eastAsia="Palatino Linotype"/>
          <w:b w:val="0"/>
          <w:i w:val="0"/>
          <w:sz w:val="20"/>
        </w:rPr>
        <w:t>The third payment is the least visible and often the largest. A VTOL aircraft must install enough power to hover, but it only uses that much power for the two percent of the flight in which it hovers. The ratio between the two demands follows from the governing equations rather than from any design choice. Taking hover power from momentum theory and cruise power from the drag polar,</w:t>
      </w:r>
    </w:p>
    <w:p>
      <w:pPr>
        <w:spacing w:before="0" w:after="80" w:line="240" w:lineRule="auto"/>
        <w:jc w:val="both"/>
      </w:pPr>
      <w:r>
        <w:rPr>
          <w:rFonts w:ascii="Palatino Linotype" w:hAnsi="Palatino Linotype" w:eastAsia="Palatino Linotype"/>
          <w:b w:val="0"/>
          <w:i w:val="0"/>
          <w:sz w:val="20"/>
        </w:rPr>
        <w:t>P_hover / W  = √(DL / 2ρ) / η_h                 (DL = W/A, disc loading) P_cruise / W = V / ( (L/D) η_p )</w:t>
      </w:r>
    </w:p>
    <w:p>
      <w:pPr>
        <w:spacing w:before="0" w:after="80" w:line="240" w:lineRule="auto"/>
        <w:jc w:val="both"/>
      </w:pPr>
      <w:r>
        <w:rPr>
          <w:rFonts w:ascii="Palatino Linotype" w:hAnsi="Palatino Linotype" w:eastAsia="Palatino Linotype"/>
          <w:b w:val="0"/>
          <w:i w:val="0"/>
          <w:sz w:val="20"/>
        </w:rPr>
        <w:t>so that</w:t>
      </w:r>
    </w:p>
    <w:p>
      <w:pPr>
        <w:spacing w:before="0" w:after="80" w:line="240" w:lineRule="auto"/>
        <w:jc w:val="both"/>
      </w:pPr>
      <w:r>
        <w:rPr>
          <w:rFonts w:ascii="Palatino Linotype" w:hAnsi="Palatino Linotype" w:eastAsia="Palatino Linotype"/>
          <w:b w:val="0"/>
          <w:i w:val="0"/>
          <w:sz w:val="20"/>
        </w:rPr>
        <w:t>P_hover / P_cruise = √(DL / 2ρ) · (L/D) / V · (η_p / η_h)</w:t>
      </w:r>
    </w:p>
    <w:p>
      <w:pPr>
        <w:spacing w:before="0" w:after="80" w:line="240" w:lineRule="auto"/>
        <w:jc w:val="both"/>
      </w:pPr>
      <w:r>
        <w:rPr>
          <w:rFonts w:ascii="Palatino Linotype" w:hAnsi="Palatino Linotype" w:eastAsia="Palatino Linotype"/>
          <w:b w:val="0"/>
          <w:i w:val="0"/>
          <w:sz w:val="20"/>
        </w:rPr>
        <w:t>Every term on the right is a property of the configuration, not of the workmanship. A vehicle with a disc loading of 100 N m⁻², a cruise lift-to-drag ratio of 15 and a cruise speed of 30 m s⁻¹ needs roughly four times as much power to hover as to cruise; raising the disc loading raises the ratio as its square root. The prediction is borne out in flight: a carbon-fibre tail-sitter reported in the literature measures its level-flight power consumption at one fifth of its hover power, which is the same ratio this expression gives for an aircraft of that class. The power system is therefore sized by a condition that holds for a minute and is then carried, unused, for an hour.</w:t>
      </w:r>
    </w:p>
    <w:p>
      <w:pPr>
        <w:spacing w:before="0" w:after="80" w:line="240" w:lineRule="auto"/>
        <w:jc w:val="both"/>
      </w:pPr>
      <w:r>
        <w:rPr>
          <w:rFonts w:ascii="Palatino Linotype" w:hAnsi="Palatino Linotype" w:eastAsia="Palatino Linotype"/>
          <w:b w:val="0"/>
          <w:i w:val="0"/>
          <w:sz w:val="20"/>
        </w:rPr>
        <w:t>The consequence propagates. Sizing by hover means an oversized engine, or a battery that must deliver a peak it will rarely be asked for, or both — and whichever of the two is chosen, the extra installed capacity is mass, which returns to Bill 1.</w:t>
      </w:r>
    </w:p>
    <w:p>
      <w:pPr>
        <w:spacing w:before="200" w:after="80"/>
      </w:pPr>
      <w:r>
        <w:rPr>
          <w:rFonts w:ascii="Palatino Linotype" w:hAnsi="Palatino Linotype" w:eastAsia="Palatino Linotype"/>
          <w:b/>
          <w:i w:val="0"/>
          <w:sz w:val="22"/>
        </w:rPr>
        <w:t>2.5 The bills are one quantity in three currencies</w:t>
      </w:r>
    </w:p>
    <w:p>
      <w:pPr>
        <w:spacing w:before="0" w:after="80" w:line="240" w:lineRule="auto"/>
        <w:jc w:val="both"/>
      </w:pPr>
      <w:r>
        <w:rPr>
          <w:rFonts w:ascii="Palatino Linotype" w:hAnsi="Palatino Linotype" w:eastAsia="Palatino Linotype"/>
          <w:b w:val="0"/>
          <w:i w:val="0"/>
          <w:sz w:val="20"/>
        </w:rPr>
        <w:t xml:space="preserve">The three bills are not independent problems with independent fixes. </w:t>
      </w:r>
      <w:r>
        <w:rPr>
          <w:rFonts w:ascii="Palatino Linotype" w:hAnsi="Palatino Linotype" w:eastAsia="Palatino Linotype"/>
          <w:b/>
          <w:i w:val="0"/>
          <w:sz w:val="20"/>
        </w:rPr>
        <w:t>Each known architectural move reduces one and increases another.</w:t>
      </w:r>
      <w:r>
        <w:rPr>
          <w:rFonts w:ascii="Palatino Linotype" w:hAnsi="Palatino Linotype" w:eastAsia="Palatino Linotype"/>
          <w:b w:val="0"/>
          <w:i w:val="0"/>
          <w:sz w:val="20"/>
        </w:rPr>
        <w:t xml:space="preserve"> Figure 4 shows the transfers; Table 2 lists them.</w:t>
      </w:r>
    </w:p>
    <w:p>
      <w:pPr>
        <w:spacing w:after="40"/>
        <w:jc w:val="center"/>
        <w:keepNext/>
      </w:pPr>
      <w:r>
        <w:drawing>
          <wp:inline xmlns:a="http://schemas.openxmlformats.org/drawingml/2006/main" xmlns:pic="http://schemas.openxmlformats.org/drawingml/2006/picture">
            <wp:extent cx="5400000" cy="5696299"/>
            <wp:docPr id="4" name="Picture 4"/>
            <wp:cNvGraphicFramePr>
              <a:graphicFrameLocks noChangeAspect="1"/>
            </wp:cNvGraphicFramePr>
            <a:graphic>
              <a:graphicData uri="http://schemas.openxmlformats.org/drawingml/2006/picture">
                <pic:pic>
                  <pic:nvPicPr>
                    <pic:cNvPr id="0" name="sekil04-uc-fatura.png"/>
                    <pic:cNvPicPr/>
                  </pic:nvPicPr>
                  <pic:blipFill>
                    <a:blip r:embed="rId12"/>
                    <a:stretch>
                      <a:fillRect/>
                    </a:stretch>
                  </pic:blipFill>
                  <pic:spPr>
                    <a:xfrm>
                      <a:off x="0" y="0"/>
                      <a:ext cx="5400000" cy="5696299"/>
                    </a:xfrm>
                    <a:prstGeom prst="rect"/>
                  </pic:spPr>
                </pic:pic>
              </a:graphicData>
            </a:graphic>
          </wp:inline>
        </w:drawing>
      </w:r>
    </w:p>
    <w:p>
      <w:pPr>
        <w:spacing w:after="160"/>
        <w:jc w:val="both"/>
      </w:pPr>
      <w:r>
        <w:rPr>
          <w:rFonts w:ascii="Palatino Linotype" w:hAnsi="Palatino Linotype" w:eastAsia="Palatino Linotype"/>
          <w:b/>
          <w:i w:val="0"/>
          <w:sz w:val="18"/>
        </w:rPr>
        <w:t xml:space="preserve">Figure 4. </w:t>
      </w:r>
      <w:r>
        <w:rPr>
          <w:rFonts w:ascii="Palatino Linotype" w:hAnsi="Palatino Linotype" w:eastAsia="Palatino Linotype"/>
          <w:b w:val="0"/>
          <w:i w:val="0"/>
          <w:sz w:val="18"/>
        </w:rPr>
        <w:t>The three bills of the architectural tax and the moves that convert one into another. Every architectural remedy surveyed in Table 2 reduces one bill by increasing another. The measured instance quoted at the foot of the figure is derived in Section 3.5 from [3].</w:t>
      </w:r>
    </w:p>
    <w:p>
      <w:pPr>
        <w:spacing w:before="0" w:after="80" w:line="240" w:lineRule="auto"/>
        <w:jc w:val="both"/>
        <w:keepNext/>
      </w:pPr>
      <w:r>
        <w:rPr>
          <w:rFonts w:ascii="Palatino Linotype" w:hAnsi="Palatino Linotype" w:eastAsia="Palatino Linotype"/>
          <w:b/>
          <w:i w:val="0"/>
          <w:sz w:val="20"/>
        </w:rPr>
        <w:t>Table 2.</w:t>
      </w:r>
      <w:r>
        <w:rPr>
          <w:rFonts w:ascii="Palatino Linotype" w:hAnsi="Palatino Linotype" w:eastAsia="Palatino Linotype"/>
          <w:b w:val="0"/>
          <w:i w:val="0"/>
          <w:sz w:val="20"/>
        </w:rPr>
        <w:t xml:space="preserve"> Architectural moves and the bills they transfer.</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Move</w:t>
            </w:r>
          </w:p>
        </w:tc>
        <w:tc>
          <w:tcPr>
            <w:tcW w:type="dxa" w:w="3324"/>
          </w:tcPr>
          <w:p>
            <w:pPr>
              <w:spacing w:before="20" w:after="20"/>
            </w:pPr>
            <w:r/>
            <w:r>
              <w:rPr>
                <w:rFonts w:ascii="Palatino Linotype" w:hAnsi="Palatino Linotype" w:eastAsia="Palatino Linotype"/>
                <w:b/>
                <w:i w:val="0"/>
                <w:sz w:val="18"/>
              </w:rPr>
              <w:t>Bill it attacks</w:t>
            </w:r>
          </w:p>
        </w:tc>
        <w:tc>
          <w:tcPr>
            <w:tcW w:type="dxa" w:w="3324"/>
          </w:tcPr>
          <w:p>
            <w:pPr>
              <w:spacing w:before="20" w:after="20"/>
            </w:pPr>
            <w:r/>
            <w:r>
              <w:rPr>
                <w:rFonts w:ascii="Palatino Linotype" w:hAnsi="Palatino Linotype" w:eastAsia="Palatino Linotype"/>
                <w:b/>
                <w:i w:val="0"/>
                <w:sz w:val="18"/>
              </w:rPr>
              <w:t>Bill it creates</w:t>
            </w:r>
          </w:p>
        </w:tc>
      </w:tr>
      <w:tr>
        <w:trPr>
          <w:cantSplit/>
        </w:trPr>
        <w:tc>
          <w:tcPr>
            <w:tcW w:type="dxa" w:w="3324"/>
          </w:tcPr>
          <w:p>
            <w:pPr>
              <w:spacing w:before="20" w:after="20"/>
            </w:pPr>
            <w:r/>
            <w:r>
              <w:rPr>
                <w:rFonts w:ascii="Palatino Linotype" w:hAnsi="Palatino Linotype" w:eastAsia="Palatino Linotype"/>
                <w:b w:val="0"/>
                <w:i w:val="0"/>
                <w:sz w:val="18"/>
              </w:rPr>
              <w:t>Distributed electric lift rotors</w:t>
            </w:r>
          </w:p>
        </w:tc>
        <w:tc>
          <w:tcPr>
            <w:tcW w:type="dxa" w:w="3324"/>
          </w:tcPr>
          <w:p>
            <w:pPr>
              <w:spacing w:before="20" w:after="20"/>
            </w:pPr>
            <w:r/>
            <w:r>
              <w:rPr>
                <w:rFonts w:ascii="Palatino Linotype" w:hAnsi="Palatino Linotype" w:eastAsia="Palatino Linotype"/>
                <w:b w:val="0"/>
                <w:i w:val="0"/>
                <w:sz w:val="18"/>
              </w:rPr>
              <w:t>3 — the cruise engine no longer sizes to hover</w:t>
            </w:r>
          </w:p>
        </w:tc>
        <w:tc>
          <w:tcPr>
            <w:tcW w:type="dxa" w:w="3324"/>
          </w:tcPr>
          <w:p>
            <w:pPr>
              <w:spacing w:before="20" w:after="20"/>
            </w:pPr>
            <w:r/>
            <w:r>
              <w:rPr>
                <w:rFonts w:ascii="Palatino Linotype" w:hAnsi="Palatino Linotype" w:eastAsia="Palatino Linotype"/>
                <w:b w:val="0"/>
                <w:i w:val="0"/>
                <w:sz w:val="18"/>
              </w:rPr>
              <w:t>1 and 2 — many rotors and mounts, permanently carried and exposed</w:t>
            </w:r>
          </w:p>
        </w:tc>
      </w:tr>
      <w:tr>
        <w:trPr>
          <w:cantSplit/>
        </w:trPr>
        <w:tc>
          <w:tcPr>
            <w:tcW w:type="dxa" w:w="3324"/>
          </w:tcPr>
          <w:p>
            <w:pPr>
              <w:spacing w:before="20" w:after="20"/>
            </w:pPr>
            <w:r/>
            <w:r>
              <w:rPr>
                <w:rFonts w:ascii="Palatino Linotype" w:hAnsi="Palatino Linotype" w:eastAsia="Palatino Linotype"/>
                <w:b w:val="0"/>
                <w:i w:val="0"/>
                <w:sz w:val="18"/>
              </w:rPr>
              <w:t>Folding or retracting lift rotors</w:t>
            </w:r>
          </w:p>
        </w:tc>
        <w:tc>
          <w:tcPr>
            <w:tcW w:type="dxa" w:w="3324"/>
          </w:tcPr>
          <w:p>
            <w:pPr>
              <w:spacing w:before="20" w:after="20"/>
            </w:pPr>
            <w:r/>
            <w:r>
              <w:rPr>
                <w:rFonts w:ascii="Palatino Linotype" w:hAnsi="Palatino Linotype" w:eastAsia="Palatino Linotype"/>
                <w:b w:val="0"/>
                <w:i w:val="0"/>
                <w:sz w:val="18"/>
              </w:rPr>
              <w:t>2 — the exposed rotor is removed from cruise</w:t>
            </w:r>
          </w:p>
        </w:tc>
        <w:tc>
          <w:tcPr>
            <w:tcW w:type="dxa" w:w="3324"/>
          </w:tcPr>
          <w:p>
            <w:pPr>
              <w:spacing w:before="20" w:after="20"/>
            </w:pPr>
            <w:r/>
            <w:r>
              <w:rPr>
                <w:rFonts w:ascii="Palatino Linotype" w:hAnsi="Palatino Linotype" w:eastAsia="Palatino Linotype"/>
                <w:b w:val="0"/>
                <w:i w:val="0"/>
                <w:sz w:val="18"/>
              </w:rPr>
              <w:t>1 — mechanism, actuation, locking, a new failure mode</w:t>
            </w:r>
          </w:p>
        </w:tc>
      </w:tr>
      <w:tr>
        <w:trPr>
          <w:cantSplit/>
        </w:trPr>
        <w:tc>
          <w:tcPr>
            <w:tcW w:type="dxa" w:w="3324"/>
          </w:tcPr>
          <w:p>
            <w:pPr>
              <w:spacing w:before="20" w:after="20"/>
            </w:pPr>
            <w:r/>
            <w:r>
              <w:rPr>
                <w:rFonts w:ascii="Palatino Linotype" w:hAnsi="Palatino Linotype" w:eastAsia="Palatino Linotype"/>
                <w:b w:val="0"/>
                <w:i w:val="0"/>
                <w:sz w:val="18"/>
              </w:rPr>
              <w:t>Tilt-rotor, tilt-wing, tilt-nacelle</w:t>
            </w:r>
          </w:p>
        </w:tc>
        <w:tc>
          <w:tcPr>
            <w:tcW w:type="dxa" w:w="3324"/>
          </w:tcPr>
          <w:p>
            <w:pPr>
              <w:spacing w:before="20" w:after="20"/>
            </w:pPr>
            <w:r/>
            <w:r>
              <w:rPr>
                <w:rFonts w:ascii="Palatino Linotype" w:hAnsi="Palatino Linotype" w:eastAsia="Palatino Linotype"/>
                <w:b w:val="0"/>
                <w:i w:val="0"/>
                <w:sz w:val="18"/>
              </w:rPr>
              <w:t>1 — one propulsion group serves both regimes</w:t>
            </w:r>
          </w:p>
        </w:tc>
        <w:tc>
          <w:tcPr>
            <w:tcW w:type="dxa" w:w="3324"/>
          </w:tcPr>
          <w:p>
            <w:pPr>
              <w:spacing w:before="20" w:after="20"/>
            </w:pPr>
            <w:r/>
            <w:r>
              <w:rPr>
                <w:rFonts w:ascii="Palatino Linotype" w:hAnsi="Palatino Linotype" w:eastAsia="Palatino Linotype"/>
                <w:b w:val="0"/>
                <w:i w:val="0"/>
                <w:sz w:val="18"/>
              </w:rPr>
              <w:t>mechanical complexity, gyroscopic coupling, a transition control problem</w:t>
            </w:r>
          </w:p>
        </w:tc>
      </w:tr>
      <w:tr>
        <w:trPr>
          <w:cantSplit/>
        </w:trPr>
        <w:tc>
          <w:tcPr>
            <w:tcW w:type="dxa" w:w="3324"/>
          </w:tcPr>
          <w:p>
            <w:pPr>
              <w:spacing w:before="20" w:after="20"/>
            </w:pPr>
            <w:r/>
            <w:r>
              <w:rPr>
                <w:rFonts w:ascii="Palatino Linotype" w:hAnsi="Palatino Linotype" w:eastAsia="Palatino Linotype"/>
                <w:b w:val="0"/>
                <w:i w:val="0"/>
                <w:sz w:val="18"/>
              </w:rPr>
              <w:t>Higher disc loading, smaller rotors</w:t>
            </w:r>
          </w:p>
        </w:tc>
        <w:tc>
          <w:tcPr>
            <w:tcW w:type="dxa" w:w="3324"/>
          </w:tcPr>
          <w:p>
            <w:pPr>
              <w:spacing w:before="20" w:after="20"/>
            </w:pPr>
            <w:r/>
            <w:r>
              <w:rPr>
                <w:rFonts w:ascii="Palatino Linotype" w:hAnsi="Palatino Linotype" w:eastAsia="Palatino Linotype"/>
                <w:b w:val="0"/>
                <w:i w:val="0"/>
                <w:sz w:val="18"/>
              </w:rPr>
              <w:t>1 and 2 — smaller, lighter, cleaner rotors</w:t>
            </w:r>
          </w:p>
        </w:tc>
        <w:tc>
          <w:tcPr>
            <w:tcW w:type="dxa" w:w="3324"/>
          </w:tcPr>
          <w:p>
            <w:pPr>
              <w:spacing w:before="20" w:after="20"/>
            </w:pPr>
            <w:r/>
            <w:r>
              <w:rPr>
                <w:rFonts w:ascii="Palatino Linotype" w:hAnsi="Palatino Linotype" w:eastAsia="Palatino Linotype"/>
                <w:b w:val="0"/>
                <w:i w:val="0"/>
                <w:sz w:val="18"/>
              </w:rPr>
              <w:t>3 — hover power rises with √(DL)</w:t>
            </w:r>
          </w:p>
        </w:tc>
      </w:tr>
      <w:tr>
        <w:trPr>
          <w:cantSplit/>
        </w:trPr>
        <w:tc>
          <w:tcPr>
            <w:tcW w:type="dxa" w:w="3324"/>
          </w:tcPr>
          <w:p>
            <w:pPr>
              <w:spacing w:before="20" w:after="20"/>
            </w:pPr>
            <w:r/>
            <w:r>
              <w:rPr>
                <w:rFonts w:ascii="Palatino Linotype" w:hAnsi="Palatino Linotype" w:eastAsia="Palatino Linotype"/>
                <w:b w:val="0"/>
                <w:i w:val="0"/>
                <w:sz w:val="18"/>
              </w:rPr>
              <w:t>Lower disc loading, larger rotors</w:t>
            </w:r>
          </w:p>
        </w:tc>
        <w:tc>
          <w:tcPr>
            <w:tcW w:type="dxa" w:w="3324"/>
          </w:tcPr>
          <w:p>
            <w:pPr>
              <w:spacing w:before="20" w:after="20"/>
            </w:pPr>
            <w:r/>
            <w:r>
              <w:rPr>
                <w:rFonts w:ascii="Palatino Linotype" w:hAnsi="Palatino Linotype" w:eastAsia="Palatino Linotype"/>
                <w:b w:val="0"/>
                <w:i w:val="0"/>
                <w:sz w:val="18"/>
              </w:rPr>
              <w:t>3 — hover power falls</w:t>
            </w:r>
          </w:p>
        </w:tc>
        <w:tc>
          <w:tcPr>
            <w:tcW w:type="dxa" w:w="3324"/>
          </w:tcPr>
          <w:p>
            <w:pPr>
              <w:spacing w:before="20" w:after="20"/>
            </w:pPr>
            <w:r/>
            <w:r>
              <w:rPr>
                <w:rFonts w:ascii="Palatino Linotype" w:hAnsi="Palatino Linotype" w:eastAsia="Palatino Linotype"/>
                <w:b w:val="0"/>
                <w:i w:val="0"/>
                <w:sz w:val="18"/>
              </w:rPr>
              <w:t>1 and 2 — larger structure and exposed area</w:t>
            </w:r>
          </w:p>
        </w:tc>
      </w:tr>
    </w:tbl>
    <w:p/>
    <w:p>
      <w:pPr>
        <w:spacing w:before="0" w:after="80" w:line="240" w:lineRule="auto"/>
        <w:jc w:val="both"/>
      </w:pPr>
      <w:r>
        <w:rPr>
          <w:rFonts w:ascii="Palatino Linotype" w:hAnsi="Palatino Linotype" w:eastAsia="Palatino Linotype"/>
          <w:b/>
          <w:i w:val="0"/>
          <w:sz w:val="20"/>
        </w:rPr>
        <w:t>One of these rows has been measured.</w:t>
      </w:r>
      <w:r>
        <w:rPr>
          <w:rFonts w:ascii="Palatino Linotype" w:hAnsi="Palatino Linotype" w:eastAsia="Palatino Linotype"/>
          <w:b w:val="0"/>
          <w:i w:val="0"/>
          <w:sz w:val="20"/>
        </w:rPr>
        <w:t xml:space="preserve"> In the study of Section 2.3, the retraction system that removed thirty percent of the drag was then costed: applied to a passenger eVTOL with the mechanism assessed at five percent of vehicle mass, maximum range rose from 119 km to 121 km — </w:t>
      </w:r>
      <w:r>
        <w:rPr>
          <w:rFonts w:ascii="Palatino Linotype" w:hAnsi="Palatino Linotype" w:eastAsia="Palatino Linotype"/>
          <w:b/>
          <w:i w:val="0"/>
          <w:sz w:val="20"/>
        </w:rPr>
        <w:t>a two-kilometre gain for a five-percent mass penalty.</w:t>
      </w:r>
      <w:r>
        <w:rPr>
          <w:rFonts w:ascii="Palatino Linotype" w:hAnsi="Palatino Linotype" w:eastAsia="Palatino Linotype"/>
          <w:b w:val="0"/>
          <w:i w:val="0"/>
          <w:sz w:val="20"/>
        </w:rPr>
        <w:t xml:space="preserve"> Bill 2 was converted almost exactly into Bill 1, and the transfer is the point rather than the small residue.</w:t>
      </w:r>
    </w:p>
    <w:p>
      <w:pPr>
        <w:spacing w:before="200" w:after="80"/>
      </w:pPr>
      <w:r>
        <w:rPr>
          <w:rFonts w:ascii="Palatino Linotype" w:hAnsi="Palatino Linotype" w:eastAsia="Palatino Linotype"/>
          <w:b/>
          <w:i w:val="0"/>
          <w:sz w:val="22"/>
        </w:rPr>
        <w:t>2.6 The condition under which the three bills are not charged</w:t>
      </w:r>
    </w:p>
    <w:p>
      <w:pPr>
        <w:spacing w:before="0" w:after="80" w:line="240" w:lineRule="auto"/>
        <w:jc w:val="both"/>
      </w:pPr>
      <w:r>
        <w:rPr>
          <w:rFonts w:ascii="Palatino Linotype" w:hAnsi="Palatino Linotype" w:eastAsia="Palatino Linotype"/>
          <w:b w:val="0"/>
          <w:i w:val="0"/>
          <w:sz w:val="20"/>
        </w:rPr>
        <w:t>Stating the tax this way makes its escape condition explicit. The bill exists because hover and cruise are served by hardware that is not the same hardware, doing the same job, in the same orientation. Relax any part of that and a bill appears:</w:t>
      </w:r>
    </w:p>
    <w:p>
      <w:pPr>
        <w:spacing w:before="0" w:after="80" w:line="240" w:lineRule="auto"/>
        <w:jc w:val="both"/>
      </w:pPr>
      <w:r>
        <w:rPr>
          <w:rFonts w:ascii="Palatino Linotype" w:hAnsi="Palatino Linotype" w:eastAsia="Palatino Linotype"/>
          <w:b w:val="0"/>
          <w:i w:val="0"/>
          <w:sz w:val="20"/>
        </w:rPr>
        <w:t xml:space="preserve">- </w:t>
      </w:r>
      <w:r>
        <w:rPr>
          <w:rFonts w:ascii="Palatino Linotype" w:hAnsi="Palatino Linotype" w:eastAsia="Palatino Linotype"/>
          <w:b/>
          <w:i w:val="0"/>
          <w:sz w:val="20"/>
        </w:rPr>
        <w:t>Different hardware</w:t>
      </w:r>
      <w:r>
        <w:rPr>
          <w:rFonts w:ascii="Palatino Linotype" w:hAnsi="Palatino Linotype" w:eastAsia="Palatino Linotype"/>
          <w:b w:val="0"/>
          <w:i w:val="0"/>
          <w:sz w:val="20"/>
        </w:rPr>
        <w:t xml:space="preserve"> → Bills 1 and 2. The unused set is carried and, if exposed, drags. - </w:t>
      </w:r>
      <w:r>
        <w:rPr>
          <w:rFonts w:ascii="Palatino Linotype" w:hAnsi="Palatino Linotype" w:eastAsia="Palatino Linotype"/>
          <w:b/>
          <w:i w:val="0"/>
          <w:sz w:val="20"/>
        </w:rPr>
        <w:t>Same hardware, different orientation</w:t>
      </w:r>
      <w:r>
        <w:rPr>
          <w:rFonts w:ascii="Palatino Linotype" w:hAnsi="Palatino Linotype" w:eastAsia="Palatino Linotype"/>
          <w:b w:val="0"/>
          <w:i w:val="0"/>
          <w:sz w:val="20"/>
        </w:rPr>
        <w:t xml:space="preserve"> → the tilting family. The mechanism that changes the orientation is itself mass, complexity and a control problem. - </w:t>
      </w:r>
      <w:r>
        <w:rPr>
          <w:rFonts w:ascii="Palatino Linotype" w:hAnsi="Palatino Linotype" w:eastAsia="Palatino Linotype"/>
          <w:b/>
          <w:i w:val="0"/>
          <w:sz w:val="20"/>
        </w:rPr>
        <w:t>Same hardware, same orientation, different sizing point</w:t>
      </w:r>
      <w:r>
        <w:rPr>
          <w:rFonts w:ascii="Palatino Linotype" w:hAnsi="Palatino Linotype" w:eastAsia="Palatino Linotype"/>
          <w:b w:val="0"/>
          <w:i w:val="0"/>
          <w:sz w:val="20"/>
        </w:rPr>
        <w:t xml:space="preserve"> → Bill 3, unless the hover peak is supplied from somewhere other than the continuous power source.</w:t>
      </w:r>
    </w:p>
    <w:p>
      <w:pPr>
        <w:spacing w:before="0" w:after="80" w:line="240" w:lineRule="auto"/>
        <w:jc w:val="both"/>
      </w:pPr>
      <w:r>
        <w:rPr>
          <w:rFonts w:ascii="Palatino Linotype" w:hAnsi="Palatino Linotype" w:eastAsia="Palatino Linotype"/>
          <w:b w:val="0"/>
          <w:i w:val="0"/>
          <w:sz w:val="20"/>
        </w:rPr>
        <w:t xml:space="preserve">The condition for not incurring these three bills is therefore that the same propulsors, fixed in the same orientation relative to the airframe, produce both the hover thrust and the cruise thrust — with the aircraft itself changing orientation rather than any part of it — and that the difference between the hover peak and the cruise demand is supplied by a buffer rather than by permanently installed continuous power. This is referred to below as the </w:t>
      </w:r>
      <w:r>
        <w:rPr>
          <w:rFonts w:ascii="Palatino Linotype" w:hAnsi="Palatino Linotype" w:eastAsia="Palatino Linotype"/>
          <w:b w:val="0"/>
          <w:i/>
          <w:sz w:val="20"/>
        </w:rPr>
        <w:t>zero-bill condition</w:t>
      </w:r>
      <w:r>
        <w:rPr>
          <w:rFonts w:ascii="Palatino Linotype" w:hAnsi="Palatino Linotype" w:eastAsia="Palatino Linotype"/>
          <w:b w:val="0"/>
          <w:i w:val="0"/>
          <w:sz w:val="20"/>
        </w:rPr>
        <w:t>, and the name should be read strictly: it means zero of these three bills, not an architecture that costs nothing. What an architecture satisfying it pays instead is a separate question, and Section 3.5 answers it for the configuration proposed here.</w:t>
      </w:r>
    </w:p>
    <w:p>
      <w:pPr>
        <w:spacing w:before="0" w:after="80" w:line="240" w:lineRule="auto"/>
        <w:jc w:val="both"/>
      </w:pPr>
      <w:r>
        <w:rPr>
          <w:rFonts w:ascii="Palatino Linotype" w:hAnsi="Palatino Linotype" w:eastAsia="Palatino Linotype"/>
          <w:b w:val="0"/>
          <w:i w:val="0"/>
          <w:sz w:val="20"/>
        </w:rPr>
        <w:t>That is a description of a tail-sitter with a buffered series-hybrid powertrain. It is also, precisely, the configuration described in Section 2.</w:t>
      </w:r>
    </w:p>
    <w:p>
      <w:pPr>
        <w:spacing w:before="200" w:after="80"/>
      </w:pPr>
      <w:r>
        <w:rPr>
          <w:rFonts w:ascii="Palatino Linotype" w:hAnsi="Palatino Linotype" w:eastAsia="Palatino Linotype"/>
          <w:b/>
          <w:i w:val="0"/>
          <w:sz w:val="22"/>
        </w:rPr>
        <w:t>2.7 Overview</w:t>
      </w:r>
    </w:p>
    <w:p>
      <w:pPr>
        <w:spacing w:before="0" w:after="80" w:line="240" w:lineRule="auto"/>
        <w:jc w:val="both"/>
      </w:pPr>
      <w:r>
        <w:rPr>
          <w:rFonts w:ascii="Palatino Linotype" w:hAnsi="Palatino Linotype" w:eastAsia="Palatino Linotype"/>
          <w:b/>
          <w:i w:val="0"/>
          <w:sz w:val="20"/>
        </w:rPr>
        <w:t>The configuration satisfies the zero-bill condition of Section 2.6 in its primary propulsor, and re-opens one of the three bills in its attitude system.</w:t>
      </w:r>
      <w:r>
        <w:rPr>
          <w:rFonts w:ascii="Palatino Linotype" w:hAnsi="Palatino Linotype" w:eastAsia="Palatino Linotype"/>
          <w:b w:val="0"/>
          <w:i w:val="0"/>
          <w:sz w:val="20"/>
        </w:rPr>
        <w:t xml:space="preserve"> The distinction matters enough to state here rather than to leave to Section 3: the single coaxial nose pair meets all four conditions — same hardware, same orientation, same job, hover peak from a buffer — and it is that pair which carries the aircraft. The four attitude pairs do not. They are exposed in the cruise flow, they cannot be feathered, and Section 3.3 computes the drag they cost. </w:t>
      </w:r>
      <w:r>
        <w:rPr>
          <w:rFonts w:ascii="Palatino Linotype" w:hAnsi="Palatino Linotype" w:eastAsia="Palatino Linotype"/>
          <w:b/>
          <w:i w:val="0"/>
          <w:sz w:val="20"/>
        </w:rPr>
        <w:t>The instantiation is therefore partial, and reporting what the partial part costs is a substantial share of what Section 3 does.</w:t>
      </w:r>
      <w:r>
        <w:rPr>
          <w:rFonts w:ascii="Palatino Linotype" w:hAnsi="Palatino Linotype" w:eastAsia="Palatino Linotype"/>
          <w:b w:val="0"/>
          <w:i w:val="0"/>
          <w:sz w:val="20"/>
        </w:rPr>
        <w:t xml:space="preserve"> What follows is the configuration that makes the primary pair possible. The aircraft stands on its tail. Its entire airframe is a blended-wing body: there is no cylindrical fuselage, and every part of the planform carries payload and produces lift. A single coaxial counter-rotating propeller pair at the nose produces all propulsive thrust, in hover and in cruise alike, without changing its orientation relative to the airframe. Four small coaxial pairs, mounted on rigid frames at the wing tips, produce attitude control and, at take-off, the thrust margin the nose pair does not have — Section 3.15 works out why, and it is the one place this configuration asks a component to do a second job it was not sized for. The energy system is a series hybrid: fuel drives an internal-combustion engine, the engine drives a generator, and the generator supplies electric machines at the rotors.</w:t>
      </w:r>
    </w:p>
    <w:p>
      <w:pPr>
        <w:spacing w:before="0" w:after="80" w:line="240" w:lineRule="auto"/>
        <w:jc w:val="both"/>
      </w:pPr>
      <w:r>
        <w:rPr>
          <w:rFonts w:ascii="Palatino Linotype" w:hAnsi="Palatino Linotype" w:eastAsia="Palatino Linotype"/>
          <w:b w:val="0"/>
          <w:i w:val="0"/>
          <w:sz w:val="20"/>
        </w:rPr>
        <w:t xml:space="preserve">The aircraft has no elevons, no rudder, no tilting mechanism, no retraction mechanism and no dedicated lift system. </w:t>
      </w:r>
      <w:r>
        <w:rPr>
          <w:rFonts w:ascii="Palatino Linotype" w:hAnsi="Palatino Linotype" w:eastAsia="Palatino Linotype"/>
          <w:b/>
          <w:i w:val="0"/>
          <w:sz w:val="20"/>
        </w:rPr>
        <w:t>That last phrase needs one qualification, made here so that it is not mistaken for a stronger claim later.</w:t>
      </w:r>
      <w:r>
        <w:rPr>
          <w:rFonts w:ascii="Palatino Linotype" w:hAnsi="Palatino Linotype" w:eastAsia="Palatino Linotype"/>
          <w:b w:val="0"/>
          <w:i w:val="0"/>
          <w:sz w:val="20"/>
        </w:rPr>
        <w:t xml:space="preserve"> The four tip pairs exist to produce moments, and their thrust is sized by that duty; but the primary propulsor is sized at thrust equal to weight exactly, so the margin that actually lifts the aircraft off the ground comes from those four pairs. They are not a lift system — they are not sized for lift, they do not carry the aircraft in hover, and they are absent from the hover power budget as a lift term — but the configuration does depend on their surplus for take-off, and Section 4.4 treats that dependence as a limitation rather than a feature. The only moving aerodynamic device is a variable-extension strip on the lower surface, described in Section 2.10, which exists solely because roll cannot be produced by propellers alone. Figure 5 gives three orthogonal views of the light reference design and Figure 6 a general view of the same geometry.</w:t>
      </w:r>
    </w:p>
    <w:p>
      <w:pPr>
        <w:spacing w:after="40"/>
        <w:jc w:val="center"/>
        <w:keepNext/>
      </w:pPr>
      <w:r>
        <w:drawing>
          <wp:inline xmlns:a="http://schemas.openxmlformats.org/drawingml/2006/main" xmlns:pic="http://schemas.openxmlformats.org/drawingml/2006/picture">
            <wp:extent cx="5400000" cy="4624055"/>
            <wp:docPr id="5" name="Picture 5"/>
            <wp:cNvGraphicFramePr>
              <a:graphicFrameLocks noChangeAspect="1"/>
            </wp:cNvGraphicFramePr>
            <a:graphic>
              <a:graphicData uri="http://schemas.openxmlformats.org/drawingml/2006/picture">
                <pic:pic>
                  <pic:nvPicPr>
                    <pic:cNvPr id="0" name="sekil05-uc-gorunus.png"/>
                    <pic:cNvPicPr/>
                  </pic:nvPicPr>
                  <pic:blipFill>
                    <a:blip r:embed="rId13"/>
                    <a:stretch>
                      <a:fillRect/>
                    </a:stretch>
                  </pic:blipFill>
                  <pic:spPr>
                    <a:xfrm>
                      <a:off x="0" y="0"/>
                      <a:ext cx="5400000" cy="4624055"/>
                    </a:xfrm>
                    <a:prstGeom prst="rect"/>
                  </pic:spPr>
                </pic:pic>
              </a:graphicData>
            </a:graphic>
          </wp:inline>
        </w:drawing>
      </w:r>
    </w:p>
    <w:p>
      <w:pPr>
        <w:spacing w:after="160"/>
        <w:jc w:val="both"/>
      </w:pPr>
      <w:r>
        <w:rPr>
          <w:rFonts w:ascii="Palatino Linotype" w:hAnsi="Palatino Linotype" w:eastAsia="Palatino Linotype"/>
          <w:b/>
          <w:i w:val="0"/>
          <w:sz w:val="18"/>
        </w:rPr>
        <w:t xml:space="preserve">Figure 5. </w:t>
      </w:r>
      <w:r>
        <w:rPr>
          <w:rFonts w:ascii="Palatino Linotype" w:hAnsi="Palatino Linotype" w:eastAsia="Palatino Linotype"/>
          <w:b w:val="0"/>
          <w:i w:val="0"/>
          <w:sz w:val="18"/>
        </w:rPr>
        <w:t>The light reference design, 50 kg, in three orthogonal views: (a) planform, (b) front view, (c) side view showing the aerofoil section and the tip frames. Rendered from the parametric geometry model; the scale bar applies to all three views.</w:t>
      </w:r>
    </w:p>
    <w:p>
      <w:pPr>
        <w:spacing w:after="40"/>
        <w:jc w:val="center"/>
        <w:keepNext/>
      </w:pPr>
      <w:r>
        <w:drawing>
          <wp:inline xmlns:a="http://schemas.openxmlformats.org/drawingml/2006/main" xmlns:pic="http://schemas.openxmlformats.org/drawingml/2006/picture">
            <wp:extent cx="5400000" cy="4220228"/>
            <wp:docPr id="6" name="Picture 6"/>
            <wp:cNvGraphicFramePr>
              <a:graphicFrameLocks noChangeAspect="1"/>
            </wp:cNvGraphicFramePr>
            <a:graphic>
              <a:graphicData uri="http://schemas.openxmlformats.org/drawingml/2006/picture">
                <pic:pic>
                  <pic:nvPicPr>
                    <pic:cNvPr id="0" name="sekil06-serbest-gorunus.png"/>
                    <pic:cNvPicPr/>
                  </pic:nvPicPr>
                  <pic:blipFill>
                    <a:blip r:embed="rId14"/>
                    <a:stretch>
                      <a:fillRect/>
                    </a:stretch>
                  </pic:blipFill>
                  <pic:spPr>
                    <a:xfrm>
                      <a:off x="0" y="0"/>
                      <a:ext cx="5400000" cy="4220228"/>
                    </a:xfrm>
                    <a:prstGeom prst="rect"/>
                  </pic:spPr>
                </pic:pic>
              </a:graphicData>
            </a:graphic>
          </wp:inline>
        </w:drawing>
      </w:r>
    </w:p>
    <w:p>
      <w:pPr>
        <w:spacing w:after="160"/>
        <w:jc w:val="both"/>
      </w:pPr>
      <w:r>
        <w:rPr>
          <w:rFonts w:ascii="Palatino Linotype" w:hAnsi="Palatino Linotype" w:eastAsia="Palatino Linotype"/>
          <w:b/>
          <w:i w:val="0"/>
          <w:sz w:val="18"/>
        </w:rPr>
        <w:t xml:space="preserve">Figure 6. </w:t>
      </w:r>
      <w:r>
        <w:rPr>
          <w:rFonts w:ascii="Palatino Linotype" w:hAnsi="Palatino Linotype" w:eastAsia="Palatino Linotype"/>
          <w:b w:val="0"/>
          <w:i w:val="0"/>
          <w:sz w:val="18"/>
        </w:rPr>
        <w:t>General view of the same geometry. The single coaxial pair at the nose, the four small coaxial pairs at the ends of the tip frames, and the absence of any control surface are all visible.</w:t>
      </w:r>
    </w:p>
    <w:p>
      <w:pPr>
        <w:spacing w:before="200" w:after="80"/>
      </w:pPr>
      <w:r>
        <w:rPr>
          <w:rFonts w:ascii="Palatino Linotype" w:hAnsi="Palatino Linotype" w:eastAsia="Palatino Linotype"/>
          <w:b/>
          <w:i w:val="0"/>
          <w:sz w:val="22"/>
        </w:rPr>
        <w:t>2.8 Planform</w:t>
      </w:r>
    </w:p>
    <w:p>
      <w:pPr>
        <w:spacing w:before="0" w:after="80" w:line="240" w:lineRule="auto"/>
        <w:jc w:val="both"/>
      </w:pPr>
      <w:r>
        <w:rPr>
          <w:rFonts w:ascii="Palatino Linotype" w:hAnsi="Palatino Linotype" w:eastAsia="Palatino Linotype"/>
          <w:b w:val="0"/>
          <w:i w:val="0"/>
          <w:sz w:val="20"/>
        </w:rPr>
        <w:t xml:space="preserve">The planform is a blended-wing body whose leading-edge sweep varies continuously along the span while the trailing edge is held constant. The sweep law is linear in span from 45° at the root towards 35° at the station where leading and trailing edges would converge; the wing is cropped at 67 % of that station, so the realised sweep runs from </w:t>
      </w:r>
      <w:r>
        <w:rPr>
          <w:rFonts w:ascii="Palatino Linotype" w:hAnsi="Palatino Linotype" w:eastAsia="Palatino Linotype"/>
          <w:b/>
          <w:i w:val="0"/>
          <w:sz w:val="20"/>
        </w:rPr>
        <w:t>45° at the root to 38.3° at the tip</w:t>
      </w:r>
      <w:r>
        <w:rPr>
          <w:rFonts w:ascii="Palatino Linotype" w:hAnsi="Palatino Linotype" w:eastAsia="Palatino Linotype"/>
          <w:b w:val="0"/>
          <w:i w:val="0"/>
          <w:sz w:val="20"/>
        </w:rPr>
        <w:t xml:space="preserve">, with the trailing edge constant at </w:t>
      </w:r>
      <w:r>
        <w:rPr>
          <w:rFonts w:ascii="Palatino Linotype" w:hAnsi="Palatino Linotype" w:eastAsia="Palatino Linotype"/>
          <w:b/>
          <w:i w:val="0"/>
          <w:sz w:val="20"/>
        </w:rPr>
        <w:t>25°</w:t>
      </w:r>
      <w:r>
        <w:rPr>
          <w:rFonts w:ascii="Palatino Linotype" w:hAnsi="Palatino Linotype" w:eastAsia="Palatino Linotype"/>
          <w:b w:val="0"/>
          <w:i w:val="0"/>
          <w:sz w:val="20"/>
        </w:rPr>
        <w:t xml:space="preserve">. Thickness runs from 25 % of chord at the root to 12 % at the tip and the chord from 0.970 m to 0.236 m, a taper ratio of 0.244 — one distribution rather than four independent ones. </w:t>
      </w:r>
      <w:r>
        <w:rPr>
          <w:rFonts w:ascii="Palatino Linotype" w:hAnsi="Palatino Linotype" w:eastAsia="Palatino Linotype"/>
          <w:b/>
          <w:i w:val="0"/>
          <w:sz w:val="20"/>
        </w:rPr>
        <w:t>The realised sweep variation is therefore modest, under seven degrees</w:t>
      </w:r>
      <w:r>
        <w:rPr>
          <w:rFonts w:ascii="Palatino Linotype" w:hAnsi="Palatino Linotype" w:eastAsia="Palatino Linotype"/>
          <w:b w:val="0"/>
          <w:i w:val="0"/>
          <w:sz w:val="20"/>
        </w:rPr>
        <w:t>, and the crescent character comes from the curvature of the leading edge and the divergence between the two edge angles rather than from a large change in sweep. These values were chosen, not derived: the 20°–40° band they started from was reported favourable in the transonic-transport literature the crescent-wing idea comes from, and this aircraft is subsonic, so that band does not transfer on its own authority. Section 4 lists it among the limitations.</w:t>
      </w:r>
    </w:p>
    <w:p>
      <w:pPr>
        <w:spacing w:before="0" w:after="80" w:line="240" w:lineRule="auto"/>
        <w:jc w:val="both"/>
      </w:pPr>
      <w:r>
        <w:rPr>
          <w:rFonts w:ascii="Palatino Linotype" w:hAnsi="Palatino Linotype" w:eastAsia="Palatino Linotype"/>
          <w:b/>
          <w:i w:val="0"/>
          <w:sz w:val="20"/>
        </w:rPr>
        <w:t>Sweep does two jobs here, and the second is why it is not a free parameter.</w:t>
      </w:r>
      <w:r>
        <w:rPr>
          <w:rFonts w:ascii="Palatino Linotype" w:hAnsi="Palatino Linotype" w:eastAsia="Palatino Linotype"/>
          <w:b w:val="0"/>
          <w:i w:val="0"/>
          <w:sz w:val="20"/>
        </w:rPr>
        <w:t xml:space="preserve"> The aircraft is tailless: with no horizontal stabiliser on a boom, the pitching moment must be generated by the distribution of lift along the body itself, and sweep is what places the outboard sections behind the centre of gravity so that they can do it. </w:t>
      </w:r>
      <w:r>
        <w:rPr>
          <w:rFonts w:ascii="Palatino Linotype" w:hAnsi="Palatino Linotype" w:eastAsia="Palatino Linotype"/>
          <w:b/>
          <w:i w:val="0"/>
          <w:sz w:val="20"/>
        </w:rPr>
        <w:t>The sweep angle and the longitudinal stability are the same design variable seen from two directions.</w:t>
      </w:r>
      <w:r>
        <w:rPr>
          <w:rFonts w:ascii="Palatino Linotype" w:hAnsi="Palatino Linotype" w:eastAsia="Palatino Linotype"/>
          <w:b w:val="0"/>
          <w:i w:val="0"/>
          <w:sz w:val="20"/>
        </w:rPr>
        <w:t xml:space="preserve"> Decreasing sweep outboard also keeps the tips from stalling first, which matters more than usual on a tailless aircraft because a tip stall on a swept planform moves the centre of pressure forward and pitches the aircraft further in, with no tail to argue with.</w:t>
      </w:r>
    </w:p>
    <w:p>
      <w:pPr>
        <w:spacing w:before="0" w:after="80" w:line="240" w:lineRule="auto"/>
        <w:jc w:val="both"/>
      </w:pPr>
      <w:r>
        <w:rPr>
          <w:rFonts w:ascii="Palatino Linotype" w:hAnsi="Palatino Linotype" w:eastAsia="Palatino Linotype"/>
          <w:b w:val="0"/>
          <w:i w:val="0"/>
          <w:sz w:val="20"/>
        </w:rPr>
        <w:t>The reference geometry for the light design is a root chord of 0.970 m, a tip chord of 0.236 m, a span of 3.453 m, a wing area of 1.979 m² and an aspect ratio of 6.03, giving a wing loading of 25.3 kg m⁻² and a stall speed of 20.1 m s⁻¹ against a cruise speed of 30 m s⁻¹. Figure 7 gives the distributions.</w:t>
      </w:r>
    </w:p>
    <w:p>
      <w:pPr>
        <w:spacing w:after="40"/>
        <w:jc w:val="center"/>
        <w:keepNext/>
      </w:pPr>
      <w:r>
        <w:drawing>
          <wp:inline xmlns:a="http://schemas.openxmlformats.org/drawingml/2006/main" xmlns:pic="http://schemas.openxmlformats.org/drawingml/2006/picture">
            <wp:extent cx="5400000" cy="1936957"/>
            <wp:docPr id="7" name="Picture 7"/>
            <wp:cNvGraphicFramePr>
              <a:graphicFrameLocks noChangeAspect="1"/>
            </wp:cNvGraphicFramePr>
            <a:graphic>
              <a:graphicData uri="http://schemas.openxmlformats.org/drawingml/2006/picture">
                <pic:pic>
                  <pic:nvPicPr>
                    <pic:cNvPr id="0" name="sekil07-dagilimlar.png"/>
                    <pic:cNvPicPr/>
                  </pic:nvPicPr>
                  <pic:blipFill>
                    <a:blip r:embed="rId15"/>
                    <a:stretch>
                      <a:fillRect/>
                    </a:stretch>
                  </pic:blipFill>
                  <pic:spPr>
                    <a:xfrm>
                      <a:off x="0" y="0"/>
                      <a:ext cx="5400000" cy="1936957"/>
                    </a:xfrm>
                    <a:prstGeom prst="rect"/>
                  </pic:spPr>
                </pic:pic>
              </a:graphicData>
            </a:graphic>
          </wp:inline>
        </w:drawing>
      </w:r>
    </w:p>
    <w:p>
      <w:pPr>
        <w:spacing w:after="160"/>
        <w:jc w:val="both"/>
      </w:pPr>
      <w:r>
        <w:rPr>
          <w:rFonts w:ascii="Palatino Linotype" w:hAnsi="Palatino Linotype" w:eastAsia="Palatino Linotype"/>
          <w:b/>
          <w:i w:val="0"/>
          <w:sz w:val="18"/>
        </w:rPr>
        <w:t xml:space="preserve">Figure 7. </w:t>
      </w:r>
      <w:r>
        <w:rPr>
          <w:rFonts w:ascii="Palatino Linotype" w:hAnsi="Palatino Linotype" w:eastAsia="Palatino Linotype"/>
          <w:b w:val="0"/>
          <w:i w:val="0"/>
          <w:sz w:val="18"/>
        </w:rPr>
        <w:t>Spanwise distributions of the planform. (a) Leading-edge sweep falls from 45° at the root to 38.3° at the crop station while the trailing edge is held constant at 25°; (b) thickness-to-chord ratio; (c) chord. These are one coupled distribution rather than three independent choices.</w:t>
      </w:r>
    </w:p>
    <w:p>
      <w:pPr>
        <w:spacing w:before="200" w:after="80"/>
      </w:pPr>
      <w:r>
        <w:rPr>
          <w:rFonts w:ascii="Palatino Linotype" w:hAnsi="Palatino Linotype" w:eastAsia="Palatino Linotype"/>
          <w:b/>
          <w:i w:val="0"/>
          <w:sz w:val="22"/>
        </w:rPr>
        <w:t>2.9 Propulsion</w:t>
      </w:r>
    </w:p>
    <w:p>
      <w:pPr>
        <w:spacing w:before="0" w:after="80" w:line="240" w:lineRule="auto"/>
        <w:jc w:val="both"/>
      </w:pPr>
      <w:r>
        <w:rPr>
          <w:rFonts w:ascii="Palatino Linotype" w:hAnsi="Palatino Linotype" w:eastAsia="Palatino Linotype"/>
          <w:b w:val="0"/>
          <w:i w:val="0"/>
          <w:sz w:val="20"/>
        </w:rPr>
        <w:t xml:space="preserve">Every propeller is a coaxial counter-rotating pair, for one reason worth stating narrowly: </w:t>
      </w:r>
      <w:r>
        <w:rPr>
          <w:rFonts w:ascii="Palatino Linotype" w:hAnsi="Palatino Linotype" w:eastAsia="Palatino Linotype"/>
          <w:b/>
          <w:i w:val="0"/>
          <w:sz w:val="20"/>
        </w:rPr>
        <w:t>reaction torque.</w:t>
      </w:r>
      <w:r>
        <w:rPr>
          <w:rFonts w:ascii="Palatino Linotype" w:hAnsi="Palatino Linotype" w:eastAsia="Palatino Linotype"/>
          <w:b w:val="0"/>
          <w:i w:val="0"/>
          <w:sz w:val="20"/>
        </w:rPr>
        <w:t xml:space="preserve"> A single propeller applies to the airframe a torque equal and opposite to the one it applies to the air, acting about the yaw axis in hover and the roll axis in cruise, and it must be opposed continuously — by a control surface, which costs drag, or by differential thrust, which costs a control channel. A counter-rotating pair does not produce it.</w:t>
      </w:r>
    </w:p>
    <w:p>
      <w:pPr>
        <w:spacing w:before="0" w:after="80" w:line="240" w:lineRule="auto"/>
        <w:jc w:val="both"/>
      </w:pPr>
      <w:r>
        <w:rPr>
          <w:rFonts w:ascii="Palatino Linotype" w:hAnsi="Palatino Linotype" w:eastAsia="Palatino Linotype"/>
          <w:b w:val="0"/>
          <w:i w:val="0"/>
          <w:sz w:val="20"/>
        </w:rPr>
        <w:t xml:space="preserve">The pairs are of fixed geometry: no cyclic pitch, no collective, no variable mechanism. </w:t>
      </w:r>
      <w:r>
        <w:rPr>
          <w:rFonts w:ascii="Palatino Linotype" w:hAnsi="Palatino Linotype" w:eastAsia="Palatino Linotype"/>
          <w:b/>
          <w:i w:val="0"/>
          <w:sz w:val="20"/>
        </w:rPr>
        <w:t>This has a consequence for the tip pairs in cruise that Section 3.3 works out</w:t>
      </w:r>
      <w:r>
        <w:rPr>
          <w:rFonts w:ascii="Palatino Linotype" w:hAnsi="Palatino Linotype" w:eastAsia="Palatino Linotype"/>
          <w:b w:val="0"/>
          <w:i w:val="0"/>
          <w:sz w:val="20"/>
        </w:rPr>
        <w:t xml:space="preserve"> — unable to feather, they must either turn at the zero-shaft-torque condition or be stopped, and the difference between those two states is a substantial fraction of the aircraft's zero-lift drag; Section 3.3 computes both ends of it rather than assuming the lower one. The torque balance is exact at cruise rather than hover, so a small residual remains in hover.</w:t>
      </w:r>
    </w:p>
    <w:p>
      <w:pPr>
        <w:spacing w:before="0" w:after="80" w:line="240" w:lineRule="auto"/>
        <w:jc w:val="both"/>
      </w:pPr>
      <w:r>
        <w:rPr>
          <w:rFonts w:ascii="Palatino Linotype" w:hAnsi="Palatino Linotype" w:eastAsia="Palatino Linotype"/>
          <w:b w:val="0"/>
          <w:i w:val="0"/>
          <w:sz w:val="20"/>
        </w:rPr>
        <w:t xml:space="preserve">The arrangement has a second consequence the transition analysis depends on. Because the two rotors of each pair carry equal and opposite angular momentum, </w:t>
      </w:r>
      <w:r>
        <w:rPr>
          <w:rFonts w:ascii="Palatino Linotype" w:hAnsi="Palatino Linotype" w:eastAsia="Palatino Linotype"/>
          <w:b/>
          <w:i w:val="0"/>
          <w:sz w:val="20"/>
        </w:rPr>
        <w:t>the net angular momentum of the propulsion system is nominally zero</w:t>
      </w:r>
      <w:r>
        <w:rPr>
          <w:rFonts w:ascii="Palatino Linotype" w:hAnsi="Palatino Linotype" w:eastAsia="Palatino Linotype"/>
          <w:b w:val="0"/>
          <w:i w:val="0"/>
          <w:sz w:val="20"/>
        </w:rPr>
        <w:t>: rotating the airframe through ninety degrees precesses nothing, and no gyroscopic moment appears for the control system to cancel. In a tilting architecture that term is present and must be designed for; here it is absent by construction.</w:t>
      </w:r>
    </w:p>
    <w:p>
      <w:pPr>
        <w:spacing w:before="0" w:after="80" w:line="240" w:lineRule="auto"/>
        <w:jc w:val="both"/>
      </w:pPr>
      <w:r>
        <w:rPr>
          <w:rFonts w:ascii="Palatino Linotype" w:hAnsi="Palatino Linotype" w:eastAsia="Palatino Linotype"/>
          <w:b w:val="0"/>
          <w:i w:val="0"/>
          <w:sz w:val="20"/>
        </w:rPr>
        <w:t>Crucially, the pair is never a contra-rotating gearbox. Each rotor is driven by its own electric machine on a common axis, so the mechanism that repeatedly defeated the XB-35 — concentric shafts, a splitting gearbox, and the governors that synchronise them — is never built.</w:t>
      </w:r>
    </w:p>
    <w:p>
      <w:pPr>
        <w:spacing w:before="0" w:after="80" w:line="240" w:lineRule="auto"/>
        <w:jc w:val="both"/>
      </w:pPr>
      <w:r>
        <w:rPr>
          <w:rFonts w:ascii="Palatino Linotype" w:hAnsi="Palatino Linotype" w:eastAsia="Palatino Linotype"/>
          <w:b w:val="0"/>
          <w:i w:val="0"/>
          <w:sz w:val="20"/>
        </w:rPr>
        <w:t xml:space="preserve">The energy path is a series hybrid: fuel → engine → generator → electric machines. The engine is not mechanically connected to any rotor; it is an energy source, and that decoupling is what allows it to be sized for cruise rather than hover. For the light design the continuous cruise requirement is 1.9 kW at the engine shaft and the engine is sized at 2.6 kW, while the hover requirement is 10.9 kW at the rotor; the difference is supplied for the vertical phase by a </w:t>
      </w:r>
      <w:r>
        <w:rPr>
          <w:rFonts w:ascii="Palatino Linotype" w:hAnsi="Palatino Linotype" w:eastAsia="Palatino Linotype"/>
          <w:b/>
          <w:i w:val="0"/>
          <w:sz w:val="20"/>
        </w:rPr>
        <w:t>1.8 kg battery buffer, 3.6 percent of take-off mass</w:t>
      </w:r>
      <w:r>
        <w:rPr>
          <w:rFonts w:ascii="Palatino Linotype" w:hAnsi="Palatino Linotype" w:eastAsia="Palatino Linotype"/>
          <w:b w:val="0"/>
          <w:i w:val="0"/>
          <w:sz w:val="20"/>
        </w:rPr>
        <w:t>. That is the mechanism that releases the engine from the hover condition — Bill 3 as Section 2 defines it. The electrical path is not released, and Section 3.4 says so.</w:t>
      </w:r>
    </w:p>
    <w:p>
      <w:pPr>
        <w:spacing w:before="200" w:after="80"/>
      </w:pPr>
      <w:r>
        <w:rPr>
          <w:rFonts w:ascii="Palatino Linotype" w:hAnsi="Palatino Linotype" w:eastAsia="Palatino Linotype"/>
          <w:b/>
          <w:i w:val="0"/>
          <w:sz w:val="22"/>
        </w:rPr>
        <w:t>2.10 Control without control surfaces</w:t>
      </w:r>
    </w:p>
    <w:p>
      <w:pPr>
        <w:spacing w:before="0" w:after="80" w:line="240" w:lineRule="auto"/>
        <w:jc w:val="both"/>
      </w:pPr>
      <w:r>
        <w:rPr>
          <w:rFonts w:ascii="Palatino Linotype" w:hAnsi="Palatino Linotype" w:eastAsia="Palatino Linotype"/>
          <w:b w:val="0"/>
          <w:i w:val="0"/>
          <w:sz w:val="20"/>
        </w:rPr>
        <w:t>The nose pair produces thrust; the four tip pairs produce moments. They are not lift rotors and are not sized to hover the aircraft — in the vertical phase they carry under fifteen percent of total power. Each tip pair on the light design is 0.20 m in diameter and produces 16.2 N during the transition manoeuvre, drawing 335 W, 1.34 kW across the four. The principle is not new: a survey of tail-sitter development identifies adding propellers away from the axis as a way to generate transition pitching moment, and a flight-tested quad tail-sitter uses exactly this arrangement [30]. The full derivations for all three axes are in Supplementary S3; what follows is the result in each.</w:t>
      </w:r>
    </w:p>
    <w:p>
      <w:pPr>
        <w:spacing w:before="0" w:after="80" w:line="240" w:lineRule="auto"/>
        <w:jc w:val="both"/>
      </w:pPr>
      <w:r>
        <w:rPr>
          <w:rFonts w:ascii="Palatino Linotype" w:hAnsi="Palatino Linotype" w:eastAsia="Palatino Linotype"/>
          <w:b/>
          <w:i w:val="0"/>
          <w:sz w:val="20"/>
        </w:rPr>
        <w:t>Pitch and yaw are produced by differential thrust, and the yaw arm is the larger.</w:t>
      </w:r>
      <w:r>
        <w:rPr>
          <w:rFonts w:ascii="Palatino Linotype" w:hAnsi="Palatino Linotype" w:eastAsia="Palatino Linotype"/>
          <w:b w:val="0"/>
          <w:i w:val="0"/>
          <w:sz w:val="20"/>
        </w:rPr>
        <w:t xml:space="preserve"> The tip frames extend ±0.71 m perpendicular to the planform, so a differential between the upper and lower pairs acts at 0.71 m in pitch, while a differential between the left and right pairs acts at the </w:t>
      </w:r>
      <w:r>
        <w:rPr>
          <w:rFonts w:ascii="Palatino Linotype" w:hAnsi="Palatino Linotype" w:eastAsia="Palatino Linotype"/>
          <w:b/>
          <w:i w:val="0"/>
          <w:sz w:val="20"/>
        </w:rPr>
        <w:t>semi-span, 1.726 m — 2.43 times the pitch arm</w:t>
      </w:r>
      <w:r>
        <w:rPr>
          <w:rFonts w:ascii="Palatino Linotype" w:hAnsi="Palatino Linotype" w:eastAsia="Palatino Linotype"/>
          <w:b w:val="0"/>
          <w:i w:val="0"/>
          <w:sz w:val="20"/>
        </w:rPr>
        <w:t>. Yaw is therefore the strongest axis on this aircraft, which is the reverse of the usual situation and is a free consequence of the tip-propeller layout rather than a design choice. Figure 8 shows the placement and the two arms, and shows why the third axis has neither: every thrust vector is parallel to the body axis, so no combination of settings produces a rolling moment.</w:t>
      </w:r>
    </w:p>
    <w:p>
      <w:pPr>
        <w:spacing w:after="40"/>
        <w:jc w:val="center"/>
        <w:keepNext/>
      </w:pPr>
      <w:r>
        <w:drawing>
          <wp:inline xmlns:a="http://schemas.openxmlformats.org/drawingml/2006/main" xmlns:pic="http://schemas.openxmlformats.org/drawingml/2006/picture">
            <wp:extent cx="5400000" cy="4633124"/>
            <wp:docPr id="8" name="Picture 8"/>
            <wp:cNvGraphicFramePr>
              <a:graphicFrameLocks noChangeAspect="1"/>
            </wp:cNvGraphicFramePr>
            <a:graphic>
              <a:graphicData uri="http://schemas.openxmlformats.org/drawingml/2006/picture">
                <pic:pic>
                  <pic:nvPicPr>
                    <pic:cNvPr id="0" name="sekil08-moment-kollari.png"/>
                    <pic:cNvPicPr/>
                  </pic:nvPicPr>
                  <pic:blipFill>
                    <a:blip r:embed="rId16"/>
                    <a:stretch>
                      <a:fillRect/>
                    </a:stretch>
                  </pic:blipFill>
                  <pic:spPr>
                    <a:xfrm>
                      <a:off x="0" y="0"/>
                      <a:ext cx="5400000" cy="4633124"/>
                    </a:xfrm>
                    <a:prstGeom prst="rect"/>
                  </pic:spPr>
                </pic:pic>
              </a:graphicData>
            </a:graphic>
          </wp:inline>
        </w:drawing>
      </w:r>
    </w:p>
    <w:p>
      <w:pPr>
        <w:spacing w:after="160"/>
        <w:jc w:val="both"/>
      </w:pPr>
      <w:r>
        <w:rPr>
          <w:rFonts w:ascii="Palatino Linotype" w:hAnsi="Palatino Linotype" w:eastAsia="Palatino Linotype"/>
          <w:b/>
          <w:i w:val="0"/>
          <w:sz w:val="18"/>
        </w:rPr>
        <w:t xml:space="preserve">Figure 8. </w:t>
      </w:r>
      <w:r>
        <w:rPr>
          <w:rFonts w:ascii="Palatino Linotype" w:hAnsi="Palatino Linotype" w:eastAsia="Palatino Linotype"/>
          <w:b w:val="0"/>
          <w:i w:val="0"/>
          <w:sz w:val="18"/>
        </w:rPr>
        <w:t>Propeller placement and moment arms, front view. Every thrust vector is parallel to the body x axis. Pitch and yaw follow directly from differential thrust; the rolling moment is identically zero at every thrust setting, which is the gap the strip of Figure 9 exists to close.</w:t>
      </w:r>
    </w:p>
    <w:p>
      <w:pPr>
        <w:spacing w:before="0" w:after="80" w:line="240" w:lineRule="auto"/>
        <w:jc w:val="both"/>
      </w:pPr>
      <w:r>
        <w:rPr>
          <w:rFonts w:ascii="Palatino Linotype" w:hAnsi="Palatino Linotype" w:eastAsia="Palatino Linotype"/>
          <w:b/>
          <w:i w:val="0"/>
          <w:sz w:val="20"/>
        </w:rPr>
        <w:t>Roll cannot be produced by propellers at all</w:t>
      </w:r>
      <w:r>
        <w:rPr>
          <w:rFonts w:ascii="Palatino Linotype" w:hAnsi="Palatino Linotype" w:eastAsia="Palatino Linotype"/>
          <w:b w:val="0"/>
          <w:i w:val="0"/>
          <w:sz w:val="20"/>
        </w:rPr>
        <w:t xml:space="preserve">, because every pair is coaxial and torque-balanced by construction. It is the one axis that needs an aerodynamic device, and that device is the only moving aerodynamic surface on the aircraft: a strip on the lower surface, inclined at 45° in planform, running 120 % of root chord and reaching 67 % of semi-span, standing 2 cm proud at its inboard end and 6 cm at its outboard end. </w:t>
      </w:r>
      <w:r>
        <w:rPr>
          <w:rFonts w:ascii="Palatino Linotype" w:hAnsi="Palatino Linotype" w:eastAsia="Palatino Linotype"/>
          <w:b/>
          <w:i w:val="0"/>
          <w:sz w:val="20"/>
        </w:rPr>
        <w:t>Extension is the control variable</w:t>
      </w:r>
      <w:r>
        <w:rPr>
          <w:rFonts w:ascii="Palatino Linotype" w:hAnsi="Palatino Linotype" w:eastAsia="Palatino Linotype"/>
          <w:b w:val="0"/>
          <w:i w:val="0"/>
          <w:sz w:val="20"/>
        </w:rPr>
        <w:t xml:space="preserve"> — the strip is modulated, not switched. Figure 9 shows it against the nose propeller's slipstream: the inboard 46 percent of its length lies inside the slipstream, where dynamic pressure is set by disc loading and is therefore available at zero airspeed, and the outboard 54 percent works against the freestream in cruise. That split is why one device serves both regimes.</w:t>
      </w:r>
    </w:p>
    <w:p>
      <w:pPr>
        <w:spacing w:after="40"/>
        <w:jc w:val="center"/>
        <w:keepNext/>
      </w:pPr>
      <w:r>
        <w:drawing>
          <wp:inline xmlns:a="http://schemas.openxmlformats.org/drawingml/2006/main" xmlns:pic="http://schemas.openxmlformats.org/drawingml/2006/picture">
            <wp:extent cx="5400000" cy="4450923"/>
            <wp:docPr id="9" name="Picture 9"/>
            <wp:cNvGraphicFramePr>
              <a:graphicFrameLocks noChangeAspect="1"/>
            </wp:cNvGraphicFramePr>
            <a:graphic>
              <a:graphicData uri="http://schemas.openxmlformats.org/drawingml/2006/picture">
                <pic:pic>
                  <pic:nvPicPr>
                    <pic:cNvPr id="0" name="sekil09-kanatcik-iz.png"/>
                    <pic:cNvPicPr/>
                  </pic:nvPicPr>
                  <pic:blipFill>
                    <a:blip r:embed="rId17"/>
                    <a:stretch>
                      <a:fillRect/>
                    </a:stretch>
                  </pic:blipFill>
                  <pic:spPr>
                    <a:xfrm>
                      <a:off x="0" y="0"/>
                      <a:ext cx="5400000" cy="4450923"/>
                    </a:xfrm>
                    <a:prstGeom prst="rect"/>
                  </pic:spPr>
                </pic:pic>
              </a:graphicData>
            </a:graphic>
          </wp:inline>
        </w:drawing>
      </w:r>
    </w:p>
    <w:p>
      <w:pPr>
        <w:spacing w:after="160"/>
        <w:jc w:val="both"/>
      </w:pPr>
      <w:r>
        <w:rPr>
          <w:rFonts w:ascii="Palatino Linotype" w:hAnsi="Palatino Linotype" w:eastAsia="Palatino Linotype"/>
          <w:b/>
          <w:i w:val="0"/>
          <w:sz w:val="18"/>
        </w:rPr>
        <w:t xml:space="preserve">Figure 9. </w:t>
      </w:r>
      <w:r>
        <w:rPr>
          <w:rFonts w:ascii="Palatino Linotype" w:hAnsi="Palatino Linotype" w:eastAsia="Palatino Linotype"/>
          <w:b w:val="0"/>
          <w:i w:val="0"/>
          <w:sz w:val="18"/>
        </w:rPr>
        <w:t>The roll strip against the main-propeller slipstream, viewed from below. The inboard 46 % of the strip lies inside the slipstream, where the dynamic pressure is set by disc loading and is therefore available at zero airspeed; the outboard 54 % lies outside it and works against the freestream in cruise.</w:t>
      </w:r>
    </w:p>
    <w:p>
      <w:pPr>
        <w:spacing w:before="0" w:after="80" w:line="240" w:lineRule="auto"/>
        <w:jc w:val="both"/>
      </w:pPr>
      <w:r>
        <w:rPr>
          <w:rFonts w:ascii="Palatino Linotype" w:hAnsi="Palatino Linotype" w:eastAsia="Palatino Linotype"/>
          <w:b w:val="0"/>
          <w:i w:val="0"/>
          <w:sz w:val="20"/>
        </w:rPr>
        <w:t xml:space="preserve">Roll inertia computed from the component mass distribution is 25.0 kg·m², two and a half times the pitch inertia, and the roll damping derivative from a helix-angle vortex-lattice solution is |C_l_p| = 0.358, giving a damping slope of 77.6 N·m per rad s⁻¹ and a roll time constant of 0.32 s. </w:t>
      </w:r>
      <w:r>
        <w:rPr>
          <w:rFonts w:ascii="Palatino Linotype" w:hAnsi="Palatino Linotype" w:eastAsia="Palatino Linotype"/>
          <w:b/>
          <w:i w:val="0"/>
          <w:sz w:val="20"/>
        </w:rPr>
        <w:t>Twenty degrees per second at cruise therefore requires 27.1 N·m.</w:t>
      </w:r>
      <w:r>
        <w:rPr>
          <w:rFonts w:ascii="Palatino Linotype" w:hAnsi="Palatino Linotype" w:eastAsia="Palatino Linotype"/>
          <w:b w:val="0"/>
          <w:i w:val="0"/>
          <w:sz w:val="20"/>
        </w:rPr>
        <w:t xml:space="preserve"> The strip's own force as a swept fence, at an upper-bound normal-force coefficient of 1.3, supplies 11.3 N·m — about a third. The remainder must come from the second mechanism, the change the strip makes to the circulation of the half-wing it sits on, which asks for </w:t>
      </w:r>
      <w:r>
        <w:rPr>
          <w:rFonts w:ascii="Palatino Linotype" w:hAnsi="Palatino Linotype" w:eastAsia="Palatino Linotype"/>
          <w:b/>
          <w:i w:val="0"/>
          <w:sz w:val="20"/>
        </w:rPr>
        <w:t>ΔC_L ≈ 0.12</w:t>
      </w:r>
      <w:r>
        <w:rPr>
          <w:rFonts w:ascii="Palatino Linotype" w:hAnsi="Palatino Linotype" w:eastAsia="Palatino Linotype"/>
          <w:b w:val="0"/>
          <w:i w:val="0"/>
          <w:sz w:val="20"/>
        </w:rPr>
        <w:t xml:space="preserve"> over the strip's span. Measured data on non-planar wings carrying Gurney flaps of two percent chord over the inboard two-thirds gives lift increments of that magnitude [18], and a lift-enhancing tab study gives a measured height threshold of 1.5 % chord above which maximum lift-to-drag falls [32]. </w:t>
      </w:r>
      <w:r>
        <w:rPr>
          <w:rFonts w:ascii="Palatino Linotype" w:hAnsi="Palatino Linotype" w:eastAsia="Palatino Linotype"/>
          <w:b/>
          <w:i w:val="0"/>
          <w:sz w:val="20"/>
        </w:rPr>
        <w:t>Roll authority is therefore sized and supported by measurement on a comparable device, and it is not closed</w:t>
      </w:r>
      <w:r>
        <w:rPr>
          <w:rFonts w:ascii="Palatino Linotype" w:hAnsi="Palatino Linotype" w:eastAsia="Palatino Linotype"/>
          <w:b w:val="0"/>
          <w:i w:val="0"/>
          <w:sz w:val="20"/>
        </w:rPr>
        <w:t>: the quantity a future measurement must return is ΔC_L for this strip on this planform.</w:t>
      </w:r>
    </w:p>
    <w:p>
      <w:pPr>
        <w:spacing w:before="0" w:after="80" w:line="240" w:lineRule="auto"/>
        <w:jc w:val="both"/>
      </w:pPr>
      <w:r>
        <w:rPr>
          <w:rFonts w:ascii="Palatino Linotype" w:hAnsi="Palatino Linotype" w:eastAsia="Palatino Linotype"/>
          <w:b/>
          <w:i w:val="0"/>
          <w:sz w:val="20"/>
        </w:rPr>
        <w:t>The strip loads the other two axes, and Supplementary S3 quantifies all three couplings.</w:t>
      </w:r>
      <w:r>
        <w:rPr>
          <w:rFonts w:ascii="Palatino Linotype" w:hAnsi="Palatino Linotype" w:eastAsia="Palatino Linotype"/>
          <w:b w:val="0"/>
          <w:i w:val="0"/>
          <w:sz w:val="20"/>
        </w:rPr>
        <w:t xml:space="preserve"> Deployed on one side it raises drag there and yaws the aircraft towards the strip — adverse yaw in the classical sense, 11.3 N·m at the present height law, against 42.8 to 55.9 N·m of yaw authority, so it costs five to twenty-six percent of the strongest axis. It also pitches the nose down, by ΔC_m between 0.005 and 0.032 depending on where along the chord the lift increment acts; the tightest pitching-moment budget in Section 3.17 is 0.050, so at the upper end a commanded roll would consume two thirds of it. </w:t>
      </w:r>
      <w:r>
        <w:rPr>
          <w:rFonts w:ascii="Palatino Linotype" w:hAnsi="Palatino Linotype" w:eastAsia="Palatino Linotype"/>
          <w:b/>
          <w:i w:val="0"/>
          <w:sz w:val="20"/>
        </w:rPr>
        <w:t>The conclusion is a scheduling requirement rather than a redesign: the strip should not be commanded at full extension during the end of the rotation.</w:t>
      </w:r>
      <w:r>
        <w:rPr>
          <w:rFonts w:ascii="Palatino Linotype" w:hAnsi="Palatino Linotype" w:eastAsia="Palatino Linotype"/>
          <w:b w:val="0"/>
          <w:i w:val="0"/>
          <w:sz w:val="20"/>
        </w:rPr>
        <w:t xml:space="preserve"> The older literature states the same coupling more bluntly — for spoilers used as ailerons on tailless aircraft, "if only upgoing spoiler projections are used, the pitching moments developed are prohibitive", with projection from both surfaces named as the remedy [19]. The strip here projects from one surface only, which is the arrangement that warning is about.</w:t>
      </w:r>
    </w:p>
    <w:p>
      <w:pPr>
        <w:spacing w:before="0" w:after="80" w:line="240" w:lineRule="auto"/>
        <w:jc w:val="both"/>
      </w:pPr>
      <w:r>
        <w:rPr>
          <w:rFonts w:ascii="Palatino Linotype" w:hAnsi="Palatino Linotype" w:eastAsia="Palatino Linotype"/>
          <w:b w:val="0"/>
          <w:i w:val="0"/>
          <w:sz w:val="20"/>
        </w:rPr>
        <w:t xml:space="preserve">Because extension is continuous, the strip also has a threshold. Projections below one percent of local chord produce negligible lift change [19], and the strip is tapered, so this cuts a graded dead band out of the bottom of its travel: </w:t>
      </w:r>
      <w:r>
        <w:rPr>
          <w:rFonts w:ascii="Palatino Linotype" w:hAnsi="Palatino Linotype" w:eastAsia="Palatino Linotype"/>
          <w:b/>
          <w:i w:val="0"/>
          <w:sz w:val="20"/>
        </w:rPr>
        <w:t>nothing below seven percent of commanded extension, and linear to within five percent only above twenty-five</w:t>
      </w:r>
      <w:r>
        <w:rPr>
          <w:rFonts w:ascii="Palatino Linotype" w:hAnsi="Palatino Linotype" w:eastAsia="Palatino Linotype"/>
          <w:b w:val="0"/>
          <w:i w:val="0"/>
          <w:sz w:val="20"/>
        </w:rPr>
        <w:t>. The part that survives the threshold is the part with the longest arm, so most of the lost area is bought back by the lengthened arm — the deficit is confined to small corrections rather than large ones.</w:t>
      </w:r>
    </w:p>
    <w:p>
      <w:pPr>
        <w:spacing w:before="0" w:after="80" w:line="240" w:lineRule="auto"/>
        <w:jc w:val="both"/>
      </w:pPr>
      <w:r>
        <w:rPr>
          <w:rFonts w:ascii="Palatino Linotype" w:hAnsi="Palatino Linotype" w:eastAsia="Palatino Linotype"/>
          <w:b/>
          <w:i w:val="0"/>
          <w:sz w:val="20"/>
        </w:rPr>
        <w:t>The same device has a third use that costs nothing.</w:t>
      </w:r>
      <w:r>
        <w:rPr>
          <w:rFonts w:ascii="Palatino Linotype" w:hAnsi="Palatino Linotype" w:eastAsia="Palatino Linotype"/>
          <w:b w:val="0"/>
          <w:i w:val="0"/>
          <w:sz w:val="20"/>
        </w:rPr>
        <w:t xml:space="preserve"> Deployed on both halves at once it is a speed brake, and in that mode the pitching-moment objection does not arise: spoiler-type ailerons used as speed brakes "had only a small effect on the wing pitching moments", and "the rolling effectiveness of the ailerons will not be impaired by such use" [49]. That gives this configuration a descent-rate control no other part of it provides.</w:t>
      </w:r>
    </w:p>
    <w:p>
      <w:pPr>
        <w:spacing w:before="0" w:after="80" w:line="240" w:lineRule="auto"/>
        <w:jc w:val="both"/>
      </w:pPr>
      <w:r>
        <w:rPr>
          <w:rFonts w:ascii="Palatino Linotype" w:hAnsi="Palatino Linotype" w:eastAsia="Palatino Linotype"/>
          <w:b/>
          <w:i w:val="0"/>
          <w:sz w:val="20"/>
        </w:rPr>
        <w:t>Hover is the harder case, for a structural reason rather than a numerical one.</w:t>
      </w:r>
      <w:r>
        <w:rPr>
          <w:rFonts w:ascii="Palatino Linotype" w:hAnsi="Palatino Linotype" w:eastAsia="Palatino Linotype"/>
          <w:b w:val="0"/>
          <w:i w:val="0"/>
          <w:sz w:val="20"/>
        </w:rPr>
        <w:t xml:space="preserve"> At zero airspeed only the inboard part of the strip is loaded, by the nose propeller's slipstream, and the same circulation model over the slipstream-washed area gives 6.0 to 12.0 N·m — enough for a thirty-degree bank in 1.5 to 2.1 s. But there is no aerodynamic damping at all at zero airspeed: the roll axis is a double integrator, so the rate does not settle and the strip must be commanded off rather than left out. </w:t>
      </w:r>
      <w:r>
        <w:rPr>
          <w:rFonts w:ascii="Palatino Linotype" w:hAnsi="Palatino Linotype" w:eastAsia="Palatino Linotype"/>
          <w:b/>
          <w:i w:val="0"/>
          <w:sz w:val="20"/>
        </w:rPr>
        <w:t>Roll control in hover is a tighter problem than roll control in cruise</w:t>
      </w:r>
      <w:r>
        <w:rPr>
          <w:rFonts w:ascii="Palatino Linotype" w:hAnsi="Palatino Linotype" w:eastAsia="Palatino Linotype"/>
          <w:b w:val="0"/>
          <w:i w:val="0"/>
          <w:sz w:val="20"/>
        </w:rPr>
        <w:t>, which is the reverse of the usual situation.</w:t>
      </w:r>
    </w:p>
    <w:p>
      <w:pPr>
        <w:spacing w:before="0" w:after="80" w:line="240" w:lineRule="auto"/>
        <w:jc w:val="both"/>
      </w:pPr>
      <w:r>
        <w:rPr>
          <w:rFonts w:ascii="Palatino Linotype" w:hAnsi="Palatino Linotype" w:eastAsia="Palatino Linotype"/>
          <w:b w:val="0"/>
          <w:i w:val="0"/>
          <w:sz w:val="20"/>
        </w:rPr>
        <w:t xml:space="preserve">Two measured effects work against the strip in the conditions this configuration needs it, and one works for it. A Gurney flap under controlled inflow turbulence became "less effective after stall angle", and at nineteen percent turbulence intensity "the benefit to the aerodynamic performance was negligible" [35] — and the strip's inboard portion is deliberately placed inside a propeller slipstream, which is not a low-turbulence environment. The post-stall half of that is contested: a delayed-detached-eddy simulation at twenty degrees of incidence with a flap of the same height fraction returns lift higher by ninety-four percent at unchanged drag [37], though on a baseline twenty-five percent below the experimental value. </w:t>
      </w:r>
      <w:r>
        <w:rPr>
          <w:rFonts w:ascii="Palatino Linotype" w:hAnsi="Palatino Linotype" w:eastAsia="Palatino Linotype"/>
          <w:b/>
          <w:i w:val="0"/>
          <w:sz w:val="20"/>
        </w:rPr>
        <w:t>The turbulence sensitivity is measured and unopposed; the post-stall behaviour is contested.</w:t>
      </w:r>
      <w:r>
        <w:rPr>
          <w:rFonts w:ascii="Palatino Linotype" w:hAnsi="Palatino Linotype" w:eastAsia="Palatino Linotype"/>
          <w:b w:val="0"/>
          <w:i w:val="0"/>
          <w:sz w:val="20"/>
        </w:rPr>
        <w:t xml:space="preserve"> Against both, a water-tunnel study found the mechanism qualitatively unchanged at a Reynolds number of 8 588 — four orders of magnitude below the usual test range — because an effective camber increase is "an inviscid effect to the first order" [38]. That is the most direct support available for the claim that the strip still works at zero airspeed, and it supports the direction rather than the magnitude.</w:t>
      </w:r>
    </w:p>
    <w:p>
      <w:pPr>
        <w:spacing w:before="0" w:after="80" w:line="240" w:lineRule="auto"/>
        <w:jc w:val="both"/>
      </w:pPr>
      <w:r>
        <w:rPr>
          <w:rFonts w:ascii="Palatino Linotype" w:hAnsi="Palatino Linotype" w:eastAsia="Palatino Linotype"/>
          <w:b/>
          <w:i w:val="0"/>
          <w:sz w:val="20"/>
        </w:rPr>
        <w:t>Directional stability is the one open half of the yaw axis.</w:t>
      </w:r>
      <w:r>
        <w:rPr>
          <w:rFonts w:ascii="Palatino Linotype" w:hAnsi="Palatino Linotype" w:eastAsia="Palatino Linotype"/>
          <w:b w:val="0"/>
          <w:i w:val="0"/>
          <w:sz w:val="20"/>
        </w:rPr>
        <w:t xml:space="preserve"> A vortex-lattice solution of the planform at sideslip returns </w:t>
      </w:r>
      <w:r>
        <w:rPr>
          <w:rFonts w:ascii="Palatino Linotype" w:hAnsi="Palatino Linotype" w:eastAsia="Palatino Linotype"/>
          <w:b/>
          <w:i w:val="0"/>
          <w:sz w:val="20"/>
        </w:rPr>
        <w:t>C_n_β = 0</w:t>
      </w:r>
      <w:r>
        <w:rPr>
          <w:rFonts w:ascii="Palatino Linotype" w:hAnsi="Palatino Linotype" w:eastAsia="Palatino Linotype"/>
          <w:b w:val="0"/>
          <w:i w:val="0"/>
          <w:sz w:val="20"/>
        </w:rPr>
        <w:t xml:space="preserve">: the wing supplies none, which is not a defect of the solution but the expected result for a planar surface, and which two measurement campaigns confirm is normal for tailless aircraft rather than unusual [19,20]. Sweep gives this configuration its roll-due-to-sideslip — C_l_β = −0.045 per radian, a healthy value — and gives it no weathercock stability at all. </w:t>
      </w:r>
      <w:r>
        <w:rPr>
          <w:rFonts w:ascii="Palatino Linotype" w:hAnsi="Palatino Linotype" w:eastAsia="Palatino Linotype"/>
          <w:b/>
          <w:i w:val="0"/>
          <w:sz w:val="20"/>
        </w:rPr>
        <w:t>Zero is also an optimistic starting point rather than a neutral one</w:t>
      </w:r>
      <w:r>
        <w:rPr>
          <w:rFonts w:ascii="Palatino Linotype" w:hAnsi="Palatino Linotype" w:eastAsia="Palatino Linotype"/>
          <w:b w:val="0"/>
          <w:i w:val="0"/>
          <w:sz w:val="20"/>
        </w:rPr>
        <w:t>, because a vortex-lattice model has no volume: the centre body develops side force ahead of the centre of gravity, and on tailless aircraft that destabilising contribution is reported to be "at least as great as the stabilising effects contributed by the wing alone" [19].</w:t>
      </w:r>
    </w:p>
    <w:p>
      <w:pPr>
        <w:spacing w:before="0" w:after="80" w:line="240" w:lineRule="auto"/>
        <w:jc w:val="both"/>
      </w:pPr>
      <w:r>
        <w:rPr>
          <w:rFonts w:ascii="Palatino Linotype" w:hAnsi="Palatino Linotype" w:eastAsia="Palatino Linotype"/>
          <w:b w:val="0"/>
          <w:i w:val="0"/>
          <w:sz w:val="20"/>
        </w:rPr>
        <w:t xml:space="preserve">Directional stability must therefore come from the tip frames, which in cruise are the only vertical surfaces the aircraft has. Sized against the criterion the tailless literature recommends — C_n_β greater than 0.001 per degree, or 0.0573 per radian [19] — the fairing chord required over the combined frame length is </w:t>
      </w:r>
      <w:r>
        <w:rPr>
          <w:rFonts w:ascii="Palatino Linotype" w:hAnsi="Palatino Linotype" w:eastAsia="Palatino Linotype"/>
          <w:b/>
          <w:i w:val="0"/>
          <w:sz w:val="20"/>
        </w:rPr>
        <w:t>39 mm</w:t>
      </w:r>
      <w:r>
        <w:rPr>
          <w:rFonts w:ascii="Palatino Linotype" w:hAnsi="Palatino Linotype" w:eastAsia="Palatino Linotype"/>
          <w:b w:val="0"/>
          <w:i w:val="0"/>
          <w:sz w:val="20"/>
        </w:rPr>
        <w:t xml:space="preserve">, against the 50 to 70 mm a 20 mm faired strut carries in any case. </w:t>
      </w:r>
      <w:r>
        <w:rPr>
          <w:rFonts w:ascii="Palatino Linotype" w:hAnsi="Palatino Linotype" w:eastAsia="Palatino Linotype"/>
          <w:b/>
          <w:i w:val="0"/>
          <w:sz w:val="20"/>
        </w:rPr>
        <w:t>Directional stability on this configuration does not ask for a surface; it asks for a fairing on a frame that is already there.</w:t>
      </w:r>
      <w:r>
        <w:rPr>
          <w:rFonts w:ascii="Palatino Linotype" w:hAnsi="Palatino Linotype" w:eastAsia="Palatino Linotype"/>
          <w:b w:val="0"/>
          <w:i w:val="0"/>
          <w:sz w:val="20"/>
        </w:rPr>
        <w:t xml:space="preserve"> Two requirements come with it. The fairing needs a toe angle, and its sign follows from the aspect ratio: low-aspect-ratio fins are toed </w:t>
      </w:r>
      <w:r>
        <w:rPr>
          <w:rFonts w:ascii="Palatino Linotype" w:hAnsi="Palatino Linotype" w:eastAsia="Palatino Linotype"/>
          <w:b w:val="0"/>
          <w:i/>
          <w:sz w:val="20"/>
        </w:rPr>
        <w:t>in</w:t>
      </w:r>
      <w:r>
        <w:rPr>
          <w:rFonts w:ascii="Palatino Linotype" w:hAnsi="Palatino Linotype" w:eastAsia="Palatino Linotype"/>
          <w:b w:val="0"/>
          <w:i w:val="0"/>
          <w:sz w:val="20"/>
        </w:rPr>
        <w:t xml:space="preserve"> so the stabilising moment comes from induced drag, high-aspect-ratio fins toed </w:t>
      </w:r>
      <w:r>
        <w:rPr>
          <w:rFonts w:ascii="Palatino Linotype" w:hAnsi="Palatino Linotype" w:eastAsia="Palatino Linotype"/>
          <w:b w:val="0"/>
          <w:i/>
          <w:sz w:val="20"/>
        </w:rPr>
        <w:t>out</w:t>
      </w:r>
      <w:r>
        <w:rPr>
          <w:rFonts w:ascii="Palatino Linotype" w:hAnsi="Palatino Linotype" w:eastAsia="Palatino Linotype"/>
          <w:b w:val="0"/>
          <w:i w:val="0"/>
          <w:sz w:val="20"/>
        </w:rPr>
        <w:t xml:space="preserve"> so it comes from "the outwardly directed lift" [19] — and these frames are firmly in the second class, so </w:t>
      </w:r>
      <w:r>
        <w:rPr>
          <w:rFonts w:ascii="Palatino Linotype" w:hAnsi="Palatino Linotype" w:eastAsia="Palatino Linotype"/>
          <w:b/>
          <w:i w:val="0"/>
          <w:sz w:val="20"/>
        </w:rPr>
        <w:t>the sign is toe-out</w:t>
      </w:r>
      <w:r>
        <w:rPr>
          <w:rFonts w:ascii="Palatino Linotype" w:hAnsi="Palatino Linotype" w:eastAsia="Palatino Linotype"/>
          <w:b w:val="0"/>
          <w:i w:val="0"/>
          <w:sz w:val="20"/>
        </w:rPr>
        <w:t xml:space="preserve">. Toe-out carries a hazard: yawing far enough to stall the rear fin produces a large </w:t>
      </w:r>
      <w:r>
        <w:rPr>
          <w:rFonts w:ascii="Palatino Linotype" w:hAnsi="Palatino Linotype" w:eastAsia="Palatino Linotype"/>
          <w:b w:val="0"/>
          <w:i/>
          <w:sz w:val="20"/>
        </w:rPr>
        <w:t>destabilising</w:t>
      </w:r>
      <w:r>
        <w:rPr>
          <w:rFonts w:ascii="Palatino Linotype" w:hAnsi="Palatino Linotype" w:eastAsia="Palatino Linotype"/>
          <w:b w:val="0"/>
          <w:i w:val="0"/>
          <w:sz w:val="20"/>
        </w:rPr>
        <w:t xml:space="preserve"> moment, which sets an upper bound on usable sideslip that this paper does not compute.</w:t>
      </w:r>
    </w:p>
    <w:p>
      <w:pPr>
        <w:spacing w:before="0" w:after="80" w:line="240" w:lineRule="auto"/>
        <w:jc w:val="both"/>
      </w:pPr>
      <w:r>
        <w:rPr>
          <w:rFonts w:ascii="Palatino Linotype" w:hAnsi="Palatino Linotype" w:eastAsia="Palatino Linotype"/>
          <w:b/>
          <w:i w:val="0"/>
          <w:sz w:val="20"/>
        </w:rPr>
        <w:t>The second requirement is harder, and the measured record is against the assumption the fairing was sized on.</w:t>
      </w:r>
      <w:r>
        <w:rPr>
          <w:rFonts w:ascii="Palatino Linotype" w:hAnsi="Palatino Linotype" w:eastAsia="Palatino Linotype"/>
          <w:b w:val="0"/>
          <w:i w:val="0"/>
          <w:sz w:val="20"/>
        </w:rPr>
        <w:t xml:space="preserve"> A 39 mm chord at cruise sits at a chord Reynolds number near 80 000, and the side force credited to it above was computed from a lift-curve slope of 4 per radian. Symmetric sections at that Reynolds number are not measured to behave that way. The compilation that reports four such sections tested at Princeton finds lift-curve nonlinearity about zero incidence in all of them, in the severest case the slope "actually changed sign over a 3 deg range" [36] — and it states the effect as a property of the class rather than an accident of one section: "past work on </w:t>
      </w:r>
      <w:r>
        <w:rPr>
          <w:rFonts w:ascii="Palatino Linotype" w:hAnsi="Palatino Linotype" w:eastAsia="Palatino Linotype"/>
          <w:b/>
          <w:i w:val="0"/>
          <w:sz w:val="20"/>
        </w:rPr>
        <w:t>symmetrical</w:t>
      </w:r>
      <w:r>
        <w:rPr>
          <w:rFonts w:ascii="Palatino Linotype" w:hAnsi="Palatino Linotype" w:eastAsia="Palatino Linotype"/>
          <w:b w:val="0"/>
          <w:i w:val="0"/>
          <w:sz w:val="20"/>
        </w:rPr>
        <w:t xml:space="preserve"> airfoils has shown that a </w:t>
      </w:r>
      <w:r>
        <w:rPr>
          <w:rFonts w:ascii="Palatino Linotype" w:hAnsi="Palatino Linotype" w:eastAsia="Palatino Linotype"/>
          <w:b/>
          <w:i w:val="0"/>
          <w:sz w:val="20"/>
        </w:rPr>
        <w:t>deadband often appears in the lift curve near zero degrees</w:t>
      </w:r>
      <w:r>
        <w:rPr>
          <w:rFonts w:ascii="Palatino Linotype" w:hAnsi="Palatino Linotype" w:eastAsia="Palatino Linotype"/>
          <w:b w:val="0"/>
          <w:i w:val="0"/>
          <w:sz w:val="20"/>
        </w:rPr>
        <w:t xml:space="preserve">", present at Reynolds numbers of 60 000 and 100 000 and absent at higher ones [36]. A toe angle of one or two degrees puts the fairing inside that band. </w:t>
      </w:r>
      <w:r>
        <w:rPr>
          <w:rFonts w:ascii="Palatino Linotype" w:hAnsi="Palatino Linotype" w:eastAsia="Palatino Linotype"/>
          <w:b/>
          <w:i w:val="0"/>
          <w:sz w:val="20"/>
        </w:rPr>
        <w:t>The open question is therefore not which way to toe the fairing but whether a surface of that chord, at that Reynolds number, develops the side force at all</w:t>
      </w:r>
      <w:r>
        <w:rPr>
          <w:rFonts w:ascii="Palatino Linotype" w:hAnsi="Palatino Linotype" w:eastAsia="Palatino Linotype"/>
          <w:b w:val="0"/>
          <w:i w:val="0"/>
          <w:sz w:val="20"/>
        </w:rPr>
        <w:t xml:space="preserve"> — and 4 per radian should be read as an upper bound rather than as a conservative choice, since what fails there is the linearity of the curve and not merely the size of its slope.</w:t>
      </w:r>
    </w:p>
    <w:p>
      <w:pPr>
        <w:spacing w:before="0" w:after="80" w:line="240" w:lineRule="auto"/>
        <w:jc w:val="both"/>
      </w:pPr>
      <w:r>
        <w:rPr>
          <w:rFonts w:ascii="Palatino Linotype" w:hAnsi="Palatino Linotype" w:eastAsia="Palatino Linotype"/>
          <w:b w:val="0"/>
          <w:i w:val="0"/>
          <w:sz w:val="20"/>
        </w:rPr>
        <w:t>The same source names the remedy, and it is cheap here. Camber removes the deadband: cambered sections "do not appear to have a similar, intrinsic deadband region" [36], and the observation is drawn from designing tail surfaces, which is what these fairings are. A fairing that is cambered outboard and toed out would take its side force from the linear part of a curve that has one, at no cost the frame does not already pay. This paper does not size that fairing, because doing so on a curve it has not measured would repeat the error it has just described. Supplementary S3 states it as the measurement this configuration would buy first.</w:t>
      </w:r>
    </w:p>
    <w:p>
      <w:pPr>
        <w:spacing w:before="200" w:after="80"/>
      </w:pPr>
      <w:r>
        <w:rPr>
          <w:rFonts w:ascii="Palatino Linotype" w:hAnsi="Palatino Linotype" w:eastAsia="Palatino Linotype"/>
          <w:b/>
          <w:i w:val="0"/>
          <w:sz w:val="22"/>
        </w:rPr>
        <w:t>2.11 Structure and ground contact</w:t>
      </w:r>
    </w:p>
    <w:p>
      <w:pPr>
        <w:spacing w:before="0" w:after="80" w:line="240" w:lineRule="auto"/>
        <w:jc w:val="both"/>
      </w:pPr>
      <w:r>
        <w:rPr>
          <w:rFonts w:ascii="Palatino Linotype" w:hAnsi="Palatino Linotype" w:eastAsia="Palatino Linotype"/>
          <w:b w:val="0"/>
          <w:i w:val="0"/>
          <w:sz w:val="20"/>
        </w:rPr>
        <w:t>The tip frames are not added for the propellers. They are the landing structure.</w:t>
      </w:r>
    </w:p>
    <w:p>
      <w:pPr>
        <w:spacing w:before="0" w:after="80" w:line="240" w:lineRule="auto"/>
        <w:jc w:val="both"/>
      </w:pPr>
      <w:r>
        <w:rPr>
          <w:rFonts w:ascii="Palatino Linotype" w:hAnsi="Palatino Linotype" w:eastAsia="Palatino Linotype"/>
          <w:b w:val="0"/>
          <w:i w:val="0"/>
          <w:sz w:val="20"/>
        </w:rPr>
        <w:t>This inverts a cost into a saving, and the inversion has precedent. Reviewing the tail-sitters of the 1950s, NASA noted that "dispensing with a conventional landing gear improved the empty weight fraction for these VATOL aircraft", while adding that some form of gear was still required on the tail surfaces [2]. The present configuration takes the same benefit and extends it: the structure that meets the ground is also the structure that carries the control propellers and sets their moment arm.</w:t>
      </w:r>
    </w:p>
    <w:p>
      <w:pPr>
        <w:spacing w:before="0" w:after="80" w:line="240" w:lineRule="auto"/>
        <w:jc w:val="both"/>
      </w:pPr>
      <w:r>
        <w:rPr>
          <w:rFonts w:ascii="Palatino Linotype" w:hAnsi="Palatino Linotype" w:eastAsia="Palatino Linotype"/>
          <w:b w:val="0"/>
          <w:i w:val="0"/>
          <w:sz w:val="20"/>
        </w:rPr>
        <w:t>The aircraft rests on five points: the four lower ends of the tip frames and a single keel that runs aft along the centreline from the nose propeller to the trailing edge. Because the aircraft stands on its tail, these five points are what it stands on, and their spread is the stance base that resists tipping in wind. Lengthening the frames to buy the control moment arm of Section 2.10 widens the stance base at the same time. One structure serves three purposes — mounting the control propellers, providing the moment arm, and carrying the landing loads — and is charged to the mass budget once.</w:t>
      </w:r>
    </w:p>
    <w:p>
      <w:pPr>
        <w:spacing w:before="0" w:after="80" w:line="240" w:lineRule="auto"/>
        <w:jc w:val="both"/>
      </w:pPr>
      <w:r>
        <w:rPr>
          <w:rFonts w:ascii="Palatino Linotype" w:hAnsi="Palatino Linotype" w:eastAsia="Palatino Linotype"/>
          <w:b w:val="0"/>
          <w:i w:val="0"/>
          <w:sz w:val="20"/>
        </w:rPr>
        <w:t>The stance base is a design parameter, not a constraint imposed by the configuration. Moving the frame ends further outboard widens it without altering the planform, the propulsion, or the control architecture — and because the same displacement lengthens the control moment arm of Section 2.10, the two benefits arrive together from one change. The reference geometry given here is one point on that trade; an operator with a stronger ground-wind requirement can take another without redesigning the aircraft.</w:t>
      </w:r>
    </w:p>
    <w:p>
      <w:pPr>
        <w:spacing w:before="200" w:after="80"/>
      </w:pPr>
      <w:r>
        <w:rPr>
          <w:rFonts w:ascii="Palatino Linotype" w:hAnsi="Palatino Linotype" w:eastAsia="Palatino Linotype"/>
          <w:b/>
          <w:i w:val="0"/>
          <w:sz w:val="22"/>
        </w:rPr>
        <w:t>2.12 Sizing method</w:t>
      </w:r>
    </w:p>
    <w:p>
      <w:pPr>
        <w:spacing w:before="0" w:after="80" w:line="240" w:lineRule="auto"/>
        <w:jc w:val="both"/>
      </w:pPr>
      <w:r>
        <w:rPr>
          <w:rFonts w:ascii="Palatino Linotype" w:hAnsi="Palatino Linotype" w:eastAsia="Palatino Linotype"/>
          <w:b w:val="0"/>
          <w:i w:val="0"/>
          <w:sz w:val="20"/>
        </w:rPr>
        <w:t>The method is elementary and the equations are given so that any result in this section can be checked by hand.</w:t>
      </w:r>
    </w:p>
    <w:p>
      <w:pPr>
        <w:spacing w:before="0" w:after="80" w:line="240" w:lineRule="auto"/>
        <w:jc w:val="both"/>
      </w:pPr>
      <w:r>
        <w:rPr>
          <w:rFonts w:ascii="Palatino Linotype" w:hAnsi="Palatino Linotype" w:eastAsia="Palatino Linotype"/>
          <w:b/>
          <w:i w:val="0"/>
          <w:sz w:val="20"/>
        </w:rPr>
        <w:t>Hover.</w:t>
      </w:r>
      <w:r>
        <w:rPr>
          <w:rFonts w:ascii="Palatino Linotype" w:hAnsi="Palatino Linotype" w:eastAsia="Palatino Linotype"/>
          <w:b w:val="0"/>
          <w:i w:val="0"/>
          <w:sz w:val="20"/>
        </w:rPr>
        <w:t xml:space="preserve"> Thrust equals weight and induced power follows from momentum theory, v_i = √(T/2ρA) and P_i = T^1.5/√(2ρA), with disc loading DL = T/A as the governing parameter; figure of merit gives shaft power.</w:t>
      </w:r>
    </w:p>
    <w:p>
      <w:pPr>
        <w:spacing w:before="0" w:after="80" w:line="240" w:lineRule="auto"/>
        <w:jc w:val="both"/>
      </w:pPr>
      <w:r>
        <w:rPr>
          <w:rFonts w:ascii="Palatino Linotype" w:hAnsi="Palatino Linotype" w:eastAsia="Palatino Linotype"/>
          <w:b/>
          <w:i w:val="0"/>
          <w:sz w:val="20"/>
        </w:rPr>
        <w:t>Cruise.</w:t>
      </w:r>
      <w:r>
        <w:rPr>
          <w:rFonts w:ascii="Palatino Linotype" w:hAnsi="Palatino Linotype" w:eastAsia="Palatino Linotype"/>
          <w:b w:val="0"/>
          <w:i w:val="0"/>
          <w:sz w:val="20"/>
        </w:rPr>
        <w:t xml:space="preserve"> C_L = W/(qS) fixes the lift coefficient at the chosen speed, C_D = C_D0 + C_L²/(πARe) gives the drag, and L/D is their ratio </w:t>
      </w:r>
      <w:r>
        <w:rPr>
          <w:rFonts w:ascii="Palatino Linotype" w:hAnsi="Palatino Linotype" w:eastAsia="Palatino Linotype"/>
          <w:b/>
          <w:i w:val="0"/>
          <w:sz w:val="20"/>
        </w:rPr>
        <w:t>at the cruise condition, not at the aircraft's best point</w:t>
      </w:r>
      <w:r>
        <w:rPr>
          <w:rFonts w:ascii="Palatino Linotype" w:hAnsi="Palatino Linotype" w:eastAsia="Palatino Linotype"/>
          <w:b w:val="0"/>
          <w:i w:val="0"/>
          <w:sz w:val="20"/>
        </w:rPr>
        <w:t>. The familiar L/D_max = 0.5√(πARe/C_D0) occurs at one particular speed — 25.3 m s⁻¹ for the light design, only 1.26 times its stall speed. Cruising there would leave too little margin, so both designs cruise at 1.49 times stall and accept the lift-to-drag ratio that condition gives. Using the maximum value while quoting a different cruise speed would overstate the range, and an earlier version of this paper did exactly that.</w:t>
      </w:r>
    </w:p>
    <w:p>
      <w:pPr>
        <w:spacing w:before="0" w:after="80" w:line="240" w:lineRule="auto"/>
        <w:jc w:val="both"/>
      </w:pPr>
      <w:r>
        <w:rPr>
          <w:rFonts w:ascii="Palatino Linotype" w:hAnsi="Palatino Linotype" w:eastAsia="Palatino Linotype"/>
          <w:b/>
          <w:i w:val="0"/>
          <w:sz w:val="20"/>
        </w:rPr>
        <w:t>Range.</w:t>
      </w:r>
      <w:r>
        <w:rPr>
          <w:rFonts w:ascii="Palatino Linotype" w:hAnsi="Palatino Linotype" w:eastAsia="Palatino Linotype"/>
          <w:b w:val="0"/>
          <w:i w:val="0"/>
          <w:sz w:val="20"/>
        </w:rPr>
        <w:t xml:space="preserve"> The series-hybrid chain is stated link by link rather than folded into one efficiency, because the result is sensitive to it and a reader should be able to disagree with any single link: engine 0.28, generator 0.90, power electronics 0.95, electric machine 0.92, propeller 0.80 — </w:t>
      </w:r>
      <w:r>
        <w:rPr>
          <w:rFonts w:ascii="Palatino Linotype" w:hAnsi="Palatino Linotype" w:eastAsia="Palatino Linotype"/>
          <w:b/>
          <w:i w:val="0"/>
          <w:sz w:val="20"/>
        </w:rPr>
        <w:t>overall 0.176</w:t>
      </w:r>
      <w:r>
        <w:rPr>
          <w:rFonts w:ascii="Palatino Linotype" w:hAnsi="Palatino Linotype" w:eastAsia="Palatino Linotype"/>
          <w:b w:val="0"/>
          <w:i w:val="0"/>
          <w:sz w:val="20"/>
        </w:rPr>
        <w:t>. Fuel energy is 12.9 kWh kg⁻¹. The engine figure matters most: 0.28 is representative of a small four-stroke at its best operating point, and it is why the range figures below are lower than an optimistic estimate would give.</w:t>
      </w:r>
    </w:p>
    <w:p>
      <w:pPr>
        <w:spacing w:before="0" w:after="80" w:line="240" w:lineRule="auto"/>
        <w:jc w:val="both"/>
      </w:pPr>
      <w:r>
        <w:rPr>
          <w:rFonts w:ascii="Palatino Linotype" w:hAnsi="Palatino Linotype" w:eastAsia="Palatino Linotype"/>
          <w:b/>
          <w:i w:val="0"/>
          <w:sz w:val="20"/>
        </w:rPr>
        <w:t>Control.</w:t>
      </w:r>
      <w:r>
        <w:rPr>
          <w:rFonts w:ascii="Palatino Linotype" w:hAnsi="Palatino Linotype" w:eastAsia="Palatino Linotype"/>
          <w:b w:val="0"/>
          <w:i w:val="0"/>
          <w:sz w:val="20"/>
        </w:rPr>
        <w:t xml:space="preserve"> Tip-pair thrust follows from M = 2TL = Iα, with the transition manoeuvre as the sizing case.</w:t>
      </w:r>
    </w:p>
    <w:p>
      <w:pPr>
        <w:spacing w:before="0" w:after="80" w:line="240" w:lineRule="auto"/>
        <w:jc w:val="both"/>
      </w:pPr>
      <w:r>
        <w:rPr>
          <w:rFonts w:ascii="Palatino Linotype" w:hAnsi="Palatino Linotype" w:eastAsia="Palatino Linotype"/>
          <w:b/>
          <w:i w:val="0"/>
          <w:sz w:val="20"/>
        </w:rPr>
        <w:t>Assumptions carried throughout:</w:t>
      </w:r>
      <w:r>
        <w:rPr>
          <w:rFonts w:ascii="Palatino Linotype" w:hAnsi="Palatino Linotype" w:eastAsia="Palatino Linotype"/>
          <w:b w:val="0"/>
          <w:i w:val="0"/>
          <w:sz w:val="20"/>
        </w:rPr>
        <w:t xml:space="preserve"> sea-level density; no compressibility; span efficiency e = 0.85; C_D0 = 0.0248 for the light design, which was taken as generous for a clean blended-wing body on the grounds that it absorbs the tip-frame contribution of Section 3.3 — 0.0043, or seventeen percent of the assumed value. </w:t>
      </w:r>
      <w:r>
        <w:rPr>
          <w:rFonts w:ascii="Palatino Linotype" w:hAnsi="Palatino Linotype" w:eastAsia="Palatino Linotype"/>
          <w:b/>
          <w:i w:val="0"/>
          <w:sz w:val="20"/>
        </w:rPr>
        <w:t>Section 3.10 computes the coefficient and that reasoning does not survive:</w:t>
      </w:r>
      <w:r>
        <w:rPr>
          <w:rFonts w:ascii="Palatino Linotype" w:hAnsi="Palatino Linotype" w:eastAsia="Palatino Linotype"/>
          <w:b w:val="0"/>
          <w:i w:val="0"/>
          <w:sz w:val="20"/>
        </w:rPr>
        <w:t xml:space="preserve"> the computed bracket is 0.0285 to 0.0381 and the assumption lies below both ends, so it is an assumption and an optimistic one, not a self-consistent choice. It is carried unchanged so that every downstream figure rests on one stated basis, and every result that depends on it is also reported across the computed bracket.</w:t>
      </w:r>
    </w:p>
    <w:p>
      <w:pPr>
        <w:spacing w:before="0" w:after="80" w:line="240" w:lineRule="auto"/>
        <w:jc w:val="both"/>
      </w:pPr>
      <w:r>
        <w:rPr>
          <w:rFonts w:ascii="Palatino Linotype" w:hAnsi="Palatino Linotype" w:eastAsia="Palatino Linotype"/>
          <w:b/>
          <w:i w:val="0"/>
          <w:sz w:val="20"/>
        </w:rPr>
        <w:t>Sea-level density is a deliberate choice and not an oversight, and it is the conservative one.</w:t>
      </w:r>
      <w:r>
        <w:rPr>
          <w:rFonts w:ascii="Palatino Linotype" w:hAnsi="Palatino Linotype" w:eastAsia="Palatino Linotype"/>
          <w:b w:val="0"/>
          <w:i w:val="0"/>
          <w:sz w:val="20"/>
        </w:rPr>
        <w:t xml:space="preserve"> A cruise at altitude would reduce drag with the density ratio and lengthen every range figure quoted here; holding sea level therefore understates the aircraft rather than flattering it. The choice also matches the intended missions — wildfire observation and cargo delivery to sites without a runway — which are flown low, and it keeps the hover and cruise calculations on one atmosphere so that the ratio between them, which is what the three bills are about, is not carrying a density change as well. A design intended to cruise high would need the whole chain re-run; nothing in the framework prevents that, and nothing in this paper does it. Section 3.10 computes both and reports what the computation does to them: it bounds them rather than replacing them, which is a weaker but more honest claim.</w:t>
      </w:r>
    </w:p>
    <w:p>
      <w:pPr>
        <w:spacing w:before="200" w:after="80"/>
      </w:pPr>
      <w:r>
        <w:rPr>
          <w:rFonts w:ascii="Palatino Linotype" w:hAnsi="Palatino Linotype" w:eastAsia="Palatino Linotype"/>
          <w:b/>
          <w:i w:val="0"/>
          <w:sz w:val="22"/>
        </w:rPr>
        <w:t>2.13 Computational methods</w:t>
      </w:r>
    </w:p>
    <w:p>
      <w:pPr>
        <w:spacing w:before="0" w:after="80" w:line="240" w:lineRule="auto"/>
        <w:jc w:val="both"/>
      </w:pPr>
      <w:r>
        <w:rPr>
          <w:rFonts w:ascii="Palatino Linotype" w:hAnsi="Palatino Linotype" w:eastAsia="Palatino Linotype"/>
          <w:b w:val="0"/>
          <w:i w:val="0"/>
          <w:sz w:val="20"/>
        </w:rPr>
        <w:t>Five computational tools produce the results of Section 3. Each is named here with what it was asked for and what it was not; the results themselves, and the convergence and sensitivity evidence behind them, are in Sections 3.10 and 3.17 and in Supplementary S1 and S4.</w:t>
      </w:r>
    </w:p>
    <w:p>
      <w:pPr>
        <w:spacing w:before="0" w:after="80" w:line="240" w:lineRule="auto"/>
        <w:jc w:val="both"/>
      </w:pPr>
      <w:r>
        <w:rPr>
          <w:rFonts w:ascii="Palatino Linotype" w:hAnsi="Palatino Linotype" w:eastAsia="Palatino Linotype"/>
          <w:b/>
          <w:i w:val="0"/>
          <w:sz w:val="20"/>
        </w:rPr>
        <w:t>Vortex-lattice.</w:t>
      </w:r>
      <w:r>
        <w:rPr>
          <w:rFonts w:ascii="Palatino Linotype" w:hAnsi="Palatino Linotype" w:eastAsia="Palatino Linotype"/>
          <w:b w:val="0"/>
          <w:i w:val="0"/>
          <w:sz w:val="20"/>
        </w:rPr>
        <w:t xml:space="preserve"> A vortex-lattice solution of the planform of Section 2.8 supplies the inviscid span efficiency, the neutral point from dC_m/dC_L, the twist required to trim, and the roll damping from a helix-angle solution. It is used only for quantities that depend on the spanwise circulation and the aerodynamic centre, which converge quickly; it is not used for pressure distributions near the plan discontinuity, and no vortex-lattice result is quoted at the transition incidences of Sections 3.12 to 3.17, where leading-edge vortex separation puts the planform outside the linear method's range. A published comparison against RANS on a blended-wing body of this class found the vortex-lattice lift coefficient low by thirty to thirty-eight percent; Section 3.10 states what that does and does not disturb.</w:t>
      </w:r>
    </w:p>
    <w:p>
      <w:pPr>
        <w:spacing w:before="0" w:after="80" w:line="240" w:lineRule="auto"/>
        <w:jc w:val="both"/>
      </w:pPr>
      <w:r>
        <w:rPr>
          <w:rFonts w:ascii="Palatino Linotype" w:hAnsi="Palatino Linotype" w:eastAsia="Palatino Linotype"/>
          <w:b/>
          <w:i w:val="0"/>
          <w:sz w:val="20"/>
        </w:rPr>
        <w:t>Strip method with a section solver.</w:t>
      </w:r>
      <w:r>
        <w:rPr>
          <w:rFonts w:ascii="Palatino Linotype" w:hAnsi="Palatino Linotype" w:eastAsia="Palatino Linotype"/>
          <w:b w:val="0"/>
          <w:i w:val="0"/>
          <w:sz w:val="20"/>
        </w:rPr>
        <w:t xml:space="preserve"> Zero-lift drag is built up strip by strip along the span, with section drag coefficients from a physics-informed aerofoil model evaluated at each strip's own chord Reynolds number and thickness. The same construction, called instead at each strip's </w:t>
      </w:r>
      <w:r>
        <w:rPr>
          <w:rFonts w:ascii="Palatino Linotype" w:hAnsi="Palatino Linotype" w:eastAsia="Palatino Linotype"/>
          <w:b w:val="0"/>
          <w:i/>
          <w:sz w:val="20"/>
        </w:rPr>
        <w:t>local lift coefficient</w:t>
      </w:r>
      <w:r>
        <w:rPr>
          <w:rFonts w:ascii="Palatino Linotype" w:hAnsi="Palatino Linotype" w:eastAsia="Palatino Linotype"/>
          <w:b w:val="0"/>
          <w:i w:val="0"/>
          <w:sz w:val="20"/>
        </w:rPr>
        <w:t xml:space="preserve"> taken from the vortex-lattice loading, gives the profile drag of the trimmed wing and hence the Oswald efficiency. The section angle of attack that delivers a required local lift coefficient is found by bisection rather than by linear interpolation.</w:t>
      </w:r>
    </w:p>
    <w:p>
      <w:pPr>
        <w:spacing w:before="0" w:after="80" w:line="240" w:lineRule="auto"/>
        <w:jc w:val="both"/>
      </w:pPr>
      <w:r>
        <w:rPr>
          <w:rFonts w:ascii="Palatino Linotype" w:hAnsi="Palatino Linotype" w:eastAsia="Palatino Linotype"/>
          <w:b/>
          <w:i w:val="0"/>
          <w:sz w:val="20"/>
        </w:rPr>
        <w:t>Reynolds-averaged Navier–Stokes.</w:t>
      </w:r>
      <w:r>
        <w:rPr>
          <w:rFonts w:ascii="Palatino Linotype" w:hAnsi="Palatino Linotype" w:eastAsia="Palatino Linotype"/>
          <w:b w:val="0"/>
          <w:i w:val="0"/>
          <w:sz w:val="20"/>
        </w:rPr>
        <w:t xml:space="preserve"> A structured three-dimensional solution over the wing and blended centre body, at the cruise Reynolds number and at zero lift, replaces the strip method's weakest term — its treatment of a twenty-five percent thick centre body as a two-dimensional section. The solution is fully turbulent. Its spread is quantified across three grids, four wall resolutions, two turbulence closures and two initialisation fields, and the turbulence closure dominates that spread.</w:t>
      </w:r>
    </w:p>
    <w:p>
      <w:pPr>
        <w:spacing w:before="0" w:after="80" w:line="240" w:lineRule="auto"/>
        <w:jc w:val="both"/>
      </w:pPr>
      <w:r>
        <w:rPr>
          <w:rFonts w:ascii="Palatino Linotype" w:hAnsi="Palatino Linotype" w:eastAsia="Palatino Linotype"/>
          <w:b/>
          <w:i w:val="0"/>
          <w:sz w:val="20"/>
        </w:rPr>
        <w:t>Point-mass transition simulation.</w:t>
      </w:r>
      <w:r>
        <w:rPr>
          <w:rFonts w:ascii="Palatino Linotype" w:hAnsi="Palatino Linotype" w:eastAsia="Palatino Linotype"/>
          <w:b w:val="0"/>
          <w:i w:val="0"/>
          <w:sz w:val="20"/>
        </w:rPr>
        <w:t xml:space="preserve"> The transition is simulated as a two-degree-of-freedom point mass. The body angle is driven kinematically from zero to ninety degrees over a rotation time; thrust acts along the body axis, lift perpendicular to the velocity vector and drag opposite to it; the lift curve is linear to stall and a flat-plate relation beyond it. </w:t>
      </w:r>
      <w:r>
        <w:rPr>
          <w:rFonts w:ascii="Palatino Linotype" w:hAnsi="Palatino Linotype" w:eastAsia="Palatino Linotype"/>
          <w:b/>
          <w:i w:val="0"/>
          <w:sz w:val="20"/>
        </w:rPr>
        <w:t>The aircraft does not rotate in this simulation — it is assumed to rotate, and the moment producing the rotation does not appear.</w:t>
      </w:r>
      <w:r>
        <w:rPr>
          <w:rFonts w:ascii="Palatino Linotype" w:hAnsi="Palatino Linotype" w:eastAsia="Palatino Linotype"/>
          <w:b w:val="0"/>
          <w:i w:val="0"/>
          <w:sz w:val="20"/>
        </w:rPr>
        <w:t xml:space="preserve"> Whether the moment exists is a separate calculation, below.</w:t>
      </w:r>
    </w:p>
    <w:p>
      <w:pPr>
        <w:spacing w:before="0" w:after="80" w:line="240" w:lineRule="auto"/>
        <w:jc w:val="both"/>
      </w:pPr>
      <w:r>
        <w:rPr>
          <w:rFonts w:ascii="Palatino Linotype" w:hAnsi="Palatino Linotype" w:eastAsia="Palatino Linotype"/>
          <w:b/>
          <w:i w:val="0"/>
          <w:sz w:val="20"/>
        </w:rPr>
        <w:t>Rotational-authority and mass models.</w:t>
      </w:r>
      <w:r>
        <w:rPr>
          <w:rFonts w:ascii="Palatino Linotype" w:hAnsi="Palatino Linotype" w:eastAsia="Palatino Linotype"/>
          <w:b w:val="0"/>
          <w:i w:val="0"/>
          <w:sz w:val="20"/>
        </w:rPr>
        <w:t xml:space="preserve"> A component build-up distributes mass over the planform in proportion to the internal volume available to hold it, which fixes the centre of gravity and the moment of inertia about the axis the transition rotates about. Two rotation profiles a finite moment can produce — bang-bang and smooth — bracket the required moment, and the available moment follows from the tip-pair thrust and the frame length.</w:t>
      </w:r>
    </w:p>
    <w:p>
      <w:pPr>
        <w:spacing w:before="0" w:after="80" w:line="240" w:lineRule="auto"/>
        <w:jc w:val="both"/>
      </w:pPr>
      <w:r>
        <w:rPr>
          <w:rFonts w:ascii="Palatino Linotype" w:hAnsi="Palatino Linotype" w:eastAsia="Palatino Linotype"/>
          <w:b w:val="0"/>
          <w:i w:val="0"/>
          <w:sz w:val="20"/>
        </w:rPr>
        <w:t>Every script that produces a number in this paper is in the repository named in the Data Availability statement, together with the convergence studies and a record of the calculations that failed.</w:t>
      </w:r>
    </w:p>
    <w:p>
      <w:pPr>
        <w:spacing w:before="200" w:after="80"/>
      </w:pPr>
      <w:r>
        <w:rPr>
          <w:rFonts w:ascii="Palatino Linotype" w:hAnsi="Palatino Linotype" w:eastAsia="Palatino Linotype"/>
          <w:b/>
          <w:i w:val="0"/>
          <w:sz w:val="22"/>
        </w:rPr>
        <w:t>2.14 Use of artificial-intelligence tools</w:t>
      </w:r>
    </w:p>
    <w:p>
      <w:pPr>
        <w:spacing w:before="0" w:after="80" w:line="240" w:lineRule="auto"/>
        <w:jc w:val="both"/>
      </w:pPr>
      <w:r>
        <w:rPr>
          <w:rFonts w:ascii="Palatino Linotype" w:hAnsi="Palatino Linotype" w:eastAsia="Palatino Linotype"/>
          <w:b w:val="0"/>
          <w:i w:val="0"/>
          <w:sz w:val="20"/>
        </w:rPr>
        <w:t>Large-language-model assistants were used during this study for three purposes, and the distinction between them matters for what the reader should check.</w:t>
      </w:r>
    </w:p>
    <w:p>
      <w:pPr>
        <w:spacing w:before="0" w:after="80" w:line="240" w:lineRule="auto"/>
        <w:jc w:val="both"/>
      </w:pPr>
      <w:r>
        <w:rPr>
          <w:rFonts w:ascii="Palatino Linotype" w:hAnsi="Palatino Linotype" w:eastAsia="Palatino Linotype"/>
          <w:b w:val="0"/>
          <w:i w:val="0"/>
          <w:sz w:val="20"/>
        </w:rPr>
        <w:t xml:space="preserve">They were used to </w:t>
      </w:r>
      <w:r>
        <w:rPr>
          <w:rFonts w:ascii="Palatino Linotype" w:hAnsi="Palatino Linotype" w:eastAsia="Palatino Linotype"/>
          <w:b/>
          <w:i w:val="0"/>
          <w:sz w:val="20"/>
        </w:rPr>
        <w:t>search and triage literature</w:t>
      </w:r>
      <w:r>
        <w:rPr>
          <w:rFonts w:ascii="Palatino Linotype" w:hAnsi="Palatino Linotype" w:eastAsia="Palatino Linotype"/>
          <w:b w:val="0"/>
          <w:i w:val="0"/>
          <w:sz w:val="20"/>
        </w:rPr>
        <w:t xml:space="preserve"> — proposing candidate sources against a stated question. No number or claim in this paper rests on a model's description of a source. Every source cited was obtained as the original document and read by the authors before citation, a rule adopted after search-derived summaries produced three incorrect values early in the study, and one that has since caught two further cases in which a proposed source stated the opposite of what it was offered for.</w:t>
      </w:r>
    </w:p>
    <w:p>
      <w:pPr>
        <w:spacing w:before="0" w:after="80" w:line="240" w:lineRule="auto"/>
        <w:jc w:val="both"/>
      </w:pPr>
      <w:r>
        <w:rPr>
          <w:rFonts w:ascii="Palatino Linotype" w:hAnsi="Palatino Linotype" w:eastAsia="Palatino Linotype"/>
          <w:b w:val="0"/>
          <w:i w:val="0"/>
          <w:sz w:val="20"/>
        </w:rPr>
        <w:t xml:space="preserve">They were used to </w:t>
      </w:r>
      <w:r>
        <w:rPr>
          <w:rFonts w:ascii="Palatino Linotype" w:hAnsi="Palatino Linotype" w:eastAsia="Palatino Linotype"/>
          <w:b/>
          <w:i w:val="0"/>
          <w:sz w:val="20"/>
        </w:rPr>
        <w:t>check numerical work</w:t>
      </w:r>
      <w:r>
        <w:rPr>
          <w:rFonts w:ascii="Palatino Linotype" w:hAnsi="Palatino Linotype" w:eastAsia="Palatino Linotype"/>
          <w:b w:val="0"/>
          <w:i w:val="0"/>
          <w:sz w:val="20"/>
        </w:rPr>
        <w:t xml:space="preserve"> — recomputing published arithmetic, auditing units and cross-references, and questioning derivations. Several corrections recorded in Sections 3 and 4 originated this way, including the thrust-to-weight inconsistency of Section 3.15, the station-mixing error in the buffer power of Section 3.4, and the misattributed comparative table of Section 3.6. In each case the correction was reproduced independently from the underlying model before it was adopted, and the reproduction rather than the suggestion is what is reported.</w:t>
      </w:r>
    </w:p>
    <w:p>
      <w:pPr>
        <w:spacing w:before="0" w:after="80" w:line="240" w:lineRule="auto"/>
        <w:jc w:val="both"/>
      </w:pPr>
      <w:r>
        <w:rPr>
          <w:rFonts w:ascii="Palatino Linotype" w:hAnsi="Palatino Linotype" w:eastAsia="Palatino Linotype"/>
          <w:b w:val="0"/>
          <w:i w:val="0"/>
          <w:sz w:val="20"/>
        </w:rPr>
        <w:t xml:space="preserve">They were used for </w:t>
      </w:r>
      <w:r>
        <w:rPr>
          <w:rFonts w:ascii="Palatino Linotype" w:hAnsi="Palatino Linotype" w:eastAsia="Palatino Linotype"/>
          <w:b/>
          <w:i w:val="0"/>
          <w:sz w:val="20"/>
        </w:rPr>
        <w:t>language editing</w:t>
      </w:r>
      <w:r>
        <w:rPr>
          <w:rFonts w:ascii="Palatino Linotype" w:hAnsi="Palatino Linotype" w:eastAsia="Palatino Linotype"/>
          <w:b w:val="0"/>
          <w:i w:val="0"/>
          <w:sz w:val="20"/>
        </w:rPr>
        <w:t>.</w:t>
      </w:r>
    </w:p>
    <w:p>
      <w:pPr>
        <w:spacing w:before="0" w:after="80" w:line="240" w:lineRule="auto"/>
        <w:jc w:val="both"/>
      </w:pPr>
      <w:r>
        <w:rPr>
          <w:rFonts w:ascii="Palatino Linotype" w:hAnsi="Palatino Linotype" w:eastAsia="Palatino Linotype"/>
          <w:b w:val="0"/>
          <w:i w:val="0"/>
          <w:sz w:val="20"/>
        </w:rPr>
        <w:t>No text was accepted without review, no result was generated by a model, and the authors take full responsibility for the content of this publication. The prompts, the responses and the resulting corrections are in the repository, so a reader who wishes to audit this use can do so rather than take the statement on trust.</w:t>
      </w:r>
    </w:p>
    <w:p>
      <w:pPr>
        <w:spacing w:before="200" w:after="80"/>
      </w:pPr>
      <w:r>
        <w:rPr>
          <w:rFonts w:ascii="Palatino Linotype" w:hAnsi="Palatino Linotype" w:eastAsia="Palatino Linotype"/>
          <w:b/>
          <w:i w:val="0"/>
          <w:sz w:val="26"/>
        </w:rPr>
        <w:t>3. Results</w:t>
      </w:r>
    </w:p>
    <w:p>
      <w:pPr>
        <w:spacing w:before="0" w:after="80" w:line="240" w:lineRule="auto"/>
        <w:jc w:val="both"/>
      </w:pPr>
      <w:r>
        <w:rPr>
          <w:rFonts w:ascii="Palatino Linotype" w:hAnsi="Palatino Linotype" w:eastAsia="Palatino Linotype"/>
          <w:b w:val="0"/>
          <w:i w:val="0"/>
          <w:sz w:val="20"/>
        </w:rPr>
        <w:t>Results are given in four groups: the framework tested against published sizing studies (Section 3.1), the three charges audited against the proposed configuration (Sections 3.2 to 3.6), two reference designs with the bounds on their assumed coefficients and a component build-up of their mass (Sections 3.7 to 3.11), and the flight profile with the transition analysis (Sections 3.12 to 3.17). Every number is calculated rather than measured; Section 4 states what that means.</w:t>
      </w:r>
    </w:p>
    <w:p>
      <w:pPr>
        <w:spacing w:before="200" w:after="80"/>
      </w:pPr>
      <w:r>
        <w:rPr>
          <w:rFonts w:ascii="Palatino Linotype" w:hAnsi="Palatino Linotype" w:eastAsia="Palatino Linotype"/>
          <w:b/>
          <w:i w:val="0"/>
          <w:sz w:val="22"/>
        </w:rPr>
        <w:t>3.1 The three bills stated formally</w:t>
      </w:r>
    </w:p>
    <w:p>
      <w:pPr>
        <w:spacing w:before="0" w:after="80" w:line="240" w:lineRule="auto"/>
        <w:jc w:val="both"/>
      </w:pPr>
      <w:r>
        <w:rPr>
          <w:rFonts w:ascii="Palatino Linotype" w:hAnsi="Palatino Linotype" w:eastAsia="Palatino Linotype"/>
          <w:b w:val="0"/>
          <w:i w:val="0"/>
          <w:sz w:val="20"/>
        </w:rPr>
        <w:t>Supplementary S6 states the three bills as equations and gives the transfer table that shows them to be one quantity in three currencies: a design that refuses to pay one of them pays it in another. The short form is that each bill is a fraction of take-off mass, exposed cruise drag, or installed continuous power, and that the three are linked by the sizing loop — mass drives thrust, thrust drives power, power drives mass — so that relieving one without relieving its cause simply moves the charge.</w:t>
      </w:r>
    </w:p>
    <w:p>
      <w:pPr>
        <w:spacing w:before="0" w:after="80" w:line="240" w:lineRule="auto"/>
        <w:jc w:val="both"/>
      </w:pPr>
      <w:r>
        <w:rPr>
          <w:rFonts w:ascii="Palatino Linotype" w:hAnsi="Palatino Linotype" w:eastAsia="Palatino Linotype"/>
          <w:b/>
          <w:i w:val="0"/>
          <w:sz w:val="20"/>
        </w:rPr>
        <w:t>A consequence that can be checked against published work.</w:t>
      </w:r>
      <w:r>
        <w:rPr>
          <w:rFonts w:ascii="Palatino Linotype" w:hAnsi="Palatino Linotype" w:eastAsia="Palatino Linotype"/>
          <w:b w:val="0"/>
          <w:i w:val="0"/>
          <w:sz w:val="20"/>
        </w:rPr>
        <w:t xml:space="preserve"> If the framework is right, then for the same mission a configuration carrying a dedicated lift system should pay for it in gross weight, and that payment should </w:t>
      </w:r>
      <w:r>
        <w:rPr>
          <w:rFonts w:ascii="Palatino Linotype" w:hAnsi="Palatino Linotype" w:eastAsia="Palatino Linotype"/>
          <w:b w:val="0"/>
          <w:i/>
          <w:sz w:val="20"/>
        </w:rPr>
        <w:t>not</w:t>
      </w:r>
      <w:r>
        <w:rPr>
          <w:rFonts w:ascii="Palatino Linotype" w:hAnsi="Palatino Linotype" w:eastAsia="Palatino Linotype"/>
          <w:b w:val="0"/>
          <w:i w:val="0"/>
          <w:sz w:val="20"/>
        </w:rPr>
        <w:t xml:space="preserve"> be recovered by the cruise efficiency the arrangement buys. This is a sharper prediction than it first appears, because it forbids the obvious defence: it says the efficiency gain is real and still insufficient. The NASA sizing set is a direct test of it. Against a common mission of 1 200 lb of payload over 75 nautical miles, the turboshaft quadrotor — which has no cruise wing, and therefore no dedicated lift hardware to carry — sizes at an effective lift-to-drag ratio of 4.9 and a design gross weight of 3 678 lb, while the turbo-electric lift-plus-cruise reaches 8.5 and weighs 7 271 lb [22]. </w:t>
      </w:r>
      <w:r>
        <w:rPr>
          <w:rFonts w:ascii="Palatino Linotype" w:hAnsi="Palatino Linotype" w:eastAsia="Palatino Linotype"/>
          <w:b/>
          <w:i w:val="0"/>
          <w:sz w:val="20"/>
        </w:rPr>
        <w:t>Its cruise efficiency is seventy percent better and it is nearly twice as heavy</w:t>
      </w:r>
      <w:r>
        <w:rPr>
          <w:rFonts w:ascii="Palatino Linotype" w:hAnsi="Palatino Linotype" w:eastAsia="Palatino Linotype"/>
          <w:b w:val="0"/>
          <w:i w:val="0"/>
          <w:sz w:val="20"/>
        </w:rPr>
        <w:t>, which is the prediction and not a counter-example to it. The tilt-wing in the same set reaches 8.6 — higher than every lift-plus-cruise entry — while carrying no dedicated lift system at all, and it is the one configuration in the table that uses the same hardware in both regimes. The framework does not predict the numbers; it predicts that the weight charge survives the efficiency credit, and in this set it does.</w:t>
      </w:r>
    </w:p>
    <w:p>
      <w:pPr>
        <w:spacing w:before="0" w:after="80" w:line="240" w:lineRule="auto"/>
        <w:jc w:val="both"/>
      </w:pPr>
      <w:r>
        <w:rPr>
          <w:rFonts w:ascii="Palatino Linotype" w:hAnsi="Palatino Linotype" w:eastAsia="Palatino Linotype"/>
          <w:b/>
          <w:i w:val="0"/>
          <w:sz w:val="20"/>
        </w:rPr>
        <w:t>What the framework does not claim.</w:t>
      </w:r>
      <w:r>
        <w:rPr>
          <w:rFonts w:ascii="Palatino Linotype" w:hAnsi="Palatino Linotype" w:eastAsia="Palatino Linotype"/>
          <w:b w:val="0"/>
          <w:i w:val="0"/>
          <w:sz w:val="20"/>
        </w:rPr>
        <w:t xml:space="preserve"> It does not claim that avoiding the three bills makes an aircraft better, only cheaper in those three specific currencies. A configuration may avoid all three and still be unbuildable, uncontrollable, or unsuited to its mission — and Sections 3 and 4 are about exactly that possibility for the configuration proposed here. Nor does it claim the bills are the only costs; they are the ones that follow from the duty-cycle mismatch of Section 2.1, and a design pays many others.</w:t>
      </w:r>
    </w:p>
    <w:p>
      <w:pPr>
        <w:spacing w:before="0" w:after="80" w:line="240" w:lineRule="auto"/>
        <w:jc w:val="both"/>
      </w:pPr>
      <w:r>
        <w:rPr>
          <w:rFonts w:ascii="Palatino Linotype" w:hAnsi="Palatino Linotype" w:eastAsia="Palatino Linotype"/>
          <w:b w:val="0"/>
          <w:i w:val="0"/>
          <w:sz w:val="20"/>
        </w:rPr>
        <w:t>Sections 2.1 to 2.6 identified three bills and argued that they are one quantity paid in three currencies. Sections 2.7 to 2.11 described a configuration built to satisfy the zero-bill condition. This section audits that claim bill by bill, and then states, in the same detail, what the configuration does pay. The second half is not a concession appended for balance. An architecture that claimed to pay nothing would be describing a different aircraft from the one in Section 2.</w:t>
      </w:r>
    </w:p>
    <w:p>
      <w:pPr>
        <w:spacing w:before="200" w:after="80"/>
      </w:pPr>
      <w:r>
        <w:rPr>
          <w:rFonts w:ascii="Palatino Linotype" w:hAnsi="Palatino Linotype" w:eastAsia="Palatino Linotype"/>
          <w:b/>
          <w:i w:val="0"/>
          <w:sz w:val="22"/>
        </w:rPr>
        <w:t>3.2 Bill 1 — mass: the charge does not arise</w:t>
      </w:r>
    </w:p>
    <w:p>
      <w:pPr>
        <w:spacing w:before="0" w:after="80" w:line="240" w:lineRule="auto"/>
        <w:jc w:val="both"/>
      </w:pPr>
      <w:r>
        <w:rPr>
          <w:rFonts w:ascii="Palatino Linotype" w:hAnsi="Palatino Linotype" w:eastAsia="Palatino Linotype"/>
          <w:b w:val="0"/>
          <w:i w:val="0"/>
          <w:sz w:val="20"/>
        </w:rPr>
        <w:t>There is no second propulsion group. The nose pair that lifts the aircraft off the ground is the same pair, in the same orientation, at the same station, that propels it in cruise. Nothing is carried unused.</w:t>
      </w:r>
    </w:p>
    <w:p>
      <w:pPr>
        <w:spacing w:before="0" w:after="80" w:line="240" w:lineRule="auto"/>
        <w:jc w:val="both"/>
      </w:pPr>
      <w:r>
        <w:rPr>
          <w:rFonts w:ascii="Palatino Linotype" w:hAnsi="Palatino Linotype" w:eastAsia="Palatino Linotype"/>
          <w:b w:val="0"/>
          <w:i w:val="0"/>
          <w:sz w:val="20"/>
        </w:rPr>
        <w:t>This is the whole of the argument, and its brevity is the point. The bill was never a consequence of poor design in lift-plus-cruise aircraft; it was a consequence of counting two propulsion systems where the mission needs one. A configuration that counts one does not reduce the bill — it does not generate it.</w:t>
      </w:r>
    </w:p>
    <w:p>
      <w:pPr>
        <w:spacing w:before="0" w:after="80" w:line="240" w:lineRule="auto"/>
        <w:jc w:val="both"/>
      </w:pPr>
      <w:r>
        <w:rPr>
          <w:rFonts w:ascii="Palatino Linotype" w:hAnsi="Palatino Linotype" w:eastAsia="Palatino Linotype"/>
          <w:b w:val="0"/>
          <w:i w:val="0"/>
          <w:sz w:val="20"/>
        </w:rPr>
        <w:t>The tip pairs are a genuine addition and are accounted for in Section 3.5. They are not a second propulsion group: they are sized from the moment requirement rather than from hover weight support, though Section 3.15 shows that the thrust that sizing gives them also supplies the aircraft's entire take-off margin. In the vertical phase they draw 1.34 kW against the nose pair's 10.9 kW, which is twelve percent.</w:t>
      </w:r>
    </w:p>
    <w:p>
      <w:pPr>
        <w:spacing w:before="200" w:after="80"/>
      </w:pPr>
      <w:r>
        <w:rPr>
          <w:rFonts w:ascii="Palatino Linotype" w:hAnsi="Palatino Linotype" w:eastAsia="Palatino Linotype"/>
          <w:b/>
          <w:i w:val="0"/>
          <w:sz w:val="22"/>
        </w:rPr>
        <w:t>3.3 Bill 2 — drag: reduced, and larger than assumed</w:t>
      </w:r>
    </w:p>
    <w:p>
      <w:pPr>
        <w:spacing w:before="0" w:after="80" w:line="240" w:lineRule="auto"/>
        <w:jc w:val="both"/>
      </w:pPr>
      <w:r>
        <w:rPr>
          <w:rFonts w:ascii="Palatino Linotype" w:hAnsi="Palatino Linotype" w:eastAsia="Palatino Linotype"/>
          <w:b w:val="0"/>
          <w:i w:val="0"/>
          <w:sz w:val="20"/>
        </w:rPr>
        <w:t xml:space="preserve">In cruise there is no stopped rotor in the airstream, because there is no rotor that stops. The nose pair is the cruise propulsor and runs at its design condition throughout. The quarter of lift-to-drag ratio that Section 2.3 reports as the measured cost of installing hover hardware is not incurred — not reduced, not mitigated, but </w:t>
      </w:r>
      <w:r>
        <w:rPr>
          <w:rFonts w:ascii="Palatino Linotype" w:hAnsi="Palatino Linotype" w:eastAsia="Palatino Linotype"/>
          <w:b/>
          <w:i w:val="0"/>
          <w:sz w:val="20"/>
        </w:rPr>
        <w:t>absent</w:t>
      </w:r>
      <w:r>
        <w:rPr>
          <w:rFonts w:ascii="Palatino Linotype" w:hAnsi="Palatino Linotype" w:eastAsia="Palatino Linotype"/>
          <w:b w:val="0"/>
          <w:i w:val="0"/>
          <w:sz w:val="20"/>
        </w:rPr>
        <w:t>, because the hardware that causes it does not exist here. Nor is there a retraction mechanism, so the transfer of Bill 2 into Bill 1 does not occur either. Where lift rotors are retained, keeping their drag small needs an indexing mechanism to stop them at a favourable azimuth, or a retraction mechanism to stow them; both are mass and both are failure modes, and a configuration with no rotor to stop needs neither.</w:t>
      </w:r>
    </w:p>
    <w:p>
      <w:pPr>
        <w:spacing w:before="0" w:after="80" w:line="240" w:lineRule="auto"/>
        <w:jc w:val="both"/>
      </w:pPr>
      <w:r>
        <w:rPr>
          <w:rFonts w:ascii="Palatino Linotype" w:hAnsi="Palatino Linotype" w:eastAsia="Palatino Linotype"/>
          <w:b/>
          <w:i w:val="0"/>
          <w:sz w:val="20"/>
        </w:rPr>
        <w:t>That carries a condition the paper had not stated, and it is a sharp one.</w:t>
      </w:r>
      <w:r>
        <w:rPr>
          <w:rFonts w:ascii="Palatino Linotype" w:hAnsi="Palatino Linotype" w:eastAsia="Palatino Linotype"/>
          <w:b w:val="0"/>
          <w:i w:val="0"/>
          <w:sz w:val="20"/>
        </w:rPr>
        <w:t xml:space="preserve"> The four tip pairs </w:t>
      </w:r>
      <w:r>
        <w:rPr>
          <w:rFonts w:ascii="Palatino Linotype" w:hAnsi="Palatino Linotype" w:eastAsia="Palatino Linotype"/>
          <w:b w:val="0"/>
          <w:i/>
          <w:sz w:val="20"/>
        </w:rPr>
        <w:t>are</w:t>
      </w:r>
      <w:r>
        <w:rPr>
          <w:rFonts w:ascii="Palatino Linotype" w:hAnsi="Palatino Linotype" w:eastAsia="Palatino Linotype"/>
          <w:b w:val="0"/>
          <w:i w:val="0"/>
          <w:sz w:val="20"/>
        </w:rPr>
        <w:t xml:space="preserve"> rotors, and the claim holds only if they do not stop in cruise. Their eight discs sweep 0.251 m², </w:t>
      </w:r>
      <w:r>
        <w:rPr>
          <w:rFonts w:ascii="Palatino Linotype" w:hAnsi="Palatino Linotype" w:eastAsia="Palatino Linotype"/>
          <w:b/>
          <w:i w:val="0"/>
          <w:sz w:val="20"/>
        </w:rPr>
        <w:t>12.7 percent of the wing area</w:t>
      </w:r>
      <w:r>
        <w:rPr>
          <w:rFonts w:ascii="Palatino Linotype" w:hAnsi="Palatino Linotype" w:eastAsia="Palatino Linotype"/>
          <w:b w:val="0"/>
          <w:i w:val="0"/>
          <w:sz w:val="20"/>
        </w:rPr>
        <w:t xml:space="preserve"> — not a small object to leave in the airstream in the wrong state (Table 3):</w:t>
      </w:r>
    </w:p>
    <w:p>
      <w:pPr>
        <w:spacing w:before="0" w:after="80" w:line="240" w:lineRule="auto"/>
        <w:jc w:val="both"/>
        <w:keepNext/>
      </w:pPr>
      <w:r>
        <w:rPr>
          <w:rFonts w:ascii="Palatino Linotype" w:hAnsi="Palatino Linotype" w:eastAsia="Palatino Linotype"/>
          <w:b/>
          <w:i w:val="0"/>
          <w:sz w:val="20"/>
        </w:rPr>
        <w:t>Table 3.</w:t>
      </w:r>
      <w:r>
        <w:rPr>
          <w:rFonts w:ascii="Palatino Linotype" w:hAnsi="Palatino Linotype" w:eastAsia="Palatino Linotype"/>
          <w:b w:val="0"/>
          <w:i w:val="0"/>
          <w:sz w:val="20"/>
        </w:rPr>
        <w:t xml:space="preserve"> Cruise zero-lift drag increment of the eight tip discs in four cruise states, against the 0.0248 assumed for the clean airframe.</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Tip rotors in cruise</w:t>
            </w:r>
          </w:p>
        </w:tc>
        <w:tc>
          <w:tcPr>
            <w:tcW w:type="dxa" w:w="3324"/>
          </w:tcPr>
          <w:p>
            <w:pPr>
              <w:spacing w:before="20" w:after="20"/>
            </w:pPr>
            <w:r/>
            <w:r>
              <w:rPr>
                <w:rFonts w:ascii="Palatino Linotype" w:hAnsi="Palatino Linotype" w:eastAsia="Palatino Linotype"/>
                <w:b/>
                <w:i w:val="0"/>
                <w:sz w:val="18"/>
              </w:rPr>
              <w:t>ΔC_D0</w:t>
            </w:r>
          </w:p>
        </w:tc>
        <w:tc>
          <w:tcPr>
            <w:tcW w:type="dxa" w:w="3324"/>
          </w:tcPr>
          <w:p>
            <w:pPr>
              <w:spacing w:before="20" w:after="20"/>
            </w:pPr>
            <w:r/>
            <w:r>
              <w:rPr>
                <w:rFonts w:ascii="Palatino Linotype" w:hAnsi="Palatino Linotype" w:eastAsia="Palatino Linotype"/>
                <w:b/>
                <w:i w:val="0"/>
                <w:sz w:val="18"/>
              </w:rPr>
              <w:t>of the 0.0248 assumed</w:t>
            </w:r>
          </w:p>
        </w:tc>
      </w:tr>
      <w:tr>
        <w:trPr>
          <w:cantSplit/>
        </w:trPr>
        <w:tc>
          <w:tcPr>
            <w:tcW w:type="dxa" w:w="3324"/>
          </w:tcPr>
          <w:p>
            <w:pPr>
              <w:spacing w:before="20" w:after="20"/>
            </w:pPr>
            <w:r/>
            <w:r>
              <w:rPr>
                <w:rFonts w:ascii="Palatino Linotype" w:hAnsi="Palatino Linotype" w:eastAsia="Palatino Linotype"/>
                <w:b w:val="0"/>
                <w:i w:val="0"/>
                <w:sz w:val="18"/>
              </w:rPr>
              <w:t>turning at zero shaft load, blades at low incidence</w:t>
            </w:r>
          </w:p>
        </w:tc>
        <w:tc>
          <w:tcPr>
            <w:tcW w:type="dxa" w:w="3324"/>
          </w:tcPr>
          <w:p>
            <w:pPr>
              <w:spacing w:before="20" w:after="20"/>
            </w:pPr>
            <w:r/>
            <w:r>
              <w:rPr>
                <w:rFonts w:ascii="Palatino Linotype" w:hAnsi="Palatino Linotype" w:eastAsia="Palatino Linotype"/>
                <w:b w:val="0"/>
                <w:i w:val="0"/>
                <w:sz w:val="18"/>
              </w:rPr>
              <w:t xml:space="preserve">0.0003 – 0.0008 </w:t>
            </w:r>
            <w:r>
              <w:rPr>
                <w:rFonts w:ascii="Palatino Linotype" w:hAnsi="Palatino Linotype" w:eastAsia="Palatino Linotype"/>
                <w:b w:val="0"/>
                <w:i/>
                <w:sz w:val="18"/>
              </w:rPr>
              <w:t>(assumed)</w:t>
            </w:r>
          </w:p>
        </w:tc>
        <w:tc>
          <w:tcPr>
            <w:tcW w:type="dxa" w:w="3324"/>
          </w:tcPr>
          <w:p>
            <w:pPr>
              <w:spacing w:before="20" w:after="20"/>
            </w:pPr>
            <w:r/>
            <w:r>
              <w:rPr>
                <w:rFonts w:ascii="Palatino Linotype" w:hAnsi="Palatino Linotype" w:eastAsia="Palatino Linotype"/>
                <w:b w:val="0"/>
                <w:i w:val="0"/>
                <w:sz w:val="18"/>
              </w:rPr>
              <w:t>1 – 3 %</w:t>
            </w:r>
          </w:p>
        </w:tc>
      </w:tr>
      <w:tr>
        <w:trPr>
          <w:cantSplit/>
        </w:trPr>
        <w:tc>
          <w:tcPr>
            <w:tcW w:type="dxa" w:w="3324"/>
          </w:tcPr>
          <w:p>
            <w:pPr>
              <w:spacing w:before="20" w:after="20"/>
            </w:pPr>
            <w:r/>
            <w:r>
              <w:rPr>
                <w:rFonts w:ascii="Palatino Linotype" w:hAnsi="Palatino Linotype" w:eastAsia="Palatino Linotype"/>
                <w:b w:val="0"/>
                <w:i w:val="0"/>
                <w:sz w:val="18"/>
              </w:rPr>
              <w:t xml:space="preserve">turning at zero shaft load, </w:t>
            </w:r>
            <w:r>
              <w:rPr>
                <w:rFonts w:ascii="Palatino Linotype" w:hAnsi="Palatino Linotype" w:eastAsia="Palatino Linotype"/>
                <w:b/>
                <w:i w:val="0"/>
                <w:sz w:val="18"/>
              </w:rPr>
              <w:t>computed below</w:t>
            </w:r>
          </w:p>
        </w:tc>
        <w:tc>
          <w:tcPr>
            <w:tcW w:type="dxa" w:w="3324"/>
          </w:tcPr>
          <w:p>
            <w:pPr>
              <w:spacing w:before="20" w:after="20"/>
            </w:pPr>
            <w:r/>
            <w:r>
              <w:rPr>
                <w:rFonts w:ascii="Palatino Linotype" w:hAnsi="Palatino Linotype" w:eastAsia="Palatino Linotype"/>
                <w:b/>
                <w:i w:val="0"/>
                <w:sz w:val="18"/>
              </w:rPr>
              <w:t>0.0154 – 0.0423</w:t>
            </w:r>
          </w:p>
        </w:tc>
        <w:tc>
          <w:tcPr>
            <w:tcW w:type="dxa" w:w="3324"/>
          </w:tcPr>
          <w:p>
            <w:pPr>
              <w:spacing w:before="20" w:after="20"/>
            </w:pPr>
            <w:r/>
            <w:r>
              <w:rPr>
                <w:rFonts w:ascii="Palatino Linotype" w:hAnsi="Palatino Linotype" w:eastAsia="Palatino Linotype"/>
                <w:b/>
                <w:i w:val="0"/>
                <w:sz w:val="18"/>
              </w:rPr>
              <w:t>62 – 171 %</w:t>
            </w:r>
          </w:p>
        </w:tc>
      </w:tr>
      <w:tr>
        <w:trPr>
          <w:cantSplit/>
        </w:trPr>
        <w:tc>
          <w:tcPr>
            <w:tcW w:type="dxa" w:w="3324"/>
          </w:tcPr>
          <w:p>
            <w:pPr>
              <w:spacing w:before="20" w:after="20"/>
            </w:pPr>
            <w:r/>
            <w:r>
              <w:rPr>
                <w:rFonts w:ascii="Palatino Linotype" w:hAnsi="Palatino Linotype" w:eastAsia="Palatino Linotype"/>
                <w:b w:val="0"/>
                <w:i w:val="0"/>
                <w:sz w:val="18"/>
              </w:rPr>
              <w:t>stopped edge-on, at a chosen azimuth</w:t>
            </w:r>
          </w:p>
        </w:tc>
        <w:tc>
          <w:tcPr>
            <w:tcW w:type="dxa" w:w="3324"/>
          </w:tcPr>
          <w:p>
            <w:pPr>
              <w:spacing w:before="20" w:after="20"/>
            </w:pPr>
            <w:r/>
            <w:r>
              <w:rPr>
                <w:rFonts w:ascii="Palatino Linotype" w:hAnsi="Palatino Linotype" w:eastAsia="Palatino Linotype"/>
                <w:b w:val="0"/>
                <w:i w:val="0"/>
                <w:sz w:val="18"/>
              </w:rPr>
              <w:t>0.0008</w:t>
            </w:r>
          </w:p>
        </w:tc>
        <w:tc>
          <w:tcPr>
            <w:tcW w:type="dxa" w:w="3324"/>
          </w:tcPr>
          <w:p>
            <w:pPr>
              <w:spacing w:before="20" w:after="20"/>
            </w:pPr>
            <w:r/>
            <w:r>
              <w:rPr>
                <w:rFonts w:ascii="Palatino Linotype" w:hAnsi="Palatino Linotype" w:eastAsia="Palatino Linotype"/>
                <w:b w:val="0"/>
                <w:i w:val="0"/>
                <w:sz w:val="18"/>
              </w:rPr>
              <w:t>3 %</w:t>
            </w:r>
          </w:p>
        </w:tc>
      </w:tr>
      <w:tr>
        <w:trPr>
          <w:cantSplit/>
        </w:trPr>
        <w:tc>
          <w:tcPr>
            <w:tcW w:type="dxa" w:w="3324"/>
          </w:tcPr>
          <w:p>
            <w:pPr>
              <w:spacing w:before="20" w:after="20"/>
            </w:pPr>
            <w:r/>
            <w:r>
              <w:rPr>
                <w:rFonts w:ascii="Palatino Linotype" w:hAnsi="Palatino Linotype" w:eastAsia="Palatino Linotype"/>
                <w:b/>
                <w:i w:val="0"/>
                <w:sz w:val="18"/>
              </w:rPr>
              <w:t>stopped broadside, azimuth uncontrolled</w:t>
            </w:r>
          </w:p>
        </w:tc>
        <w:tc>
          <w:tcPr>
            <w:tcW w:type="dxa" w:w="3324"/>
          </w:tcPr>
          <w:p>
            <w:pPr>
              <w:spacing w:before="20" w:after="20"/>
            </w:pPr>
            <w:r/>
            <w:r>
              <w:rPr>
                <w:rFonts w:ascii="Palatino Linotype" w:hAnsi="Palatino Linotype" w:eastAsia="Palatino Linotype"/>
                <w:b/>
                <w:i w:val="0"/>
                <w:sz w:val="18"/>
              </w:rPr>
              <w:t>0.015 – 0.018</w:t>
            </w:r>
          </w:p>
        </w:tc>
        <w:tc>
          <w:tcPr>
            <w:tcW w:type="dxa" w:w="3324"/>
          </w:tcPr>
          <w:p>
            <w:pPr>
              <w:spacing w:before="20" w:after="20"/>
            </w:pPr>
            <w:r/>
            <w:r>
              <w:rPr>
                <w:rFonts w:ascii="Palatino Linotype" w:hAnsi="Palatino Linotype" w:eastAsia="Palatino Linotype"/>
                <w:b/>
                <w:i w:val="0"/>
                <w:sz w:val="18"/>
              </w:rPr>
              <w:t>61 – 74 %</w:t>
            </w:r>
          </w:p>
        </w:tc>
      </w:tr>
    </w:tbl>
    <w:p/>
    <w:p>
      <w:pPr>
        <w:spacing w:before="0" w:after="80" w:line="240" w:lineRule="auto"/>
        <w:jc w:val="both"/>
      </w:pPr>
      <w:r>
        <w:rPr>
          <w:rFonts w:ascii="Palatino Linotype" w:hAnsi="Palatino Linotype" w:eastAsia="Palatino Linotype"/>
          <w:b/>
          <w:i w:val="0"/>
          <w:sz w:val="20"/>
        </w:rPr>
        <w:t>The first and third rows were taken to differ by a factor of thirty, and that gap was the whole of the argument</w:t>
      </w:r>
      <w:r>
        <w:rPr>
          <w:rFonts w:ascii="Palatino Linotype" w:hAnsi="Palatino Linotype" w:eastAsia="Palatino Linotype"/>
          <w:b w:val="0"/>
          <w:i w:val="0"/>
          <w:sz w:val="20"/>
        </w:rPr>
        <w:t xml:space="preserve">: whatever the coefficients, a configuration that holds its tip rotors turning was held to be safely far from one that stops them broadside. The computed second row removes the gap. It is derived later in this section, and it is reported here rather than buried because it changes what this subsection concludes. The </w:t>
      </w:r>
      <w:r>
        <w:rPr>
          <w:rFonts w:ascii="Palatino Linotype" w:hAnsi="Palatino Linotype" w:eastAsia="Palatino Linotype"/>
          <w:b w:val="0"/>
          <w:i/>
          <w:sz w:val="20"/>
        </w:rPr>
        <w:t>stopped edge-on</w:t>
      </w:r>
      <w:r>
        <w:rPr>
          <w:rFonts w:ascii="Palatino Linotype" w:hAnsi="Palatino Linotype" w:eastAsia="Palatino Linotype"/>
          <w:b w:val="0"/>
          <w:i w:val="0"/>
          <w:sz w:val="20"/>
        </w:rPr>
        <w:t xml:space="preserve"> row shows, separately, why stopping the rotors is survivable only if azimuth is controlled — which is the indexing mechanism this section has just claimed the configuration does not need.</w:t>
      </w:r>
    </w:p>
    <w:p>
      <w:pPr>
        <w:spacing w:before="0" w:after="80" w:line="240" w:lineRule="auto"/>
        <w:jc w:val="both"/>
      </w:pPr>
      <w:r>
        <w:rPr>
          <w:rFonts w:ascii="Palatino Linotype" w:hAnsi="Palatino Linotype" w:eastAsia="Palatino Linotype"/>
          <w:b/>
          <w:i w:val="0"/>
          <w:sz w:val="20"/>
        </w:rPr>
        <w:t>The resolution needs no hardware and can be imposed as a control state, but its aerodynamic cost has to be computed rather than assumed away — and this section computes it.</w:t>
      </w:r>
      <w:r>
        <w:rPr>
          <w:rFonts w:ascii="Palatino Linotype" w:hAnsi="Palatino Linotype" w:eastAsia="Palatino Linotype"/>
          <w:b w:val="0"/>
          <w:i w:val="0"/>
          <w:sz w:val="20"/>
        </w:rPr>
        <w:t xml:space="preserve"> A fixed-pitch propeller left free settles at the advance ratio where net shaft torque is zero: inner sections drive, outer sections retard, and they balance. The shaft then does no work, so the motor neither drives nor brakes and the electrical cost is controller standby draw and bearing losses. The blades sit at low incidence, which was taken to put them in the first row — </w:t>
      </w:r>
      <w:r>
        <w:rPr>
          <w:rFonts w:ascii="Palatino Linotype" w:hAnsi="Palatino Linotype" w:eastAsia="Palatino Linotype"/>
          <w:b/>
          <w:i w:val="0"/>
          <w:sz w:val="20"/>
        </w:rPr>
        <w:t>an inference the calculation below overturns</w:t>
      </w:r>
      <w:r>
        <w:rPr>
          <w:rFonts w:ascii="Palatino Linotype" w:hAnsi="Palatino Linotype" w:eastAsia="Palatino Linotype"/>
          <w:b w:val="0"/>
          <w:i w:val="0"/>
          <w:sz w:val="20"/>
        </w:rPr>
        <w:t xml:space="preserve">, since low section incidence at high rotational speed is not the same thing as low drag. </w:t>
      </w:r>
      <w:r>
        <w:rPr>
          <w:rFonts w:ascii="Palatino Linotype" w:hAnsi="Palatino Linotype" w:eastAsia="Palatino Linotype"/>
          <w:b/>
          <w:i w:val="0"/>
          <w:sz w:val="20"/>
        </w:rPr>
        <w:t>The tip rotors are therefore held in cruise at the zero-shaft-torque condition — neither stopped nor driven</w:t>
      </w:r>
      <w:r>
        <w:rPr>
          <w:rFonts w:ascii="Palatino Linotype" w:hAnsi="Palatino Linotype" w:eastAsia="Palatino Linotype"/>
          <w:b w:val="0"/>
          <w:i w:val="0"/>
          <w:sz w:val="20"/>
        </w:rPr>
        <w:t xml:space="preserve"> — and this is the state assumed throughout Section 3. It is worth naming because both neighbouring states are wrong: driven, they cost propulsive power; stopped without azimuth control, they cost a substantial fraction of the aircraft's zero-lift drag. What the state costs </w:t>
      </w:r>
      <w:r>
        <w:rPr>
          <w:rFonts w:ascii="Palatino Linotype" w:hAnsi="Palatino Linotype" w:eastAsia="Palatino Linotype"/>
          <w:b w:val="0"/>
          <w:i/>
          <w:sz w:val="20"/>
        </w:rPr>
        <w:t>itself</w:t>
      </w:r>
      <w:r>
        <w:rPr>
          <w:rFonts w:ascii="Palatino Linotype" w:hAnsi="Palatino Linotype" w:eastAsia="Palatino Linotype"/>
          <w:b w:val="0"/>
          <w:i w:val="0"/>
          <w:sz w:val="20"/>
        </w:rPr>
        <w:t>, the paragraphs below now compute, and the answer is not the first row.</w:t>
      </w:r>
    </w:p>
    <w:p>
      <w:pPr>
        <w:spacing w:before="0" w:after="80" w:line="240" w:lineRule="auto"/>
        <w:jc w:val="both"/>
      </w:pPr>
      <w:r>
        <w:rPr>
          <w:rFonts w:ascii="Palatino Linotype" w:hAnsi="Palatino Linotype" w:eastAsia="Palatino Linotype"/>
          <w:b/>
          <w:i w:val="0"/>
          <w:sz w:val="20"/>
        </w:rPr>
        <w:t>That first row has since been computed rather than assumed, and it is the worst result in this paper.</w:t>
      </w:r>
      <w:r>
        <w:rPr>
          <w:rFonts w:ascii="Palatino Linotype" w:hAnsi="Palatino Linotype" w:eastAsia="Palatino Linotype"/>
          <w:b w:val="0"/>
          <w:i w:val="0"/>
          <w:sz w:val="20"/>
        </w:rPr>
        <w:t xml:space="preserve"> A blade-element calculation was set up the only way that makes the comparison mean anything: the blade is first </w:t>
      </w:r>
      <w:r>
        <w:rPr>
          <w:rFonts w:ascii="Palatino Linotype" w:hAnsi="Palatino Linotype" w:eastAsia="Palatino Linotype"/>
          <w:b w:val="0"/>
          <w:i/>
          <w:sz w:val="20"/>
        </w:rPr>
        <w:t>designed</w:t>
      </w:r>
      <w:r>
        <w:rPr>
          <w:rFonts w:ascii="Palatino Linotype" w:hAnsi="Palatino Linotype" w:eastAsia="Palatino Linotype"/>
          <w:b w:val="0"/>
          <w:i w:val="0"/>
          <w:sz w:val="20"/>
        </w:rPr>
        <w:t xml:space="preserve"> for the hover duty — each station twisted to a target section lift coefficient and chorded to carry its share of 8.1 N, with section data taken at each station's own Reynolds number — so that what is run at cruise is this aircraft's propeller rather than a generic one. Seven designs were built, spanning target section lift coefficients from 0.40 to 0.85 and hover figures of merit from 0.65 down to 0.27. Each was then run at 30 m s⁻¹ and the shaft speed found at which net torque is zero. Table 4 collects them.</w:t>
      </w:r>
    </w:p>
    <w:p>
      <w:pPr>
        <w:spacing w:before="0" w:after="80" w:line="240" w:lineRule="auto"/>
        <w:jc w:val="both"/>
        <w:keepNext/>
      </w:pPr>
      <w:r>
        <w:rPr>
          <w:rFonts w:ascii="Palatino Linotype" w:hAnsi="Palatino Linotype" w:eastAsia="Palatino Linotype"/>
          <w:b/>
          <w:i w:val="0"/>
          <w:sz w:val="20"/>
        </w:rPr>
        <w:t>Table 4.</w:t>
      </w:r>
      <w:r>
        <w:rPr>
          <w:rFonts w:ascii="Palatino Linotype" w:hAnsi="Palatino Linotype" w:eastAsia="Palatino Linotype"/>
          <w:b w:val="0"/>
          <w:i w:val="0"/>
          <w:sz w:val="20"/>
        </w:rPr>
        <w:t xml:space="preserve"> Seven tip-propeller designs run to their zero-torque free-wheeling state at 30 m s⁻¹. Shaft speed and tip Mach number were not recorded for the two designs added by the later solver-stability sweep.</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Design section c_l</w:t>
            </w:r>
          </w:p>
        </w:tc>
        <w:tc>
          <w:tcPr>
            <w:tcW w:type="dxa" w:w="1994"/>
          </w:tcPr>
          <w:p>
            <w:pPr>
              <w:spacing w:before="20" w:after="20"/>
            </w:pPr>
            <w:r/>
            <w:r>
              <w:rPr>
                <w:rFonts w:ascii="Palatino Linotype" w:hAnsi="Palatino Linotype" w:eastAsia="Palatino Linotype"/>
                <w:b/>
                <w:i w:val="0"/>
                <w:sz w:val="18"/>
              </w:rPr>
              <w:t>Hover figure of merit</w:t>
            </w:r>
          </w:p>
        </w:tc>
        <w:tc>
          <w:tcPr>
            <w:tcW w:type="dxa" w:w="1994"/>
          </w:tcPr>
          <w:p>
            <w:pPr>
              <w:spacing w:before="20" w:after="20"/>
            </w:pPr>
            <w:r/>
            <w:r>
              <w:rPr>
                <w:rFonts w:ascii="Palatino Linotype" w:hAnsi="Palatino Linotype" w:eastAsia="Palatino Linotype"/>
                <w:b/>
                <w:i w:val="0"/>
                <w:sz w:val="18"/>
              </w:rPr>
              <w:t>Free-wheeling speed</w:t>
            </w:r>
          </w:p>
        </w:tc>
        <w:tc>
          <w:tcPr>
            <w:tcW w:type="dxa" w:w="1994"/>
          </w:tcPr>
          <w:p>
            <w:pPr>
              <w:spacing w:before="20" w:after="20"/>
            </w:pPr>
            <w:r/>
            <w:r>
              <w:rPr>
                <w:rFonts w:ascii="Palatino Linotype" w:hAnsi="Palatino Linotype" w:eastAsia="Palatino Linotype"/>
                <w:b/>
                <w:i w:val="0"/>
                <w:sz w:val="18"/>
              </w:rPr>
              <w:t>Tip Mach</w:t>
            </w:r>
          </w:p>
        </w:tc>
        <w:tc>
          <w:tcPr>
            <w:tcW w:type="dxa" w:w="1994"/>
          </w:tcPr>
          <w:p>
            <w:pPr>
              <w:spacing w:before="20" w:after="20"/>
            </w:pPr>
            <w:r/>
            <w:r>
              <w:rPr>
                <w:rFonts w:ascii="Palatino Linotype" w:hAnsi="Palatino Linotype" w:eastAsia="Palatino Linotype"/>
                <w:b/>
                <w:i w:val="0"/>
                <w:sz w:val="18"/>
              </w:rPr>
              <w:t>ΔC_D0, eight discs</w:t>
            </w:r>
          </w:p>
        </w:tc>
      </w:tr>
      <w:tr>
        <w:trPr>
          <w:cantSplit/>
        </w:trPr>
        <w:tc>
          <w:tcPr>
            <w:tcW w:type="dxa" w:w="1994"/>
          </w:tcPr>
          <w:p>
            <w:pPr>
              <w:spacing w:before="20" w:after="20"/>
            </w:pPr>
            <w:r/>
            <w:r>
              <w:rPr>
                <w:rFonts w:ascii="Palatino Linotype" w:hAnsi="Palatino Linotype" w:eastAsia="Palatino Linotype"/>
                <w:b w:val="0"/>
                <w:i w:val="0"/>
                <w:sz w:val="18"/>
              </w:rPr>
              <w:t>0.40</w:t>
            </w:r>
          </w:p>
        </w:tc>
        <w:tc>
          <w:tcPr>
            <w:tcW w:type="dxa" w:w="1994"/>
          </w:tcPr>
          <w:p>
            <w:pPr>
              <w:spacing w:before="20" w:after="20"/>
            </w:pPr>
            <w:r/>
            <w:r>
              <w:rPr>
                <w:rFonts w:ascii="Palatino Linotype" w:hAnsi="Palatino Linotype" w:eastAsia="Palatino Linotype"/>
                <w:b w:val="0"/>
                <w:i w:val="0"/>
                <w:sz w:val="18"/>
              </w:rPr>
              <w:t>0.62</w:t>
            </w:r>
          </w:p>
        </w:tc>
        <w:tc>
          <w:tcPr>
            <w:tcW w:type="dxa" w:w="1994"/>
          </w:tcPr>
          <w:p>
            <w:pPr>
              <w:spacing w:before="20" w:after="20"/>
            </w:pPr>
            <w:r/>
            <w:r>
              <w:rPr>
                <w:rFonts w:ascii="Palatino Linotype" w:hAnsi="Palatino Linotype" w:eastAsia="Palatino Linotype"/>
                <w:b w:val="0"/>
                <w:i w:val="0"/>
                <w:sz w:val="18"/>
              </w:rPr>
              <w:t>36 400 rpm</w:t>
            </w:r>
          </w:p>
        </w:tc>
        <w:tc>
          <w:tcPr>
            <w:tcW w:type="dxa" w:w="1994"/>
          </w:tcPr>
          <w:p>
            <w:pPr>
              <w:spacing w:before="20" w:after="20"/>
            </w:pPr>
            <w:r/>
            <w:r>
              <w:rPr>
                <w:rFonts w:ascii="Palatino Linotype" w:hAnsi="Palatino Linotype" w:eastAsia="Palatino Linotype"/>
                <w:b w:val="0"/>
                <w:i w:val="0"/>
                <w:sz w:val="18"/>
              </w:rPr>
              <w:t>1.12</w:t>
            </w:r>
          </w:p>
        </w:tc>
        <w:tc>
          <w:tcPr>
            <w:tcW w:type="dxa" w:w="1994"/>
          </w:tcPr>
          <w:p>
            <w:pPr>
              <w:spacing w:before="20" w:after="20"/>
            </w:pPr>
            <w:r/>
            <w:r>
              <w:rPr>
                <w:rFonts w:ascii="Palatino Linotype" w:hAnsi="Palatino Linotype" w:eastAsia="Palatino Linotype"/>
                <w:b w:val="0"/>
                <w:i w:val="0"/>
                <w:sz w:val="18"/>
              </w:rPr>
              <w:t>0.0423</w:t>
            </w:r>
          </w:p>
        </w:tc>
      </w:tr>
      <w:tr>
        <w:trPr>
          <w:cantSplit/>
        </w:trPr>
        <w:tc>
          <w:tcPr>
            <w:tcW w:type="dxa" w:w="1994"/>
          </w:tcPr>
          <w:p>
            <w:pPr>
              <w:spacing w:before="20" w:after="20"/>
            </w:pPr>
            <w:r/>
            <w:r>
              <w:rPr>
                <w:rFonts w:ascii="Palatino Linotype" w:hAnsi="Palatino Linotype" w:eastAsia="Palatino Linotype"/>
                <w:b w:val="0"/>
                <w:i w:val="0"/>
                <w:sz w:val="18"/>
              </w:rPr>
              <w:t>0.55</w:t>
            </w:r>
          </w:p>
        </w:tc>
        <w:tc>
          <w:tcPr>
            <w:tcW w:type="dxa" w:w="1994"/>
          </w:tcPr>
          <w:p>
            <w:pPr>
              <w:spacing w:before="20" w:after="20"/>
            </w:pPr>
            <w:r/>
            <w:r>
              <w:rPr>
                <w:rFonts w:ascii="Palatino Linotype" w:hAnsi="Palatino Linotype" w:eastAsia="Palatino Linotype"/>
                <w:b w:val="0"/>
                <w:i w:val="0"/>
                <w:sz w:val="18"/>
              </w:rPr>
              <w:t>0.65</w:t>
            </w:r>
          </w:p>
        </w:tc>
        <w:tc>
          <w:tcPr>
            <w:tcW w:type="dxa" w:w="1994"/>
          </w:tcPr>
          <w:p>
            <w:pPr>
              <w:spacing w:before="20" w:after="20"/>
            </w:pPr>
            <w:r/>
            <w:r>
              <w:rPr>
                <w:rFonts w:ascii="Palatino Linotype" w:hAnsi="Palatino Linotype" w:eastAsia="Palatino Linotype"/>
                <w:b w:val="0"/>
                <w:i w:val="0"/>
                <w:sz w:val="18"/>
              </w:rPr>
              <w:t>29 200 rpm</w:t>
            </w:r>
          </w:p>
        </w:tc>
        <w:tc>
          <w:tcPr>
            <w:tcW w:type="dxa" w:w="1994"/>
          </w:tcPr>
          <w:p>
            <w:pPr>
              <w:spacing w:before="20" w:after="20"/>
            </w:pPr>
            <w:r/>
            <w:r>
              <w:rPr>
                <w:rFonts w:ascii="Palatino Linotype" w:hAnsi="Palatino Linotype" w:eastAsia="Palatino Linotype"/>
                <w:b w:val="0"/>
                <w:i w:val="0"/>
                <w:sz w:val="18"/>
              </w:rPr>
              <w:t>0.90</w:t>
            </w:r>
          </w:p>
        </w:tc>
        <w:tc>
          <w:tcPr>
            <w:tcW w:type="dxa" w:w="1994"/>
          </w:tcPr>
          <w:p>
            <w:pPr>
              <w:spacing w:before="20" w:after="20"/>
            </w:pPr>
            <w:r/>
            <w:r>
              <w:rPr>
                <w:rFonts w:ascii="Palatino Linotype" w:hAnsi="Palatino Linotype" w:eastAsia="Palatino Linotype"/>
                <w:b w:val="0"/>
                <w:i w:val="0"/>
                <w:sz w:val="18"/>
              </w:rPr>
              <w:t>0.0238</w:t>
            </w:r>
          </w:p>
        </w:tc>
      </w:tr>
      <w:tr>
        <w:trPr>
          <w:cantSplit/>
        </w:trPr>
        <w:tc>
          <w:tcPr>
            <w:tcW w:type="dxa" w:w="1994"/>
          </w:tcPr>
          <w:p>
            <w:pPr>
              <w:spacing w:before="20" w:after="20"/>
            </w:pPr>
            <w:r/>
            <w:r>
              <w:rPr>
                <w:rFonts w:ascii="Palatino Linotype" w:hAnsi="Palatino Linotype" w:eastAsia="Palatino Linotype"/>
                <w:b w:val="0"/>
                <w:i w:val="0"/>
                <w:sz w:val="18"/>
              </w:rPr>
              <w:t>0.60</w:t>
            </w:r>
          </w:p>
        </w:tc>
        <w:tc>
          <w:tcPr>
            <w:tcW w:type="dxa" w:w="1994"/>
          </w:tcPr>
          <w:p>
            <w:pPr>
              <w:spacing w:before="20" w:after="20"/>
            </w:pPr>
            <w:r/>
            <w:r>
              <w:rPr>
                <w:rFonts w:ascii="Palatino Linotype" w:hAnsi="Palatino Linotype" w:eastAsia="Palatino Linotype"/>
                <w:b w:val="0"/>
                <w:i w:val="0"/>
                <w:sz w:val="18"/>
              </w:rPr>
              <w:t>0.65</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0.0199</w:t>
            </w:r>
          </w:p>
        </w:tc>
      </w:tr>
      <w:tr>
        <w:trPr>
          <w:cantSplit/>
        </w:trPr>
        <w:tc>
          <w:tcPr>
            <w:tcW w:type="dxa" w:w="1994"/>
          </w:tcPr>
          <w:p>
            <w:pPr>
              <w:spacing w:before="20" w:after="20"/>
            </w:pPr>
            <w:r/>
            <w:r>
              <w:rPr>
                <w:rFonts w:ascii="Palatino Linotype" w:hAnsi="Palatino Linotype" w:eastAsia="Palatino Linotype"/>
                <w:b w:val="0"/>
                <w:i w:val="0"/>
                <w:sz w:val="18"/>
              </w:rPr>
              <w:t>0.64</w:t>
            </w:r>
          </w:p>
        </w:tc>
        <w:tc>
          <w:tcPr>
            <w:tcW w:type="dxa" w:w="1994"/>
          </w:tcPr>
          <w:p>
            <w:pPr>
              <w:spacing w:before="20" w:after="20"/>
            </w:pPr>
            <w:r/>
            <w:r>
              <w:rPr>
                <w:rFonts w:ascii="Palatino Linotype" w:hAnsi="Palatino Linotype" w:eastAsia="Palatino Linotype"/>
                <w:b w:val="0"/>
                <w:i w:val="0"/>
                <w:sz w:val="18"/>
              </w:rPr>
              <w:t>0.64</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0.0174</w:t>
            </w:r>
          </w:p>
        </w:tc>
      </w:tr>
      <w:tr>
        <w:trPr>
          <w:cantSplit/>
        </w:trPr>
        <w:tc>
          <w:tcPr>
            <w:tcW w:type="dxa" w:w="1994"/>
          </w:tcPr>
          <w:p>
            <w:pPr>
              <w:spacing w:before="20" w:after="20"/>
            </w:pPr>
            <w:r/>
            <w:r>
              <w:rPr>
                <w:rFonts w:ascii="Palatino Linotype" w:hAnsi="Palatino Linotype" w:eastAsia="Palatino Linotype"/>
                <w:b/>
                <w:i w:val="0"/>
                <w:sz w:val="18"/>
              </w:rPr>
              <w:t>0.68</w:t>
            </w:r>
          </w:p>
        </w:tc>
        <w:tc>
          <w:tcPr>
            <w:tcW w:type="dxa" w:w="1994"/>
          </w:tcPr>
          <w:p>
            <w:pPr>
              <w:spacing w:before="20" w:after="20"/>
            </w:pPr>
            <w:r/>
            <w:r>
              <w:rPr>
                <w:rFonts w:ascii="Palatino Linotype" w:hAnsi="Palatino Linotype" w:eastAsia="Palatino Linotype"/>
                <w:b/>
                <w:i w:val="0"/>
                <w:sz w:val="18"/>
              </w:rPr>
              <w:t>0.63</w:t>
            </w:r>
          </w:p>
        </w:tc>
        <w:tc>
          <w:tcPr>
            <w:tcW w:type="dxa" w:w="1994"/>
          </w:tcPr>
          <w:p>
            <w:pPr>
              <w:spacing w:before="20" w:after="20"/>
            </w:pPr>
            <w:r/>
            <w:r>
              <w:rPr>
                <w:rFonts w:ascii="Palatino Linotype" w:hAnsi="Palatino Linotype" w:eastAsia="Palatino Linotype"/>
                <w:b/>
                <w:i w:val="0"/>
                <w:sz w:val="18"/>
              </w:rPr>
              <w:t>25 000 rpm</w:t>
            </w:r>
          </w:p>
        </w:tc>
        <w:tc>
          <w:tcPr>
            <w:tcW w:type="dxa" w:w="1994"/>
          </w:tcPr>
          <w:p>
            <w:pPr>
              <w:spacing w:before="20" w:after="20"/>
            </w:pPr>
            <w:r/>
            <w:r>
              <w:rPr>
                <w:rFonts w:ascii="Palatino Linotype" w:hAnsi="Palatino Linotype" w:eastAsia="Palatino Linotype"/>
                <w:b/>
                <w:i w:val="0"/>
                <w:sz w:val="18"/>
              </w:rPr>
              <w:t>0.77</w:t>
            </w:r>
          </w:p>
        </w:tc>
        <w:tc>
          <w:tcPr>
            <w:tcW w:type="dxa" w:w="1994"/>
          </w:tcPr>
          <w:p>
            <w:pPr>
              <w:spacing w:before="20" w:after="20"/>
            </w:pPr>
            <w:r/>
            <w:r>
              <w:rPr>
                <w:rFonts w:ascii="Palatino Linotype" w:hAnsi="Palatino Linotype" w:eastAsia="Palatino Linotype"/>
                <w:b/>
                <w:i w:val="0"/>
                <w:sz w:val="18"/>
              </w:rPr>
              <w:t>0.0154</w:t>
            </w:r>
          </w:p>
        </w:tc>
      </w:tr>
      <w:tr>
        <w:trPr>
          <w:cantSplit/>
        </w:trPr>
        <w:tc>
          <w:tcPr>
            <w:tcW w:type="dxa" w:w="1994"/>
          </w:tcPr>
          <w:p>
            <w:pPr>
              <w:spacing w:before="20" w:after="20"/>
            </w:pPr>
            <w:r/>
            <w:r>
              <w:rPr>
                <w:rFonts w:ascii="Palatino Linotype" w:hAnsi="Palatino Linotype" w:eastAsia="Palatino Linotype"/>
                <w:b w:val="0"/>
                <w:i w:val="0"/>
                <w:sz w:val="18"/>
              </w:rPr>
              <w:t>0.70</w:t>
            </w:r>
          </w:p>
        </w:tc>
        <w:tc>
          <w:tcPr>
            <w:tcW w:type="dxa" w:w="1994"/>
          </w:tcPr>
          <w:p>
            <w:pPr>
              <w:spacing w:before="20" w:after="20"/>
            </w:pPr>
            <w:r/>
            <w:r>
              <w:rPr>
                <w:rFonts w:ascii="Palatino Linotype" w:hAnsi="Palatino Linotype" w:eastAsia="Palatino Linotype"/>
                <w:b w:val="0"/>
                <w:i w:val="0"/>
                <w:sz w:val="18"/>
              </w:rPr>
              <w:t>0.35</w:t>
            </w:r>
          </w:p>
        </w:tc>
        <w:tc>
          <w:tcPr>
            <w:tcW w:type="dxa" w:w="1994"/>
          </w:tcPr>
          <w:p>
            <w:pPr>
              <w:spacing w:before="20" w:after="20"/>
            </w:pPr>
            <w:r/>
            <w:r>
              <w:rPr>
                <w:rFonts w:ascii="Palatino Linotype" w:hAnsi="Palatino Linotype" w:eastAsia="Palatino Linotype"/>
                <w:b w:val="0"/>
                <w:i w:val="0"/>
                <w:sz w:val="18"/>
              </w:rPr>
              <w:t>19 800 rpm</w:t>
            </w:r>
          </w:p>
        </w:tc>
        <w:tc>
          <w:tcPr>
            <w:tcW w:type="dxa" w:w="1994"/>
          </w:tcPr>
          <w:p>
            <w:pPr>
              <w:spacing w:before="20" w:after="20"/>
            </w:pPr>
            <w:r/>
            <w:r>
              <w:rPr>
                <w:rFonts w:ascii="Palatino Linotype" w:hAnsi="Palatino Linotype" w:eastAsia="Palatino Linotype"/>
                <w:b w:val="0"/>
                <w:i w:val="0"/>
                <w:sz w:val="18"/>
              </w:rPr>
              <w:t>0.61</w:t>
            </w:r>
          </w:p>
        </w:tc>
        <w:tc>
          <w:tcPr>
            <w:tcW w:type="dxa" w:w="1994"/>
          </w:tcPr>
          <w:p>
            <w:pPr>
              <w:spacing w:before="20" w:after="20"/>
            </w:pPr>
            <w:r/>
            <w:r>
              <w:rPr>
                <w:rFonts w:ascii="Palatino Linotype" w:hAnsi="Palatino Linotype" w:eastAsia="Palatino Linotype"/>
                <w:b w:val="0"/>
                <w:i w:val="0"/>
                <w:sz w:val="18"/>
              </w:rPr>
              <w:t>0.0126</w:t>
            </w:r>
          </w:p>
        </w:tc>
      </w:tr>
      <w:tr>
        <w:trPr>
          <w:cantSplit/>
        </w:trPr>
        <w:tc>
          <w:tcPr>
            <w:tcW w:type="dxa" w:w="1994"/>
          </w:tcPr>
          <w:p>
            <w:pPr>
              <w:spacing w:before="20" w:after="20"/>
            </w:pPr>
            <w:r/>
            <w:r>
              <w:rPr>
                <w:rFonts w:ascii="Palatino Linotype" w:hAnsi="Palatino Linotype" w:eastAsia="Palatino Linotype"/>
                <w:b w:val="0"/>
                <w:i w:val="0"/>
                <w:sz w:val="18"/>
              </w:rPr>
              <w:t>0.85</w:t>
            </w:r>
          </w:p>
        </w:tc>
        <w:tc>
          <w:tcPr>
            <w:tcW w:type="dxa" w:w="1994"/>
          </w:tcPr>
          <w:p>
            <w:pPr>
              <w:spacing w:before="20" w:after="20"/>
            </w:pPr>
            <w:r/>
            <w:r>
              <w:rPr>
                <w:rFonts w:ascii="Palatino Linotype" w:hAnsi="Palatino Linotype" w:eastAsia="Palatino Linotype"/>
                <w:b w:val="0"/>
                <w:i w:val="0"/>
                <w:sz w:val="18"/>
              </w:rPr>
              <w:t>0.27</w:t>
            </w:r>
          </w:p>
        </w:tc>
        <w:tc>
          <w:tcPr>
            <w:tcW w:type="dxa" w:w="1994"/>
          </w:tcPr>
          <w:p>
            <w:pPr>
              <w:spacing w:before="20" w:after="20"/>
            </w:pPr>
            <w:r/>
            <w:r>
              <w:rPr>
                <w:rFonts w:ascii="Palatino Linotype" w:hAnsi="Palatino Linotype" w:eastAsia="Palatino Linotype"/>
                <w:b w:val="0"/>
                <w:i w:val="0"/>
                <w:sz w:val="18"/>
              </w:rPr>
              <w:t>14 500 rpm</w:t>
            </w:r>
          </w:p>
        </w:tc>
        <w:tc>
          <w:tcPr>
            <w:tcW w:type="dxa" w:w="1994"/>
          </w:tcPr>
          <w:p>
            <w:pPr>
              <w:spacing w:before="20" w:after="20"/>
            </w:pPr>
            <w:r/>
            <w:r>
              <w:rPr>
                <w:rFonts w:ascii="Palatino Linotype" w:hAnsi="Palatino Linotype" w:eastAsia="Palatino Linotype"/>
                <w:b w:val="0"/>
                <w:i w:val="0"/>
                <w:sz w:val="18"/>
              </w:rPr>
              <w:t>0.45</w:t>
            </w:r>
          </w:p>
        </w:tc>
        <w:tc>
          <w:tcPr>
            <w:tcW w:type="dxa" w:w="1994"/>
          </w:tcPr>
          <w:p>
            <w:pPr>
              <w:spacing w:before="20" w:after="20"/>
            </w:pPr>
            <w:r/>
            <w:r>
              <w:rPr>
                <w:rFonts w:ascii="Palatino Linotype" w:hAnsi="Palatino Linotype" w:eastAsia="Palatino Linotype"/>
                <w:b w:val="0"/>
                <w:i w:val="0"/>
                <w:sz w:val="18"/>
              </w:rPr>
              <w:t>0.0085</w:t>
            </w:r>
          </w:p>
        </w:tc>
      </w:tr>
    </w:tbl>
    <w:p/>
    <w:p>
      <w:pPr>
        <w:spacing w:before="0" w:after="80" w:line="240" w:lineRule="auto"/>
        <w:jc w:val="both"/>
      </w:pPr>
      <w:r>
        <w:rPr>
          <w:rFonts w:ascii="Palatino Linotype" w:hAnsi="Palatino Linotype" w:eastAsia="Palatino Linotype"/>
          <w:b/>
          <w:i w:val="0"/>
          <w:sz w:val="20"/>
        </w:rPr>
        <w:t>Every design exceeds the assumed 0.0003–0.0008, and the lowest exceeds it by a factor of ten.</w:t>
      </w:r>
    </w:p>
    <w:p>
      <w:pPr>
        <w:spacing w:before="0" w:after="80" w:line="240" w:lineRule="auto"/>
        <w:jc w:val="both"/>
      </w:pPr>
      <w:r>
        <w:rPr>
          <w:rFonts w:ascii="Palatino Linotype" w:hAnsi="Palatino Linotype" w:eastAsia="Palatino Linotype"/>
          <w:b/>
          <w:i w:val="0"/>
          <w:sz w:val="20"/>
        </w:rPr>
        <w:t>Which row the aircraft is entitled to quote is decided by its own hover budget, and an earlier version of this section quoted the wrong one.</w:t>
      </w:r>
      <w:r>
        <w:rPr>
          <w:rFonts w:ascii="Palatino Linotype" w:hAnsi="Palatino Linotype" w:eastAsia="Palatino Linotype"/>
          <w:b w:val="0"/>
          <w:i w:val="0"/>
          <w:sz w:val="20"/>
        </w:rPr>
        <w:t xml:space="preserve"> That version took 0.0085 as the figure because it was the smallest computed and the only one at a tip Mach number the incompressible section data can carry. But the design producing it has a hover figure of merit of 0.27, and the hover power of Section 3.7 — 10.9 kW at 50 kg, from which every mass and energy result in this paper descends — is built on </w:t>
      </w:r>
      <w:r>
        <w:rPr>
          <w:rFonts w:ascii="Palatino Linotype" w:hAnsi="Palatino Linotype" w:eastAsia="Palatino Linotype"/>
          <w:b/>
          <w:i w:val="0"/>
          <w:sz w:val="20"/>
        </w:rPr>
        <w:t>0.599</w:t>
      </w:r>
      <w:r>
        <w:rPr>
          <w:rFonts w:ascii="Palatino Linotype" w:hAnsi="Palatino Linotype" w:eastAsia="Palatino Linotype"/>
          <w:b w:val="0"/>
          <w:i w:val="0"/>
          <w:sz w:val="20"/>
        </w:rPr>
        <w:t xml:space="preserve">. A propeller at 0.27 would not hover this aircraft on the power it is allotted; quoting its cruise drag charges the configuration for a component it has already ruled out. The figure of merit is flat at 0.63 to 0.65 from c_l 0.55 to 0.68 and then collapses to 0.35 by 0.70, so 0.599 falls in the collapse and no design in this family sits exactly on it. Every design that </w:t>
      </w:r>
      <w:r>
        <w:rPr>
          <w:rFonts w:ascii="Palatino Linotype" w:hAnsi="Palatino Linotype" w:eastAsia="Palatino Linotype"/>
          <w:b w:val="0"/>
          <w:i/>
          <w:sz w:val="20"/>
        </w:rPr>
        <w:t>meets</w:t>
      </w:r>
      <w:r>
        <w:rPr>
          <w:rFonts w:ascii="Palatino Linotype" w:hAnsi="Palatino Linotype" w:eastAsia="Palatino Linotype"/>
          <w:b w:val="0"/>
          <w:i w:val="0"/>
          <w:sz w:val="20"/>
        </w:rPr>
        <w:t xml:space="preserve"> the hover requirement lies at c_l ≤ 0.68, and </w:t>
      </w:r>
      <w:r>
        <w:rPr>
          <w:rFonts w:ascii="Palatino Linotype" w:hAnsi="Palatino Linotype" w:eastAsia="Palatino Linotype"/>
          <w:b/>
          <w:i w:val="0"/>
          <w:sz w:val="20"/>
        </w:rPr>
        <w:t>the least draggy of them gives 0.0154</w:t>
      </w:r>
      <w:r>
        <w:rPr>
          <w:rFonts w:ascii="Palatino Linotype" w:hAnsi="Palatino Linotype" w:eastAsia="Palatino Linotype"/>
          <w:b w:val="0"/>
          <w:i w:val="0"/>
          <w:sz w:val="20"/>
        </w:rPr>
        <w:t xml:space="preserve"> — three and a half times the 0.0043 charged for the tip frames, and sixty-two percent of the total zero-lift drag the sizing assumes. The two fastest rows are still discarded on their own terms, the section data being incompressible where their tips are not.</w:t>
      </w:r>
    </w:p>
    <w:p>
      <w:pPr>
        <w:spacing w:before="0" w:after="80" w:line="240" w:lineRule="auto"/>
        <w:jc w:val="both"/>
      </w:pPr>
      <w:r>
        <w:rPr>
          <w:rFonts w:ascii="Palatino Linotype" w:hAnsi="Palatino Linotype" w:eastAsia="Palatino Linotype"/>
          <w:b/>
          <w:i w:val="0"/>
          <w:sz w:val="20"/>
        </w:rPr>
        <w:t>The 0.68 row runs at tip Mach 0.76, which is marginal for the same reason, so the correction was applied rather than assumed.</w:t>
      </w:r>
      <w:r>
        <w:rPr>
          <w:rFonts w:ascii="Palatino Linotype" w:hAnsi="Palatino Linotype" w:eastAsia="Palatino Linotype"/>
          <w:b w:val="0"/>
          <w:i w:val="0"/>
          <w:sz w:val="20"/>
        </w:rPr>
        <w:t xml:space="preserve"> The section polar was recomputed with a Prandtl–Glauert lift correction, a Korn drag-divergence Mach number and a fourth-power wave-drag increment, and the zero-torque shaft speed was searched again rather than held fixed. The solver used for this was first run with the correction disabled and reproduced the uncorrected result exactly, so the two figures differ only in the polar (Table 5):</w:t>
      </w:r>
    </w:p>
    <w:p>
      <w:pPr>
        <w:spacing w:before="0" w:after="80" w:line="240" w:lineRule="auto"/>
        <w:jc w:val="both"/>
        <w:keepNext/>
      </w:pPr>
      <w:r>
        <w:rPr>
          <w:rFonts w:ascii="Palatino Linotype" w:hAnsi="Palatino Linotype" w:eastAsia="Palatino Linotype"/>
          <w:b/>
          <w:i w:val="0"/>
          <w:sz w:val="20"/>
        </w:rPr>
        <w:t>Table 5.</w:t>
      </w:r>
      <w:r>
        <w:rPr>
          <w:rFonts w:ascii="Palatino Linotype" w:hAnsi="Palatino Linotype" w:eastAsia="Palatino Linotype"/>
          <w:b w:val="0"/>
          <w:i w:val="0"/>
          <w:sz w:val="20"/>
        </w:rPr>
        <w:t xml:space="preserve"> The same free-wheeling state recomputed with a compressibility correction in the blade polar.</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Shaft speed</w:t>
            </w:r>
          </w:p>
        </w:tc>
        <w:tc>
          <w:tcPr>
            <w:tcW w:type="dxa" w:w="2493"/>
          </w:tcPr>
          <w:p>
            <w:pPr>
              <w:spacing w:before="20" w:after="20"/>
            </w:pPr>
            <w:r/>
            <w:r>
              <w:rPr>
                <w:rFonts w:ascii="Palatino Linotype" w:hAnsi="Palatino Linotype" w:eastAsia="Palatino Linotype"/>
                <w:b/>
                <w:i w:val="0"/>
                <w:sz w:val="18"/>
              </w:rPr>
              <w:t>Tip Mach</w:t>
            </w:r>
          </w:p>
        </w:tc>
        <w:tc>
          <w:tcPr>
            <w:tcW w:type="dxa" w:w="2493"/>
          </w:tcPr>
          <w:p>
            <w:pPr>
              <w:spacing w:before="20" w:after="20"/>
            </w:pPr>
            <w:r/>
            <w:r>
              <w:rPr>
                <w:rFonts w:ascii="Palatino Linotype" w:hAnsi="Palatino Linotype" w:eastAsia="Palatino Linotype"/>
                <w:b/>
                <w:i w:val="0"/>
                <w:sz w:val="18"/>
              </w:rPr>
              <w:t>ΔC_D0, eight discs</w:t>
            </w:r>
          </w:p>
        </w:tc>
      </w:tr>
      <w:tr>
        <w:trPr>
          <w:cantSplit/>
        </w:trPr>
        <w:tc>
          <w:tcPr>
            <w:tcW w:type="dxa" w:w="2493"/>
          </w:tcPr>
          <w:p>
            <w:pPr>
              <w:spacing w:before="20" w:after="20"/>
            </w:pPr>
            <w:r/>
            <w:r>
              <w:rPr>
                <w:rFonts w:ascii="Palatino Linotype" w:hAnsi="Palatino Linotype" w:eastAsia="Palatino Linotype"/>
                <w:b w:val="0"/>
                <w:i w:val="0"/>
                <w:sz w:val="18"/>
              </w:rPr>
              <w:t>Incompressible section data</w:t>
            </w:r>
          </w:p>
        </w:tc>
        <w:tc>
          <w:tcPr>
            <w:tcW w:type="dxa" w:w="2493"/>
          </w:tcPr>
          <w:p>
            <w:pPr>
              <w:spacing w:before="20" w:after="20"/>
            </w:pPr>
            <w:r/>
            <w:r>
              <w:rPr>
                <w:rFonts w:ascii="Palatino Linotype" w:hAnsi="Palatino Linotype" w:eastAsia="Palatino Linotype"/>
                <w:b w:val="0"/>
                <w:i w:val="0"/>
                <w:sz w:val="18"/>
              </w:rPr>
              <w:t>25 046 rpm</w:t>
            </w:r>
          </w:p>
        </w:tc>
        <w:tc>
          <w:tcPr>
            <w:tcW w:type="dxa" w:w="2493"/>
          </w:tcPr>
          <w:p>
            <w:pPr>
              <w:spacing w:before="20" w:after="20"/>
            </w:pPr>
            <w:r/>
            <w:r>
              <w:rPr>
                <w:rFonts w:ascii="Palatino Linotype" w:hAnsi="Palatino Linotype" w:eastAsia="Palatino Linotype"/>
                <w:b w:val="0"/>
                <w:i w:val="0"/>
                <w:sz w:val="18"/>
              </w:rPr>
              <w:t>0.76</w:t>
            </w:r>
          </w:p>
        </w:tc>
        <w:tc>
          <w:tcPr>
            <w:tcW w:type="dxa" w:w="2493"/>
          </w:tcPr>
          <w:p>
            <w:pPr>
              <w:spacing w:before="20" w:after="20"/>
            </w:pPr>
            <w:r/>
            <w:r>
              <w:rPr>
                <w:rFonts w:ascii="Palatino Linotype" w:hAnsi="Palatino Linotype" w:eastAsia="Palatino Linotype"/>
                <w:b w:val="0"/>
                <w:i w:val="0"/>
                <w:sz w:val="18"/>
              </w:rPr>
              <w:t>0.01545</w:t>
            </w:r>
          </w:p>
        </w:tc>
      </w:tr>
      <w:tr>
        <w:trPr>
          <w:cantSplit/>
        </w:trPr>
        <w:tc>
          <w:tcPr>
            <w:tcW w:type="dxa" w:w="2493"/>
          </w:tcPr>
          <w:p>
            <w:pPr>
              <w:spacing w:before="20" w:after="20"/>
            </w:pPr>
            <w:r/>
            <w:r>
              <w:rPr>
                <w:rFonts w:ascii="Palatino Linotype" w:hAnsi="Palatino Linotype" w:eastAsia="Palatino Linotype"/>
                <w:b w:val="0"/>
                <w:i w:val="0"/>
                <w:sz w:val="18"/>
              </w:rPr>
              <w:t>Compressibility-corrected</w:t>
            </w:r>
          </w:p>
        </w:tc>
        <w:tc>
          <w:tcPr>
            <w:tcW w:type="dxa" w:w="2493"/>
          </w:tcPr>
          <w:p>
            <w:pPr>
              <w:spacing w:before="20" w:after="20"/>
            </w:pPr>
            <w:r/>
            <w:r>
              <w:rPr>
                <w:rFonts w:ascii="Palatino Linotype" w:hAnsi="Palatino Linotype" w:eastAsia="Palatino Linotype"/>
                <w:b w:val="0"/>
                <w:i w:val="0"/>
                <w:sz w:val="18"/>
              </w:rPr>
              <w:t>24 958 rpm</w:t>
            </w:r>
          </w:p>
        </w:tc>
        <w:tc>
          <w:tcPr>
            <w:tcW w:type="dxa" w:w="2493"/>
          </w:tcPr>
          <w:p>
            <w:pPr>
              <w:spacing w:before="20" w:after="20"/>
            </w:pPr>
            <w:r/>
            <w:r>
              <w:rPr>
                <w:rFonts w:ascii="Palatino Linotype" w:hAnsi="Palatino Linotype" w:eastAsia="Palatino Linotype"/>
                <w:b w:val="0"/>
                <w:i w:val="0"/>
                <w:sz w:val="18"/>
              </w:rPr>
              <w:t>0.76</w:t>
            </w:r>
          </w:p>
        </w:tc>
        <w:tc>
          <w:tcPr>
            <w:tcW w:type="dxa" w:w="2493"/>
          </w:tcPr>
          <w:p>
            <w:pPr>
              <w:spacing w:before="20" w:after="20"/>
            </w:pPr>
            <w:r/>
            <w:r>
              <w:rPr>
                <w:rFonts w:ascii="Palatino Linotype" w:hAnsi="Palatino Linotype" w:eastAsia="Palatino Linotype"/>
                <w:b/>
                <w:i w:val="0"/>
                <w:sz w:val="18"/>
              </w:rPr>
              <w:t>0.01541</w:t>
            </w:r>
          </w:p>
        </w:tc>
      </w:tr>
    </w:tbl>
    <w:p/>
    <w:p>
      <w:pPr>
        <w:spacing w:before="0" w:after="80" w:line="240" w:lineRule="auto"/>
        <w:jc w:val="both"/>
      </w:pPr>
      <w:r>
        <w:rPr>
          <w:rFonts w:ascii="Palatino Linotype" w:hAnsi="Palatino Linotype" w:eastAsia="Palatino Linotype"/>
          <w:b/>
          <w:i w:val="0"/>
          <w:sz w:val="20"/>
        </w:rPr>
        <w:t>The figure moves by four tenths of one percent</w:t>
      </w:r>
      <w:r>
        <w:rPr>
          <w:rFonts w:ascii="Palatino Linotype" w:hAnsi="Palatino Linotype" w:eastAsia="Palatino Linotype"/>
          <w:b w:val="0"/>
          <w:i w:val="0"/>
          <w:sz w:val="20"/>
        </w:rPr>
        <w:t xml:space="preserve">, and two mechanisms explain why. The lift correction steepens the section lift-curve slope, so the blade reaches the same zero-torque state at a </w:t>
      </w:r>
      <w:r>
        <w:rPr>
          <w:rFonts w:ascii="Palatino Linotype" w:hAnsi="Palatino Linotype" w:eastAsia="Palatino Linotype"/>
          <w:b w:val="0"/>
          <w:i/>
          <w:sz w:val="20"/>
        </w:rPr>
        <w:t>lower</w:t>
      </w:r>
      <w:r>
        <w:rPr>
          <w:rFonts w:ascii="Palatino Linotype" w:hAnsi="Palatino Linotype" w:eastAsia="Palatino Linotype"/>
          <w:b w:val="0"/>
          <w:i w:val="0"/>
          <w:sz w:val="20"/>
        </w:rPr>
        <w:t xml:space="preserve"> shaft speed — 24 958 against 25 046 — and the profile drag falls with the square of the local velocity, offsetting part of the wave term. More importantly, a free-wheeling blade sits at almost zero section lift by construction, which raises the drag-divergence Mach number to about 0.74 through the lift term in the Korn relation; at Mach 0.76 the wave increment is then of order 10⁻⁶. </w:t>
      </w:r>
      <w:r>
        <w:rPr>
          <w:rFonts w:ascii="Palatino Linotype" w:hAnsi="Palatino Linotype" w:eastAsia="Palatino Linotype"/>
          <w:b/>
          <w:i w:val="0"/>
          <w:sz w:val="20"/>
        </w:rPr>
        <w:t>The compressibility penalty that would fall on a loaded blade does not fall on this one.</w:t>
      </w:r>
      <w:r>
        <w:rPr>
          <w:rFonts w:ascii="Palatino Linotype" w:hAnsi="Palatino Linotype" w:eastAsia="Palatino Linotype"/>
          <w:b w:val="0"/>
          <w:i w:val="0"/>
          <w:sz w:val="20"/>
        </w:rPr>
        <w:t xml:space="preserve"> The value is therefore reported as a figure rather than as a lower bound, and the comparisons built on it in Sections 3.6 and 4.4 do not need re-deriving for this reason.</w:t>
      </w:r>
    </w:p>
    <w:p>
      <w:pPr>
        <w:spacing w:before="0" w:after="80" w:line="240" w:lineRule="auto"/>
        <w:jc w:val="both"/>
      </w:pPr>
      <w:r>
        <w:rPr>
          <w:rFonts w:ascii="Palatino Linotype" w:hAnsi="Palatino Linotype" w:eastAsia="Palatino Linotype"/>
          <w:b w:val="0"/>
          <w:i w:val="0"/>
          <w:sz w:val="20"/>
        </w:rPr>
        <w:t>The mechanism does not depend on the solver. A propeller designed for hover has low pitch; left free at 30 m s⁻¹ it must spin fast before its sections reach zero incidence, and at that speed the blades' own profile drag is large. The trend across the four designs is the trade stated plainly: the blade that hovers well free-wheels fastest and drags most. Section 2.9 rules out the escape, because these pairs are of fixed geometry and cannot feather.</w:t>
      </w:r>
    </w:p>
    <w:p>
      <w:pPr>
        <w:spacing w:before="0" w:after="80" w:line="240" w:lineRule="auto"/>
        <w:jc w:val="both"/>
      </w:pPr>
      <w:r>
        <w:rPr>
          <w:rFonts w:ascii="Palatino Linotype" w:hAnsi="Palatino Linotype" w:eastAsia="Palatino Linotype"/>
          <w:b/>
          <w:i w:val="0"/>
          <w:sz w:val="20"/>
        </w:rPr>
        <w:t>The consequence is stated rather than absorbed.</w:t>
      </w:r>
      <w:r>
        <w:rPr>
          <w:rFonts w:ascii="Palatino Linotype" w:hAnsi="Palatino Linotype" w:eastAsia="Palatino Linotype"/>
          <w:b w:val="0"/>
          <w:i w:val="0"/>
          <w:sz w:val="20"/>
        </w:rPr>
        <w:t xml:space="preserve"> Bill 2 is not absent. On the most favourable design computed here the tip rotors cost at least as much as the frames already charged, the cruise lift-to-drag ratio falls, and the margin over the lift-plus-cruise layout narrows by an amount Section 3.6 re-sizes. What would settle it is a propeller design study that optimises the blade across both duties rather than for hover alone, or a variable-pitch tip pair — which is a mechanism, and mechanisms are what this configuration was built to avoid.</w:t>
      </w:r>
    </w:p>
    <w:p>
      <w:pPr>
        <w:spacing w:before="0" w:after="80" w:line="240" w:lineRule="auto"/>
        <w:jc w:val="both"/>
      </w:pPr>
      <w:r>
        <w:rPr>
          <w:rFonts w:ascii="Palatino Linotype" w:hAnsi="Palatino Linotype" w:eastAsia="Palatino Linotype"/>
          <w:b w:val="0"/>
          <w:i w:val="0"/>
          <w:sz w:val="20"/>
        </w:rPr>
        <w:t xml:space="preserve">What Bill 2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paid, and this is why the heading says reduced rather than removed, is the tip frames. They are structure in the airstream that a conventional aircraft does not carry, and at the light design point they contribute ΔC_D0 = 0.0043 — </w:t>
      </w:r>
      <w:r>
        <w:rPr>
          <w:rFonts w:ascii="Palatino Linotype" w:hAnsi="Palatino Linotype" w:eastAsia="Palatino Linotype"/>
          <w:b/>
          <w:i w:val="0"/>
          <w:sz w:val="20"/>
        </w:rPr>
        <w:t>about twelve percent of total cruise drag</w:t>
      </w:r>
      <w:r>
        <w:rPr>
          <w:rFonts w:ascii="Palatino Linotype" w:hAnsi="Palatino Linotype" w:eastAsia="Palatino Linotype"/>
          <w:b w:val="0"/>
          <w:i w:val="0"/>
          <w:sz w:val="20"/>
        </w:rPr>
        <w:t>, and seventeen percent of the zero-lift drag the sizing assumes. Both denominators appear in this paper and each is named where it is used. That is the honest figure and it is carried in the ledger of Section 3.5.</w:t>
      </w:r>
    </w:p>
    <w:p>
      <w:pPr>
        <w:spacing w:before="0" w:after="80" w:line="240" w:lineRule="auto"/>
        <w:jc w:val="both"/>
      </w:pPr>
      <w:r>
        <w:rPr>
          <w:rFonts w:ascii="Palatino Linotype" w:hAnsi="Palatino Linotype" w:eastAsia="Palatino Linotype"/>
          <w:b/>
          <w:i w:val="0"/>
          <w:sz w:val="20"/>
        </w:rPr>
        <w:t>The fairing on those frames is not only a drag measure.</w:t>
      </w:r>
      <w:r>
        <w:rPr>
          <w:rFonts w:ascii="Palatino Linotype" w:hAnsi="Palatino Linotype" w:eastAsia="Palatino Linotype"/>
          <w:b w:val="0"/>
          <w:i w:val="0"/>
          <w:sz w:val="20"/>
        </w:rPr>
        <w:t xml:space="preserve"> The frames are the only surfaces standing perpendicular to the wing plane, and the planform supplies no directional stability at all, so the fairing is also the vertical surface that provides it. Sized against the criterion the tailless literature recommends — C_n_β greater than 0.001 per degree [19] — the chord required over the combined frame length is 39 mm, against the 50 to 70 mm a 20 mm faired strut carries in any case. The two requirements do not conflict, and the directional one is the looser; but the frame cross-section is now constrained from two directions, and a selection made on drag alone would be made on half the evidence.</w:t>
      </w:r>
    </w:p>
    <w:p>
      <w:pPr>
        <w:spacing w:before="200" w:after="80"/>
      </w:pPr>
      <w:r>
        <w:rPr>
          <w:rFonts w:ascii="Palatino Linotype" w:hAnsi="Palatino Linotype" w:eastAsia="Palatino Linotype"/>
          <w:b/>
          <w:i w:val="0"/>
          <w:sz w:val="22"/>
        </w:rPr>
        <w:t>3.4 Bill 3 — power system sizing: avoided for the engine, not for the electrical path</w:t>
      </w:r>
    </w:p>
    <w:p>
      <w:pPr>
        <w:spacing w:before="0" w:after="80" w:line="240" w:lineRule="auto"/>
        <w:jc w:val="both"/>
      </w:pPr>
      <w:r>
        <w:rPr>
          <w:rFonts w:ascii="Palatino Linotype" w:hAnsi="Palatino Linotype" w:eastAsia="Palatino Linotype"/>
          <w:b w:val="0"/>
          <w:i w:val="0"/>
          <w:sz w:val="20"/>
        </w:rPr>
        <w:t>The series-hybrid arrangement of Section 2.9 breaks the link that forces the power system to be sized by the hover condition. Because the engine drives a generator rather than a rotor, it supplies average power, not peak power, and the peak is supplied from a buffer.</w:t>
      </w:r>
    </w:p>
    <w:p>
      <w:pPr>
        <w:spacing w:before="0" w:after="80" w:line="240" w:lineRule="auto"/>
        <w:jc w:val="both"/>
      </w:pPr>
      <w:r>
        <w:rPr>
          <w:rFonts w:ascii="Palatino Linotype" w:hAnsi="Palatino Linotype" w:eastAsia="Palatino Linotype"/>
          <w:b w:val="0"/>
          <w:i w:val="0"/>
          <w:sz w:val="20"/>
        </w:rPr>
        <w:t xml:space="preserve">For the light reference design the numbers are as follows. Cruise draws 1.7 kW at the electric machines, which is 1.9 kW at the engine shaft once the generator and power electronics are accounted for, and the engine is sized at 2.6 kW. Hover requires 10.9 kW at the rotor — 4.2 times the engine's rating. The difference is drawn for the duration of the vertical phase from a 1.8 kg battery, which is 3.6 percent of the maximum take-off mass. </w:t>
      </w:r>
      <w:r>
        <w:rPr>
          <w:rFonts w:ascii="Palatino Linotype" w:hAnsi="Palatino Linotype" w:eastAsia="Palatino Linotype"/>
          <w:b/>
          <w:i w:val="0"/>
          <w:sz w:val="20"/>
        </w:rPr>
        <w:t>That difference must be taken at one station, and it is the electrical bus</w:t>
      </w:r>
      <w:r>
        <w:rPr>
          <w:rFonts w:ascii="Palatino Linotype" w:hAnsi="Palatino Linotype" w:eastAsia="Palatino Linotype"/>
          <w:b w:val="0"/>
          <w:i w:val="0"/>
          <w:sz w:val="20"/>
        </w:rPr>
        <w:t>: the rotor's 10.9 kW of shaft power is 12.47 kW at the bus once the machine and the power electronics are passed, the engine delivers 2.34 kW there through the generator, and the buffer supplies the remaining 10.13 kW. Supplementary S2 gives the chain and records that an earlier version of this paper differenced two shaft stations instead, understating the demand on the buffer by twenty-two percent. The heavy reference design sits on the same line: 39.2 kW electrical in cruise, 54.3 kW engine, 216.2 kW hover, 40 kg of battery at 4.0 percent of MTOW.</w:t>
      </w:r>
    </w:p>
    <w:p>
      <w:pPr>
        <w:spacing w:before="0" w:after="80" w:line="240" w:lineRule="auto"/>
        <w:jc w:val="both"/>
      </w:pPr>
      <w:r>
        <w:rPr>
          <w:rFonts w:ascii="Palatino Linotype" w:hAnsi="Palatino Linotype" w:eastAsia="Palatino Linotype"/>
          <w:b w:val="0"/>
          <w:i w:val="0"/>
          <w:sz w:val="20"/>
        </w:rPr>
        <w:t>An aircraft of this class whose powerplant had to be sized for hover would carry an engine rated above 10.9 kW instead of 2.6 kW. The mass difference is not recovered elsewhere; it is simply not incurred. That the buffer costs under four percent of MTOW at both design points, twenty times apart in mass, is the numerical statement that this avoidance is architectural rather than a fortunate coincidence of one size.</w:t>
      </w:r>
    </w:p>
    <w:p>
      <w:pPr>
        <w:spacing w:before="0" w:after="80" w:line="240" w:lineRule="auto"/>
        <w:jc w:val="both"/>
      </w:pPr>
      <w:r>
        <w:rPr>
          <w:rFonts w:ascii="Palatino Linotype" w:hAnsi="Palatino Linotype" w:eastAsia="Palatino Linotype"/>
          <w:b/>
          <w:i w:val="0"/>
          <w:sz w:val="20"/>
        </w:rPr>
        <w:t>What is not avoided, and the section heading says so.</w:t>
      </w:r>
      <w:r>
        <w:rPr>
          <w:rFonts w:ascii="Palatino Linotype" w:hAnsi="Palatino Linotype" w:eastAsia="Palatino Linotype"/>
          <w:b w:val="0"/>
          <w:i w:val="0"/>
          <w:sz w:val="20"/>
        </w:rPr>
        <w:t xml:space="preserve"> The bill is defined in Section 2 as a </w:t>
      </w:r>
      <w:r>
        <w:rPr>
          <w:rFonts w:ascii="Palatino Linotype" w:hAnsi="Palatino Linotype" w:eastAsia="Palatino Linotype"/>
          <w:b w:val="0"/>
          <w:i/>
          <w:sz w:val="20"/>
        </w:rPr>
        <w:t>continuous</w:t>
      </w:r>
      <w:r>
        <w:rPr>
          <w:rFonts w:ascii="Palatino Linotype" w:hAnsi="Palatino Linotype" w:eastAsia="Palatino Linotype"/>
          <w:b w:val="0"/>
          <w:i w:val="0"/>
          <w:sz w:val="20"/>
        </w:rPr>
        <w:t xml:space="preserve"> power system sized by the hover peak, and it is the engine and its fuel consumption that the buffer releases from that condition. The electrical path is not released: the nose motor and the power electronics must still pass the full 10.9 kW, and the component build-up of Section 3.11 shows them as 2.73 kg and 0.61 kg against 2.60 kg of engine and generator — that is, the hover-sized electrical machine is the single largest item in the propulsion chain. The saving is real and it is the engine's, but a reader should not take it as an aircraft on which nothing is sized by hover. The buffer itself carries a further condition, given in Section 3.11: it is specified by power rather than energy, at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to hover and 6.48 to leave the ground, which is a demanding cell requirement and not a free parameter. Section 4.4 measures it against what has been flown.</w:t>
      </w:r>
    </w:p>
    <w:p>
      <w:pPr>
        <w:spacing w:before="200" w:after="80"/>
      </w:pPr>
      <w:r>
        <w:rPr>
          <w:rFonts w:ascii="Palatino Linotype" w:hAnsi="Palatino Linotype" w:eastAsia="Palatino Linotype"/>
          <w:b/>
          <w:i w:val="0"/>
          <w:sz w:val="22"/>
        </w:rPr>
        <w:t>3.5 What is paid</w:t>
      </w:r>
    </w:p>
    <w:p>
      <w:pPr>
        <w:spacing w:before="0" w:after="80" w:line="240" w:lineRule="auto"/>
        <w:jc w:val="both"/>
      </w:pPr>
      <w:r>
        <w:rPr>
          <w:rFonts w:ascii="Palatino Linotype" w:hAnsi="Palatino Linotype" w:eastAsia="Palatino Linotype"/>
          <w:b w:val="0"/>
          <w:i w:val="0"/>
          <w:sz w:val="20"/>
        </w:rPr>
        <w:t>The honest ledger has five entries.</w:t>
      </w:r>
    </w:p>
    <w:p>
      <w:pPr>
        <w:spacing w:before="0" w:after="80" w:line="240" w:lineRule="auto"/>
        <w:jc w:val="both"/>
      </w:pPr>
      <w:r>
        <w:rPr>
          <w:rFonts w:ascii="Palatino Linotype" w:hAnsi="Palatino Linotype" w:eastAsia="Palatino Linotype"/>
          <w:b/>
          <w:i w:val="0"/>
          <w:sz w:val="20"/>
        </w:rPr>
        <w:t>The control propellers.</w:t>
      </w:r>
      <w:r>
        <w:rPr>
          <w:rFonts w:ascii="Palatino Linotype" w:hAnsi="Palatino Linotype" w:eastAsia="Palatino Linotype"/>
          <w:b w:val="0"/>
          <w:i w:val="0"/>
          <w:sz w:val="20"/>
        </w:rPr>
        <w:t xml:space="preserve"> Four pairs, their motors, mounts and wiring exist only to produce moments. In the vertical phase they draw twelve percent of the power the nose pair draws. This is the configuration's substitute for elevons and a rudder, and it is not free — it is merely cheaper than a second lift system. </w:t>
      </w:r>
      <w:r>
        <w:rPr>
          <w:rFonts w:ascii="Palatino Linotype" w:hAnsi="Palatino Linotype" w:eastAsia="Palatino Linotype"/>
          <w:b/>
          <w:i w:val="0"/>
          <w:sz w:val="20"/>
        </w:rPr>
        <w:t>An earlier version of this ledger added that it does not sit in the cruise airstream in the way a lift rotor does. Section 3.3 has since computed that it does.</w:t>
      </w:r>
      <w:r>
        <w:rPr>
          <w:rFonts w:ascii="Palatino Linotype" w:hAnsi="Palatino Linotype" w:eastAsia="Palatino Linotype"/>
          <w:b w:val="0"/>
          <w:i w:val="0"/>
          <w:sz w:val="20"/>
        </w:rPr>
        <w:t xml:space="preserve"> Free-wheeling, the eight discs add more to zero-lift drag than the frames that carry them, which makes this the largest entry in the ledger and not the third.</w:t>
      </w:r>
    </w:p>
    <w:p>
      <w:pPr>
        <w:spacing w:before="0" w:after="80" w:line="240" w:lineRule="auto"/>
        <w:jc w:val="both"/>
      </w:pPr>
      <w:r>
        <w:rPr>
          <w:rFonts w:ascii="Palatino Linotype" w:hAnsi="Palatino Linotype" w:eastAsia="Palatino Linotype"/>
          <w:b/>
          <w:i w:val="0"/>
          <w:sz w:val="20"/>
        </w:rPr>
        <w:t>The tip frames.</w:t>
      </w:r>
      <w:r>
        <w:rPr>
          <w:rFonts w:ascii="Palatino Linotype" w:hAnsi="Palatino Linotype" w:eastAsia="Palatino Linotype"/>
          <w:b w:val="0"/>
          <w:i w:val="0"/>
          <w:sz w:val="20"/>
        </w:rPr>
        <w:t xml:space="preserve"> As established in Section 3.3, of the order of twelve percent of cruise drag, conditional on being faired. This is the largest single payment the configuration makes, and it is the price of the moment arm, the propeller mounting and the landing structure combined into one member.</w:t>
      </w:r>
    </w:p>
    <w:p>
      <w:pPr>
        <w:spacing w:before="0" w:after="80" w:line="240" w:lineRule="auto"/>
        <w:jc w:val="both"/>
      </w:pPr>
      <w:r>
        <w:rPr>
          <w:rFonts w:ascii="Palatino Linotype" w:hAnsi="Palatino Linotype" w:eastAsia="Palatino Linotype"/>
          <w:b/>
          <w:i w:val="0"/>
          <w:sz w:val="20"/>
        </w:rPr>
        <w:t>The roll strip.</w:t>
      </w:r>
      <w:r>
        <w:rPr>
          <w:rFonts w:ascii="Palatino Linotype" w:hAnsi="Palatino Linotype" w:eastAsia="Palatino Linotype"/>
          <w:b w:val="0"/>
          <w:i w:val="0"/>
          <w:sz w:val="20"/>
        </w:rPr>
        <w:t xml:space="preserve"> The one moving aerodynamic device on the aircraft. Its cost when retracted is a surface discontinuity; when deployed it is a drag device by construction, but it is deployed only while a roll is being commanded.</w:t>
      </w:r>
    </w:p>
    <w:p>
      <w:pPr>
        <w:spacing w:before="0" w:after="80" w:line="240" w:lineRule="auto"/>
        <w:jc w:val="both"/>
      </w:pPr>
      <w:r>
        <w:rPr>
          <w:rFonts w:ascii="Palatino Linotype" w:hAnsi="Palatino Linotype" w:eastAsia="Palatino Linotype"/>
          <w:b/>
          <w:i w:val="0"/>
          <w:sz w:val="20"/>
        </w:rPr>
        <w:t>The twist needed to trim.</w:t>
      </w:r>
      <w:r>
        <w:rPr>
          <w:rFonts w:ascii="Palatino Linotype" w:hAnsi="Palatino Linotype" w:eastAsia="Palatino Linotype"/>
          <w:b w:val="0"/>
          <w:i w:val="0"/>
          <w:sz w:val="20"/>
        </w:rPr>
        <w:t xml:space="preserve"> Section 3.17 finds that the configuration trims at cruise with nine degrees of tip washout, reflex being an order of magnitude short of the moment required. Washout is not free: it costs span efficiency, and the cruise lift-to-drag ratio falls from 12.65 to 12.11 — </w:t>
      </w:r>
      <w:r>
        <w:rPr>
          <w:rFonts w:ascii="Palatino Linotype" w:hAnsi="Palatino Linotype" w:eastAsia="Palatino Linotype"/>
          <w:b/>
          <w:i w:val="0"/>
          <w:sz w:val="20"/>
        </w:rPr>
        <w:t>4.3 percent</w:t>
      </w:r>
      <w:r>
        <w:rPr>
          <w:rFonts w:ascii="Palatino Linotype" w:hAnsi="Palatino Linotype" w:eastAsia="Palatino Linotype"/>
          <w:b w:val="0"/>
          <w:i w:val="0"/>
          <w:sz w:val="20"/>
        </w:rPr>
        <w:t>. This entry was missing from earlier versions of this ledger, and it is worth being precise about what it is a payment for. It is not one of the three bills of Section 2, which are charged for having a hover capability; it is charged for being tailless, and a tailed aircraft of the same architecture would not pay it. It belongs here because this configuration is tailless, and because a ledger that omitted it would be flattering rather than honest.</w:t>
      </w:r>
    </w:p>
    <w:p>
      <w:pPr>
        <w:spacing w:before="0" w:after="80" w:line="240" w:lineRule="auto"/>
        <w:jc w:val="both"/>
      </w:pPr>
      <w:r>
        <w:rPr>
          <w:rFonts w:ascii="Palatino Linotype" w:hAnsi="Palatino Linotype" w:eastAsia="Palatino Linotype"/>
          <w:b/>
          <w:i w:val="0"/>
          <w:sz w:val="20"/>
        </w:rPr>
        <w:t>The transition manoeuvre.</w:t>
      </w:r>
      <w:r>
        <w:rPr>
          <w:rFonts w:ascii="Palatino Linotype" w:hAnsi="Palatino Linotype" w:eastAsia="Palatino Linotype"/>
          <w:b w:val="0"/>
          <w:i w:val="0"/>
          <w:sz w:val="20"/>
        </w:rPr>
        <w:t xml:space="preserve"> The aircraft must rotate through ninety degrees, and the rotation costs time, horizontal displacement and control power. Section 3 treats it in full and shows that the altitude cost, which is the one usually assumed to dominate, can be brought to zero: rotating slowly and entering the rotation while still climbing removes it entirely at both design points. What remains is not free — the manoeuvre occupies seconds during which the aircraft is neither hovering nor cruising — but it is smaller than the literature on tail-sitters would suggest, and it is the one payment on this list that gets </w:t>
      </w:r>
      <w:r>
        <w:rPr>
          <w:rFonts w:ascii="Palatino Linotype" w:hAnsi="Palatino Linotype" w:eastAsia="Palatino Linotype"/>
          <w:b w:val="0"/>
          <w:i/>
          <w:sz w:val="20"/>
        </w:rPr>
        <w:t>cheaper</w:t>
      </w:r>
      <w:r>
        <w:rPr>
          <w:rFonts w:ascii="Palatino Linotype" w:hAnsi="Palatino Linotype" w:eastAsia="Palatino Linotype"/>
          <w:b w:val="0"/>
          <w:i w:val="0"/>
          <w:sz w:val="20"/>
        </w:rPr>
        <w:t xml:space="preserve"> the less it is hurried.</w:t>
      </w:r>
    </w:p>
    <w:p>
      <w:pPr>
        <w:spacing w:before="0" w:after="80" w:line="240" w:lineRule="auto"/>
        <w:jc w:val="both"/>
      </w:pPr>
      <w:r>
        <w:rPr>
          <w:rFonts w:ascii="Palatino Linotype" w:hAnsi="Palatino Linotype" w:eastAsia="Palatino Linotype"/>
          <w:b w:val="0"/>
          <w:i w:val="0"/>
          <w:sz w:val="20"/>
        </w:rPr>
        <w:t>Set against the bills of Section 2, the ledger is favourable but not empty. The configuration does not escape physics; it declines a particular trade. What it pays instead is smaller, and — this is the part that matters for scaling — it does not grow faster than the aircraft.</w:t>
      </w:r>
    </w:p>
    <w:p>
      <w:pPr>
        <w:spacing w:before="200" w:after="80"/>
      </w:pPr>
      <w:r>
        <w:rPr>
          <w:rFonts w:ascii="Palatino Linotype" w:hAnsi="Palatino Linotype" w:eastAsia="Palatino Linotype"/>
          <w:b/>
          <w:i w:val="0"/>
          <w:sz w:val="22"/>
        </w:rPr>
        <w:t>3.6 A comparative sizing of three architectures</w:t>
      </w:r>
    </w:p>
    <w:p>
      <w:pPr>
        <w:spacing w:before="0" w:after="80" w:line="240" w:lineRule="auto"/>
        <w:jc w:val="both"/>
      </w:pPr>
      <w:r>
        <w:rPr>
          <w:rFonts w:ascii="Palatino Linotype" w:hAnsi="Palatino Linotype" w:eastAsia="Palatino Linotype"/>
          <w:b w:val="0"/>
          <w:i w:val="0"/>
          <w:sz w:val="20"/>
        </w:rPr>
        <w:t>Supplementary S6 sizes three architectures against the same mission — this tail-sitter, a lift-plus-cruise aircraft, and a tilt-rotor — under three different sizing contracts: fixed fuel fraction, fixed fuel mass, and fixed maximum take-off mass with fixed payload. One set of equations serves all three, and every coefficient in it is back-solved from the light reference design of Section 3.7 rather than assumed. Mission, wing loading, disc loading, structural fraction and energy chain are held identical; only the cruise-drag multiplier and the architecture-specific mass differ. Under the first contract (Table 6):</w:t>
      </w:r>
    </w:p>
    <w:p>
      <w:pPr>
        <w:spacing w:before="0" w:after="80" w:line="240" w:lineRule="auto"/>
        <w:jc w:val="both"/>
        <w:keepNext/>
      </w:pPr>
      <w:r>
        <w:rPr>
          <w:rFonts w:ascii="Palatino Linotype" w:hAnsi="Palatino Linotype" w:eastAsia="Palatino Linotype"/>
          <w:b/>
          <w:i w:val="0"/>
          <w:sz w:val="20"/>
        </w:rPr>
        <w:t>Table 6.</w:t>
      </w:r>
      <w:r>
        <w:rPr>
          <w:rFonts w:ascii="Palatino Linotype" w:hAnsi="Palatino Linotype" w:eastAsia="Palatino Linotype"/>
          <w:b w:val="0"/>
          <w:i w:val="0"/>
          <w:sz w:val="20"/>
        </w:rPr>
        <w:t xml:space="preserve"> Three architectures sized for the same mission under the first contract, a fixed fuel fraction, </w:t>
      </w:r>
      <w:r>
        <w:rPr>
          <w:rFonts w:ascii="Palatino Linotype" w:hAnsi="Palatino Linotype" w:eastAsia="Palatino Linotype"/>
          <w:b/>
          <w:i w:val="0"/>
          <w:sz w:val="20"/>
        </w:rPr>
        <w:t>at the published zero-lift drag assumption</w:t>
      </w:r>
      <w:r>
        <w:rPr>
          <w:rFonts w:ascii="Palatino Linotype" w:hAnsi="Palatino Linotype" w:eastAsia="Palatino Linotype"/>
          <w:b w:val="0"/>
          <w:i w:val="0"/>
          <w:sz w:val="20"/>
        </w:rPr>
        <w:t>. The rows for A are superseded twice below — first by charging its free-wheeling rotors, then by the bracket sweep of Table 9 — and are kept so the size of each correction can be read.</w:t>
      </w:r>
    </w:p>
    <w:tbl>
      <w:tblPr>
        <w:tblStyle w:val="TableGrid"/>
        <w:tblW w:type="auto" w:w="0"/>
        <w:jc w:val="center"/>
        <w:tblLook w:firstColumn="1" w:firstRow="1" w:lastColumn="0" w:lastRow="0" w:noHBand="0" w:noVBand="1" w:val="04A0"/>
      </w:tblPr>
      <w:tblGrid>
        <w:gridCol w:w="1662"/>
        <w:gridCol w:w="1662"/>
        <w:gridCol w:w="1662"/>
        <w:gridCol w:w="1662"/>
        <w:gridCol w:w="1662"/>
        <w:gridCol w:w="1662"/>
      </w:tblGrid>
      <w:tr>
        <w:trPr>
          <w:cantSplit/>
          <w:tblHeader/>
        </w:trPr>
        <w:tc>
          <w:tcPr>
            <w:tcW w:type="dxa" w:w="1662"/>
          </w:tcPr>
          <w:p>
            <w:pPr>
              <w:spacing w:before="20" w:after="20"/>
            </w:pPr>
            <w:r/>
          </w:p>
        </w:tc>
        <w:tc>
          <w:tcPr>
            <w:tcW w:type="dxa" w:w="1662"/>
          </w:tcPr>
          <w:p>
            <w:pPr>
              <w:spacing w:before="20" w:after="20"/>
            </w:pPr>
            <w:r/>
            <w:r>
              <w:rPr>
                <w:rFonts w:ascii="Palatino Linotype" w:hAnsi="Palatino Linotype" w:eastAsia="Palatino Linotype"/>
                <w:b/>
                <w:i w:val="0"/>
                <w:sz w:val="18"/>
              </w:rPr>
              <w:t>Empty fraction</w:t>
            </w:r>
          </w:p>
        </w:tc>
        <w:tc>
          <w:tcPr>
            <w:tcW w:type="dxa" w:w="1662"/>
          </w:tcPr>
          <w:p>
            <w:pPr>
              <w:spacing w:before="20" w:after="20"/>
            </w:pPr>
            <w:r/>
            <w:r>
              <w:rPr>
                <w:rFonts w:ascii="Palatino Linotype" w:hAnsi="Palatino Linotype" w:eastAsia="Palatino Linotype"/>
                <w:b/>
                <w:i w:val="0"/>
                <w:sz w:val="18"/>
              </w:rPr>
              <w:t>MTOW</w:t>
            </w:r>
          </w:p>
        </w:tc>
        <w:tc>
          <w:tcPr>
            <w:tcW w:type="dxa" w:w="1662"/>
          </w:tcPr>
          <w:p>
            <w:pPr>
              <w:spacing w:before="20" w:after="20"/>
            </w:pPr>
            <w:r/>
            <w:r>
              <w:rPr>
                <w:rFonts w:ascii="Palatino Linotype" w:hAnsi="Palatino Linotype" w:eastAsia="Palatino Linotype"/>
                <w:b/>
                <w:i w:val="0"/>
                <w:sz w:val="18"/>
              </w:rPr>
              <w:t>Cruise L/D</w:t>
            </w:r>
          </w:p>
        </w:tc>
        <w:tc>
          <w:tcPr>
            <w:tcW w:type="dxa" w:w="1662"/>
          </w:tcPr>
          <w:p>
            <w:pPr>
              <w:spacing w:before="20" w:after="20"/>
            </w:pPr>
            <w:r/>
            <w:r>
              <w:rPr>
                <w:rFonts w:ascii="Palatino Linotype" w:hAnsi="Palatino Linotype" w:eastAsia="Palatino Linotype"/>
                <w:b/>
                <w:i w:val="0"/>
                <w:sz w:val="18"/>
              </w:rPr>
              <w:t>Hover power</w:t>
            </w:r>
          </w:p>
        </w:tc>
        <w:tc>
          <w:tcPr>
            <w:tcW w:type="dxa" w:w="1662"/>
          </w:tcPr>
          <w:p>
            <w:pPr>
              <w:spacing w:before="20" w:after="20"/>
            </w:pPr>
            <w:r/>
            <w:r>
              <w:rPr>
                <w:rFonts w:ascii="Palatino Linotype" w:hAnsi="Palatino Linotype" w:eastAsia="Palatino Linotype"/>
                <w:b/>
                <w:i w:val="0"/>
                <w:sz w:val="18"/>
              </w:rPr>
              <w:t>Range</w:t>
            </w:r>
          </w:p>
        </w:tc>
      </w:tr>
      <w:tr>
        <w:trPr>
          <w:cantSplit/>
        </w:trPr>
        <w:tc>
          <w:tcPr>
            <w:tcW w:type="dxa" w:w="1662"/>
          </w:tcPr>
          <w:p>
            <w:pPr>
              <w:spacing w:before="20" w:after="20"/>
            </w:pPr>
            <w:r/>
            <w:r>
              <w:rPr>
                <w:rFonts w:ascii="Palatino Linotype" w:hAnsi="Palatino Linotype" w:eastAsia="Palatino Linotype"/>
                <w:b w:val="0"/>
                <w:i w:val="0"/>
                <w:sz w:val="18"/>
              </w:rPr>
              <w:t>A — tail-sitter</w:t>
            </w:r>
          </w:p>
        </w:tc>
        <w:tc>
          <w:tcPr>
            <w:tcW w:type="dxa" w:w="1662"/>
          </w:tcPr>
          <w:p>
            <w:pPr>
              <w:spacing w:before="20" w:after="20"/>
            </w:pPr>
            <w:r/>
            <w:r>
              <w:rPr>
                <w:rFonts w:ascii="Palatino Linotype" w:hAnsi="Palatino Linotype" w:eastAsia="Palatino Linotype"/>
                <w:b/>
                <w:i w:val="0"/>
                <w:sz w:val="18"/>
              </w:rPr>
              <w:t>0.580</w:t>
            </w:r>
          </w:p>
        </w:tc>
        <w:tc>
          <w:tcPr>
            <w:tcW w:type="dxa" w:w="1662"/>
          </w:tcPr>
          <w:p>
            <w:pPr>
              <w:spacing w:before="20" w:after="20"/>
            </w:pPr>
            <w:r/>
            <w:r>
              <w:rPr>
                <w:rFonts w:ascii="Palatino Linotype" w:hAnsi="Palatino Linotype" w:eastAsia="Palatino Linotype"/>
                <w:b/>
                <w:i w:val="0"/>
                <w:sz w:val="18"/>
              </w:rPr>
              <w:t>50.0 kg</w:t>
            </w:r>
          </w:p>
        </w:tc>
        <w:tc>
          <w:tcPr>
            <w:tcW w:type="dxa" w:w="1662"/>
          </w:tcPr>
          <w:p>
            <w:pPr>
              <w:spacing w:before="20" w:after="20"/>
            </w:pPr>
            <w:r/>
            <w:r>
              <w:rPr>
                <w:rFonts w:ascii="Palatino Linotype" w:hAnsi="Palatino Linotype" w:eastAsia="Palatino Linotype"/>
                <w:b w:val="0"/>
                <w:i w:val="0"/>
                <w:sz w:val="18"/>
              </w:rPr>
              <w:t>12.00</w:t>
            </w:r>
          </w:p>
        </w:tc>
        <w:tc>
          <w:tcPr>
            <w:tcW w:type="dxa" w:w="1662"/>
          </w:tcPr>
          <w:p>
            <w:pPr>
              <w:spacing w:before="20" w:after="20"/>
            </w:pPr>
            <w:r/>
            <w:r>
              <w:rPr>
                <w:rFonts w:ascii="Palatino Linotype" w:hAnsi="Palatino Linotype" w:eastAsia="Palatino Linotype"/>
                <w:b/>
                <w:i w:val="0"/>
                <w:sz w:val="18"/>
              </w:rPr>
              <w:t>10.9 kW</w:t>
            </w:r>
          </w:p>
        </w:tc>
        <w:tc>
          <w:tcPr>
            <w:tcW w:type="dxa" w:w="1662"/>
          </w:tcPr>
          <w:p>
            <w:pPr>
              <w:spacing w:before="20" w:after="20"/>
            </w:pPr>
            <w:r/>
            <w:r>
              <w:rPr>
                <w:rFonts w:ascii="Palatino Linotype" w:hAnsi="Palatino Linotype" w:eastAsia="Palatino Linotype"/>
                <w:b w:val="0"/>
                <w:i w:val="0"/>
                <w:sz w:val="18"/>
              </w:rPr>
              <w:t>1 600 km †</w:t>
            </w:r>
          </w:p>
        </w:tc>
      </w:tr>
      <w:tr>
        <w:trPr>
          <w:cantSplit/>
        </w:trPr>
        <w:tc>
          <w:tcPr>
            <w:tcW w:type="dxa" w:w="1662"/>
          </w:tcPr>
          <w:p>
            <w:pPr>
              <w:spacing w:before="20" w:after="20"/>
            </w:pPr>
            <w:r/>
            <w:r>
              <w:rPr>
                <w:rFonts w:ascii="Palatino Linotype" w:hAnsi="Palatino Linotype" w:eastAsia="Palatino Linotype"/>
                <w:b w:val="0"/>
                <w:i w:val="0"/>
                <w:sz w:val="18"/>
              </w:rPr>
              <w:t>B — lift + cruise</w:t>
            </w:r>
          </w:p>
        </w:tc>
        <w:tc>
          <w:tcPr>
            <w:tcW w:type="dxa" w:w="1662"/>
          </w:tcPr>
          <w:p>
            <w:pPr>
              <w:spacing w:before="20" w:after="20"/>
            </w:pPr>
            <w:r/>
            <w:r>
              <w:rPr>
                <w:rFonts w:ascii="Palatino Linotype" w:hAnsi="Palatino Linotype" w:eastAsia="Palatino Linotype"/>
                <w:b w:val="0"/>
                <w:i w:val="0"/>
                <w:sz w:val="18"/>
              </w:rPr>
              <w:t>0.689</w:t>
            </w:r>
          </w:p>
        </w:tc>
        <w:tc>
          <w:tcPr>
            <w:tcW w:type="dxa" w:w="1662"/>
          </w:tcPr>
          <w:p>
            <w:pPr>
              <w:spacing w:before="20" w:after="20"/>
            </w:pPr>
            <w:r/>
            <w:r>
              <w:rPr>
                <w:rFonts w:ascii="Palatino Linotype" w:hAnsi="Palatino Linotype" w:eastAsia="Palatino Linotype"/>
                <w:b w:val="0"/>
                <w:i w:val="0"/>
                <w:sz w:val="18"/>
              </w:rPr>
              <w:t>86.0 kg</w:t>
            </w:r>
          </w:p>
        </w:tc>
        <w:tc>
          <w:tcPr>
            <w:tcW w:type="dxa" w:w="1662"/>
          </w:tcPr>
          <w:p>
            <w:pPr>
              <w:spacing w:before="20" w:after="20"/>
            </w:pPr>
            <w:r/>
            <w:r>
              <w:rPr>
                <w:rFonts w:ascii="Palatino Linotype" w:hAnsi="Palatino Linotype" w:eastAsia="Palatino Linotype"/>
                <w:b w:val="0"/>
                <w:i w:val="0"/>
                <w:sz w:val="18"/>
              </w:rPr>
              <w:t>10.28</w:t>
            </w:r>
          </w:p>
        </w:tc>
        <w:tc>
          <w:tcPr>
            <w:tcW w:type="dxa" w:w="1662"/>
          </w:tcPr>
          <w:p>
            <w:pPr>
              <w:spacing w:before="20" w:after="20"/>
            </w:pPr>
            <w:r/>
            <w:r>
              <w:rPr>
                <w:rFonts w:ascii="Palatino Linotype" w:hAnsi="Palatino Linotype" w:eastAsia="Palatino Linotype"/>
                <w:b w:val="0"/>
                <w:i w:val="0"/>
                <w:sz w:val="18"/>
              </w:rPr>
              <w:t>18.7 kW</w:t>
            </w:r>
          </w:p>
        </w:tc>
        <w:tc>
          <w:tcPr>
            <w:tcW w:type="dxa" w:w="1662"/>
          </w:tcPr>
          <w:p>
            <w:pPr>
              <w:spacing w:before="20" w:after="20"/>
            </w:pPr>
            <w:r/>
            <w:r>
              <w:rPr>
                <w:rFonts w:ascii="Palatino Linotype" w:hAnsi="Palatino Linotype" w:eastAsia="Palatino Linotype"/>
                <w:b w:val="0"/>
                <w:i w:val="0"/>
                <w:sz w:val="18"/>
              </w:rPr>
              <w:t>1 370 km</w:t>
            </w:r>
          </w:p>
        </w:tc>
      </w:tr>
      <w:tr>
        <w:trPr>
          <w:cantSplit/>
        </w:trPr>
        <w:tc>
          <w:tcPr>
            <w:tcW w:type="dxa" w:w="1662"/>
          </w:tcPr>
          <w:p>
            <w:pPr>
              <w:spacing w:before="20" w:after="20"/>
            </w:pPr>
            <w:r/>
            <w:r>
              <w:rPr>
                <w:rFonts w:ascii="Palatino Linotype" w:hAnsi="Palatino Linotype" w:eastAsia="Palatino Linotype"/>
                <w:b w:val="0"/>
                <w:i w:val="0"/>
                <w:sz w:val="18"/>
              </w:rPr>
              <w:t>C — tilt</w:t>
            </w:r>
          </w:p>
        </w:tc>
        <w:tc>
          <w:tcPr>
            <w:tcW w:type="dxa" w:w="1662"/>
          </w:tcPr>
          <w:p>
            <w:pPr>
              <w:spacing w:before="20" w:after="20"/>
            </w:pPr>
            <w:r/>
            <w:r>
              <w:rPr>
                <w:rFonts w:ascii="Palatino Linotype" w:hAnsi="Palatino Linotype" w:eastAsia="Palatino Linotype"/>
                <w:b w:val="0"/>
                <w:i w:val="0"/>
                <w:sz w:val="18"/>
              </w:rPr>
              <w:t>0.624</w:t>
            </w:r>
          </w:p>
        </w:tc>
        <w:tc>
          <w:tcPr>
            <w:tcW w:type="dxa" w:w="1662"/>
          </w:tcPr>
          <w:p>
            <w:pPr>
              <w:spacing w:before="20" w:after="20"/>
            </w:pPr>
            <w:r/>
            <w:r>
              <w:rPr>
                <w:rFonts w:ascii="Palatino Linotype" w:hAnsi="Palatino Linotype" w:eastAsia="Palatino Linotype"/>
                <w:b w:val="0"/>
                <w:i w:val="0"/>
                <w:sz w:val="18"/>
              </w:rPr>
              <w:t>60.3 kg</w:t>
            </w:r>
          </w:p>
        </w:tc>
        <w:tc>
          <w:tcPr>
            <w:tcW w:type="dxa" w:w="1662"/>
          </w:tcPr>
          <w:p>
            <w:pPr>
              <w:spacing w:before="20" w:after="20"/>
            </w:pPr>
            <w:r/>
            <w:r>
              <w:rPr>
                <w:rFonts w:ascii="Palatino Linotype" w:hAnsi="Palatino Linotype" w:eastAsia="Palatino Linotype"/>
                <w:b/>
                <w:i w:val="0"/>
                <w:sz w:val="18"/>
              </w:rPr>
              <w:t>13.44</w:t>
            </w:r>
          </w:p>
        </w:tc>
        <w:tc>
          <w:tcPr>
            <w:tcW w:type="dxa" w:w="1662"/>
          </w:tcPr>
          <w:p>
            <w:pPr>
              <w:spacing w:before="20" w:after="20"/>
            </w:pPr>
            <w:r/>
            <w:r>
              <w:rPr>
                <w:rFonts w:ascii="Palatino Linotype" w:hAnsi="Palatino Linotype" w:eastAsia="Palatino Linotype"/>
                <w:b w:val="0"/>
                <w:i w:val="0"/>
                <w:sz w:val="18"/>
              </w:rPr>
              <w:t>13.1 kW</w:t>
            </w:r>
          </w:p>
        </w:tc>
        <w:tc>
          <w:tcPr>
            <w:tcW w:type="dxa" w:w="1662"/>
          </w:tcPr>
          <w:p>
            <w:pPr>
              <w:spacing w:before="20" w:after="20"/>
            </w:pPr>
            <w:r/>
            <w:r>
              <w:rPr>
                <w:rFonts w:ascii="Palatino Linotype" w:hAnsi="Palatino Linotype" w:eastAsia="Palatino Linotype"/>
                <w:b/>
                <w:i w:val="0"/>
                <w:sz w:val="18"/>
              </w:rPr>
              <w:t>1 792 km</w:t>
            </w:r>
          </w:p>
        </w:tc>
      </w:tr>
    </w:tbl>
    <w:p/>
    <w:p>
      <w:pPr>
        <w:spacing w:before="0" w:after="80" w:line="240" w:lineRule="auto"/>
        <w:jc w:val="both"/>
      </w:pPr>
      <w:r>
        <w:rPr>
          <w:rFonts w:ascii="Palatino Linotype" w:hAnsi="Palatino Linotype" w:eastAsia="Palatino Linotype"/>
          <w:b w:val="0"/>
          <w:i w:val="0"/>
          <w:sz w:val="20"/>
        </w:rPr>
        <w:t xml:space="preserve">† </w:t>
      </w:r>
      <w:r>
        <w:rPr>
          <w:rFonts w:ascii="Palatino Linotype" w:hAnsi="Palatino Linotype" w:eastAsia="Palatino Linotype"/>
          <w:b w:val="0"/>
          <w:i/>
          <w:sz w:val="20"/>
        </w:rPr>
        <w:t>Every figure in this table is at the published drag assumption. The sweep at the end of this section gives the range as 1 173 to 1 442 km across the computed bracket, and the table is kept in this form because the corrections below are stated relative to it.</w:t>
      </w:r>
    </w:p>
    <w:p>
      <w:pPr>
        <w:spacing w:before="0" w:after="80" w:line="240" w:lineRule="auto"/>
        <w:jc w:val="both"/>
      </w:pPr>
      <w:r>
        <w:rPr>
          <w:rFonts w:ascii="Palatino Linotype" w:hAnsi="Palatino Linotype" w:eastAsia="Palatino Linotype"/>
          <w:b/>
          <w:i w:val="0"/>
          <w:sz w:val="20"/>
        </w:rPr>
        <w:t>That table is built on a cruise-drag multiplier this paper has since shown to be incomplete, and re-deriving it reverses one of the three results.</w:t>
      </w:r>
      <w:r>
        <w:rPr>
          <w:rFonts w:ascii="Palatino Linotype" w:hAnsi="Palatino Linotype" w:eastAsia="Palatino Linotype"/>
          <w:b w:val="0"/>
          <w:i w:val="0"/>
          <w:sz w:val="20"/>
        </w:rPr>
        <w:t xml:space="preserve"> Architecture A was charged 1/1.12 for its exposed hardware, a figure covering the tip frames alone. Architecture B was charged 13/17, which comes from a measured configuration and therefore already contains the drag of its lift rotors. The comparison was asymmetric, and Section 3.3 has now computed the term that was missing: the free-wheeling tip rotors add at least 0.0154 to zero-lift drag. Rebuilt from the same drag book-keeping that reproduces the original 1.12 to three digits, A's multiplier becomes </w:t>
      </w:r>
      <w:r>
        <w:rPr>
          <w:rFonts w:ascii="Palatino Linotype" w:hAnsi="Palatino Linotype" w:eastAsia="Palatino Linotype"/>
          <w:b/>
          <w:i w:val="0"/>
          <w:sz w:val="20"/>
        </w:rPr>
        <w:t>1/1.58</w:t>
      </w:r>
      <w:r>
        <w:rPr>
          <w:rFonts w:ascii="Palatino Linotype" w:hAnsi="Palatino Linotype" w:eastAsia="Palatino Linotype"/>
          <w:b w:val="0"/>
          <w:i w:val="0"/>
          <w:sz w:val="20"/>
        </w:rPr>
        <w:t xml:space="preserve">, its cruise lift-to-drag ratio falls from 12.00 to </w:t>
      </w:r>
      <w:r>
        <w:rPr>
          <w:rFonts w:ascii="Palatino Linotype" w:hAnsi="Palatino Linotype" w:eastAsia="Palatino Linotype"/>
          <w:b/>
          <w:i w:val="0"/>
          <w:sz w:val="20"/>
        </w:rPr>
        <w:t>8.49</w:t>
      </w:r>
      <w:r>
        <w:rPr>
          <w:rFonts w:ascii="Palatino Linotype" w:hAnsi="Palatino Linotype" w:eastAsia="Palatino Linotype"/>
          <w:b w:val="0"/>
          <w:i w:val="0"/>
          <w:sz w:val="20"/>
        </w:rPr>
        <w:t xml:space="preserve">, and its take-off mass rises to </w:t>
      </w:r>
      <w:r>
        <w:rPr>
          <w:rFonts w:ascii="Palatino Linotype" w:hAnsi="Palatino Linotype" w:eastAsia="Palatino Linotype"/>
          <w:b/>
          <w:i w:val="0"/>
          <w:sz w:val="20"/>
        </w:rPr>
        <w:t>54.5 kg</w:t>
      </w:r>
      <w:r>
        <w:rPr>
          <w:rFonts w:ascii="Palatino Linotype" w:hAnsi="Palatino Linotype" w:eastAsia="Palatino Linotype"/>
          <w:b w:val="0"/>
          <w:i w:val="0"/>
          <w:sz w:val="20"/>
        </w:rPr>
        <w:t xml:space="preserve">. B cannot escape this charge by stopping its rotors and A cannot: B's lift discs are horizontal in cruise and can be stopped with the blades aligned fore-and-aft, while A's are fixed-pitch tractors whose blades cannot be turned out of the flow at all. </w:t>
      </w:r>
      <w:r>
        <w:rPr>
          <w:rFonts w:ascii="Palatino Linotype" w:hAnsi="Palatino Linotype" w:eastAsia="Palatino Linotype"/>
          <w:b/>
          <w:i w:val="0"/>
          <w:sz w:val="20"/>
        </w:rPr>
        <w:t>The asymmetry is real and it runs against this configuration.</w:t>
      </w:r>
      <w:r>
        <w:rPr>
          <w:rFonts w:ascii="Palatino Linotype" w:hAnsi="Palatino Linotype" w:eastAsia="Palatino Linotype"/>
          <w:b w:val="0"/>
          <w:i w:val="0"/>
          <w:sz w:val="20"/>
        </w:rPr>
        <w:t xml:space="preserve"> Table 7 states the effect on each contract.</w:t>
      </w:r>
    </w:p>
    <w:p>
      <w:pPr>
        <w:spacing w:before="0" w:after="80" w:line="240" w:lineRule="auto"/>
        <w:jc w:val="both"/>
        <w:keepNext/>
      </w:pPr>
      <w:r>
        <w:rPr>
          <w:rFonts w:ascii="Palatino Linotype" w:hAnsi="Palatino Linotype" w:eastAsia="Palatino Linotype"/>
          <w:b/>
          <w:i w:val="0"/>
          <w:sz w:val="20"/>
        </w:rPr>
        <w:t>Table 7.</w:t>
      </w:r>
      <w:r>
        <w:rPr>
          <w:rFonts w:ascii="Palatino Linotype" w:hAnsi="Palatino Linotype" w:eastAsia="Palatino Linotype"/>
          <w:b w:val="0"/>
          <w:i w:val="0"/>
          <w:sz w:val="20"/>
        </w:rPr>
        <w:t xml:space="preserve"> Architecture B against A under each of the three contracts, before and after A's free-wheeling rotor drag is charged. </w:t>
      </w:r>
      <w:r>
        <w:rPr>
          <w:rFonts w:ascii="Palatino Linotype" w:hAnsi="Palatino Linotype" w:eastAsia="Palatino Linotype"/>
          <w:b/>
          <w:i w:val="0"/>
          <w:sz w:val="20"/>
        </w:rPr>
        <w:t>A mixed basis:</w:t>
      </w:r>
      <w:r>
        <w:rPr>
          <w:rFonts w:ascii="Palatino Linotype" w:hAnsi="Palatino Linotype" w:eastAsia="Palatino Linotype"/>
          <w:b w:val="0"/>
          <w:i w:val="0"/>
          <w:sz w:val="20"/>
        </w:rPr>
        <w:t xml:space="preserve"> the charge is applied to A and not to the clean-airframe drag coefficient the other two are sized on. Table 9 re-solves all three on a common basis and is the reportable form.</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Contract</w:t>
            </w:r>
          </w:p>
        </w:tc>
        <w:tc>
          <w:tcPr>
            <w:tcW w:type="dxa" w:w="3324"/>
          </w:tcPr>
          <w:p>
            <w:pPr>
              <w:spacing w:before="20" w:after="20"/>
            </w:pPr>
            <w:r/>
            <w:r>
              <w:rPr>
                <w:rFonts w:ascii="Palatino Linotype" w:hAnsi="Palatino Linotype" w:eastAsia="Palatino Linotype"/>
                <w:b/>
                <w:i w:val="0"/>
                <w:sz w:val="18"/>
              </w:rPr>
              <w:t>B against A, as published</w:t>
            </w:r>
          </w:p>
        </w:tc>
        <w:tc>
          <w:tcPr>
            <w:tcW w:type="dxa" w:w="3324"/>
          </w:tcPr>
          <w:p>
            <w:pPr>
              <w:spacing w:before="20" w:after="20"/>
            </w:pPr>
            <w:r/>
            <w:r>
              <w:rPr>
                <w:rFonts w:ascii="Palatino Linotype" w:hAnsi="Palatino Linotype" w:eastAsia="Palatino Linotype"/>
                <w:b/>
                <w:i w:val="0"/>
                <w:sz w:val="18"/>
              </w:rPr>
              <w:t>B against A, rotors charged</w:t>
            </w:r>
          </w:p>
        </w:tc>
      </w:tr>
      <w:tr>
        <w:trPr>
          <w:cantSplit/>
        </w:trPr>
        <w:tc>
          <w:tcPr>
            <w:tcW w:type="dxa" w:w="3324"/>
          </w:tcPr>
          <w:p>
            <w:pPr>
              <w:spacing w:before="20" w:after="20"/>
            </w:pPr>
            <w:r/>
            <w:r>
              <w:rPr>
                <w:rFonts w:ascii="Palatino Linotype" w:hAnsi="Palatino Linotype" w:eastAsia="Palatino Linotype"/>
                <w:b w:val="0"/>
                <w:i w:val="0"/>
                <w:sz w:val="18"/>
              </w:rPr>
              <w:t>Fixed fuel fraction</w:t>
            </w:r>
          </w:p>
        </w:tc>
        <w:tc>
          <w:tcPr>
            <w:tcW w:type="dxa" w:w="3324"/>
          </w:tcPr>
          <w:p>
            <w:pPr>
              <w:spacing w:before="20" w:after="20"/>
            </w:pPr>
            <w:r/>
            <w:r>
              <w:rPr>
                <w:rFonts w:ascii="Palatino Linotype" w:hAnsi="Palatino Linotype" w:eastAsia="Palatino Linotype"/>
                <w:b w:val="0"/>
                <w:i w:val="0"/>
                <w:sz w:val="18"/>
              </w:rPr>
              <w:t>−14.4 %</w:t>
            </w:r>
          </w:p>
        </w:tc>
        <w:tc>
          <w:tcPr>
            <w:tcW w:type="dxa" w:w="3324"/>
          </w:tcPr>
          <w:p>
            <w:pPr>
              <w:spacing w:before="20" w:after="20"/>
            </w:pPr>
            <w:r/>
            <w:r>
              <w:rPr>
                <w:rFonts w:ascii="Palatino Linotype" w:hAnsi="Palatino Linotype" w:eastAsia="Palatino Linotype"/>
                <w:b/>
                <w:i w:val="0"/>
                <w:sz w:val="18"/>
              </w:rPr>
              <w:t>+21.1 %</w:t>
            </w:r>
          </w:p>
        </w:tc>
      </w:tr>
      <w:tr>
        <w:trPr>
          <w:cantSplit/>
        </w:trPr>
        <w:tc>
          <w:tcPr>
            <w:tcW w:type="dxa" w:w="3324"/>
          </w:tcPr>
          <w:p>
            <w:pPr>
              <w:spacing w:before="20" w:after="20"/>
            </w:pPr>
            <w:r/>
            <w:r>
              <w:rPr>
                <w:rFonts w:ascii="Palatino Linotype" w:hAnsi="Palatino Linotype" w:eastAsia="Palatino Linotype"/>
                <w:b w:val="0"/>
                <w:i w:val="0"/>
                <w:sz w:val="18"/>
              </w:rPr>
              <w:t>Fixed fuel mass</w:t>
            </w:r>
          </w:p>
        </w:tc>
        <w:tc>
          <w:tcPr>
            <w:tcW w:type="dxa" w:w="3324"/>
          </w:tcPr>
          <w:p>
            <w:pPr>
              <w:spacing w:before="20" w:after="20"/>
            </w:pPr>
            <w:r/>
            <w:r>
              <w:rPr>
                <w:rFonts w:ascii="Palatino Linotype" w:hAnsi="Palatino Linotype" w:eastAsia="Palatino Linotype"/>
                <w:b w:val="0"/>
                <w:i w:val="0"/>
                <w:sz w:val="18"/>
              </w:rPr>
              <w:t>−36.5 %</w:t>
            </w:r>
          </w:p>
        </w:tc>
        <w:tc>
          <w:tcPr>
            <w:tcW w:type="dxa" w:w="3324"/>
          </w:tcPr>
          <w:p>
            <w:pPr>
              <w:spacing w:before="20" w:after="20"/>
            </w:pPr>
            <w:r/>
            <w:r>
              <w:rPr>
                <w:rFonts w:ascii="Palatino Linotype" w:hAnsi="Palatino Linotype" w:eastAsia="Palatino Linotype"/>
                <w:b w:val="0"/>
                <w:i w:val="0"/>
                <w:sz w:val="18"/>
              </w:rPr>
              <w:t>−5.4 %</w:t>
            </w:r>
          </w:p>
        </w:tc>
      </w:tr>
      <w:tr>
        <w:trPr>
          <w:cantSplit/>
        </w:trPr>
        <w:tc>
          <w:tcPr>
            <w:tcW w:type="dxa" w:w="3324"/>
          </w:tcPr>
          <w:p>
            <w:pPr>
              <w:spacing w:before="20" w:after="20"/>
            </w:pPr>
            <w:r/>
            <w:r>
              <w:rPr>
                <w:rFonts w:ascii="Palatino Linotype" w:hAnsi="Palatino Linotype" w:eastAsia="Palatino Linotype"/>
                <w:b w:val="0"/>
                <w:i w:val="0"/>
                <w:sz w:val="18"/>
              </w:rPr>
              <w:t>Fixed MTOW and payload</w:t>
            </w:r>
          </w:p>
        </w:tc>
        <w:tc>
          <w:tcPr>
            <w:tcW w:type="dxa" w:w="3324"/>
          </w:tcPr>
          <w:p>
            <w:pPr>
              <w:spacing w:before="20" w:after="20"/>
            </w:pPr>
            <w:r/>
            <w:r>
              <w:rPr>
                <w:rFonts w:ascii="Palatino Linotype" w:hAnsi="Palatino Linotype" w:eastAsia="Palatino Linotype"/>
                <w:b w:val="0"/>
                <w:i w:val="0"/>
                <w:sz w:val="18"/>
              </w:rPr>
              <w:t>−72.6 %</w:t>
            </w:r>
          </w:p>
        </w:tc>
        <w:tc>
          <w:tcPr>
            <w:tcW w:type="dxa" w:w="3324"/>
          </w:tcPr>
          <w:p>
            <w:pPr>
              <w:spacing w:before="20" w:after="20"/>
            </w:pPr>
            <w:r/>
            <w:r>
              <w:rPr>
                <w:rFonts w:ascii="Palatino Linotype" w:hAnsi="Palatino Linotype" w:eastAsia="Palatino Linotype"/>
                <w:b w:val="0"/>
                <w:i w:val="0"/>
                <w:sz w:val="18"/>
              </w:rPr>
              <w:t>−44.9 %</w:t>
            </w:r>
          </w:p>
        </w:tc>
      </w:tr>
    </w:tbl>
    <w:p/>
    <w:p>
      <w:pPr>
        <w:spacing w:before="0" w:after="80" w:line="240" w:lineRule="auto"/>
        <w:jc w:val="both"/>
      </w:pPr>
      <w:r>
        <w:rPr>
          <w:rFonts w:ascii="Palatino Linotype" w:hAnsi="Palatino Linotype" w:eastAsia="Palatino Linotype"/>
          <w:b/>
          <w:i w:val="0"/>
          <w:sz w:val="20"/>
        </w:rPr>
        <w:t>Under the first contract the ranking reverses.</w:t>
      </w:r>
      <w:r>
        <w:rPr>
          <w:rFonts w:ascii="Palatino Linotype" w:hAnsi="Palatino Linotype" w:eastAsia="Palatino Linotype"/>
          <w:b w:val="0"/>
          <w:i w:val="0"/>
          <w:sz w:val="20"/>
        </w:rPr>
        <w:t xml:space="preserve"> On equal fuel fractions the lift-plus-cruise layout now flies twenty-one percent further, because A's cruise efficiency has fallen below B's: 0.632 of the clean value against B's 0.765. A retains the advantage under the other two contracts and retains a mass advantage under all three, though </w:t>
      </w:r>
      <w:r>
        <w:rPr>
          <w:rFonts w:ascii="Palatino Linotype" w:hAnsi="Palatino Linotype" w:eastAsia="Palatino Linotype"/>
          <w:b/>
          <w:i w:val="0"/>
          <w:sz w:val="20"/>
        </w:rPr>
        <w:t>not the advantage an earlier version quoted</w:t>
      </w:r>
      <w:r>
        <w:rPr>
          <w:rFonts w:ascii="Palatino Linotype" w:hAnsi="Palatino Linotype" w:eastAsia="Palatino Linotype"/>
          <w:b w:val="0"/>
          <w:i w:val="0"/>
          <w:sz w:val="20"/>
        </w:rPr>
        <w:t xml:space="preserve">. That version compared this configuration with its rotors charged, at 54.5 kg, against a lift-plus-cruise layout at 86.0 kg sized on the </w:t>
      </w:r>
      <w:r>
        <w:rPr>
          <w:rFonts w:ascii="Palatino Linotype" w:hAnsi="Palatino Linotype" w:eastAsia="Palatino Linotype"/>
          <w:b w:val="0"/>
          <w:i/>
          <w:sz w:val="20"/>
        </w:rPr>
        <w:t>uncharged</w:t>
      </w:r>
      <w:r>
        <w:rPr>
          <w:rFonts w:ascii="Palatino Linotype" w:hAnsi="Palatino Linotype" w:eastAsia="Palatino Linotype"/>
          <w:b w:val="0"/>
          <w:i w:val="0"/>
          <w:sz w:val="20"/>
        </w:rPr>
        <w:t xml:space="preserve"> drag — 37 percent, on two different aerodynamic bases. Re-solving both layouts on the same drag at each end of the bracket gives 51.1 against 75.5 kg at the favourable end and 53.9 against 83.9 at the adverse one: </w:t>
      </w:r>
      <w:r>
        <w:rPr>
          <w:rFonts w:ascii="Palatino Linotype" w:hAnsi="Palatino Linotype" w:eastAsia="Palatino Linotype"/>
          <w:b/>
          <w:i w:val="0"/>
          <w:sz w:val="20"/>
        </w:rPr>
        <w:t>a mass advantage of 32 to 36 percent, not 37 and not the 42 of the original assumption.</w:t>
      </w:r>
      <w:r>
        <w:rPr>
          <w:rFonts w:ascii="Palatino Linotype" w:hAnsi="Palatino Linotype" w:eastAsia="Palatino Linotype"/>
          <w:b w:val="0"/>
          <w:i w:val="0"/>
          <w:sz w:val="20"/>
        </w:rPr>
        <w:t xml:space="preserve"> The two ends run the opposite way to the intuition: the advantage is </w:t>
      </w:r>
      <w:r>
        <w:rPr>
          <w:rFonts w:ascii="Palatino Linotype" w:hAnsi="Palatino Linotype" w:eastAsia="Palatino Linotype"/>
          <w:b w:val="0"/>
          <w:i/>
          <w:sz w:val="20"/>
        </w:rPr>
        <w:t>larger</w:t>
      </w:r>
      <w:r>
        <w:rPr>
          <w:rFonts w:ascii="Palatino Linotype" w:hAnsi="Palatino Linotype" w:eastAsia="Palatino Linotype"/>
          <w:b w:val="0"/>
          <w:i w:val="0"/>
          <w:sz w:val="20"/>
        </w:rPr>
        <w:t xml:space="preserve"> at the adverse end, because the lift-plus-cruise layout's mass grows faster with drag than this one's does. </w:t>
      </w:r>
      <w:r>
        <w:rPr>
          <w:rFonts w:ascii="Palatino Linotype" w:hAnsi="Palatino Linotype" w:eastAsia="Palatino Linotype"/>
          <w:b/>
          <w:i w:val="0"/>
          <w:sz w:val="20"/>
        </w:rPr>
        <w:t>The conservative single figure is therefore 32 percent, at the favourable end</w:t>
      </w:r>
      <w:r>
        <w:rPr>
          <w:rFonts w:ascii="Palatino Linotype" w:hAnsi="Palatino Linotype" w:eastAsia="Palatino Linotype"/>
          <w:b w:val="0"/>
          <w:i w:val="0"/>
          <w:sz w:val="20"/>
        </w:rPr>
        <w:t xml:space="preserve"> — which is why the range is quoted rather than either end alone. The claim that this architecture leads on range under every rule does not survive either. Against the tilting layout, which was already ahead in three of twelve cells, A now trails under all three contracts.</w:t>
      </w:r>
    </w:p>
    <w:p>
      <w:pPr>
        <w:spacing w:before="0" w:after="80" w:line="240" w:lineRule="auto"/>
        <w:jc w:val="both"/>
      </w:pPr>
      <w:r>
        <w:rPr>
          <w:rFonts w:ascii="Palatino Linotype" w:hAnsi="Palatino Linotype" w:eastAsia="Palatino Linotype"/>
          <w:b/>
          <w:i w:val="0"/>
          <w:sz w:val="20"/>
        </w:rPr>
        <w:t>A second correction pushes the other way, and it is larger.</w:t>
      </w:r>
      <w:r>
        <w:rPr>
          <w:rFonts w:ascii="Palatino Linotype" w:hAnsi="Palatino Linotype" w:eastAsia="Palatino Linotype"/>
          <w:b w:val="0"/>
          <w:i w:val="0"/>
          <w:sz w:val="20"/>
        </w:rPr>
        <w:t xml:space="preserve"> The comparison above holds the battery buffer at four percent of take-off mass for all three architectures. Section 4.4 sizes that buffer on a measured pack instead, where it becomes roughly sixteen percent. Applying the same fraction to all three — B and C included, since charging only A would invert the very objection that motivated it — does not narrow A's margin. It widens it, because B's hover power per unit mass is the highest of the three and the buffer feeds back on itself through hover power (Table 8):</w:t>
      </w:r>
    </w:p>
    <w:p>
      <w:pPr>
        <w:spacing w:before="0" w:after="80" w:line="240" w:lineRule="auto"/>
        <w:jc w:val="both"/>
        <w:keepNext/>
      </w:pPr>
      <w:r>
        <w:rPr>
          <w:rFonts w:ascii="Palatino Linotype" w:hAnsi="Palatino Linotype" w:eastAsia="Palatino Linotype"/>
          <w:b/>
          <w:i w:val="0"/>
          <w:sz w:val="20"/>
        </w:rPr>
        <w:t>Table 8.</w:t>
      </w:r>
      <w:r>
        <w:rPr>
          <w:rFonts w:ascii="Palatino Linotype" w:hAnsi="Palatino Linotype" w:eastAsia="Palatino Linotype"/>
          <w:b w:val="0"/>
          <w:i w:val="0"/>
          <w:sz w:val="20"/>
        </w:rPr>
        <w:t xml:space="preserve"> Take-off mass of the three architectures as the energy-buffer mass fraction is raised, applied equally to all three. </w:t>
      </w:r>
      <w:r>
        <w:rPr>
          <w:rFonts w:ascii="Palatino Linotype" w:hAnsi="Palatino Linotype" w:eastAsia="Palatino Linotype"/>
          <w:b/>
          <w:i w:val="0"/>
          <w:sz w:val="20"/>
        </w:rPr>
        <w:t>On the same mixed basis as Table 7:</w:t>
      </w:r>
      <w:r>
        <w:rPr>
          <w:rFonts w:ascii="Palatino Linotype" w:hAnsi="Palatino Linotype" w:eastAsia="Palatino Linotype"/>
          <w:b w:val="0"/>
          <w:i w:val="0"/>
          <w:sz w:val="20"/>
        </w:rPr>
        <w:t xml:space="preserve"> every row pairs A with its rotors charged against B and C at the published drag assumption — the pairing this section retires three paragraphs above. The rows are kept for the buffer trend, which is what they are used for; no mass difference should be read off them.</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Buffer fraction</w:t>
            </w:r>
          </w:p>
        </w:tc>
        <w:tc>
          <w:tcPr>
            <w:tcW w:type="dxa" w:w="2493"/>
          </w:tcPr>
          <w:p>
            <w:pPr>
              <w:spacing w:before="20" w:after="20"/>
            </w:pPr>
            <w:r/>
            <w:r>
              <w:rPr>
                <w:rFonts w:ascii="Palatino Linotype" w:hAnsi="Palatino Linotype" w:eastAsia="Palatino Linotype"/>
                <w:b/>
                <w:i w:val="0"/>
                <w:sz w:val="18"/>
              </w:rPr>
              <w:t>A</w:t>
            </w:r>
          </w:p>
        </w:tc>
        <w:tc>
          <w:tcPr>
            <w:tcW w:type="dxa" w:w="2493"/>
          </w:tcPr>
          <w:p>
            <w:pPr>
              <w:spacing w:before="20" w:after="20"/>
            </w:pPr>
            <w:r/>
            <w:r>
              <w:rPr>
                <w:rFonts w:ascii="Palatino Linotype" w:hAnsi="Palatino Linotype" w:eastAsia="Palatino Linotype"/>
                <w:b/>
                <w:i w:val="0"/>
                <w:sz w:val="18"/>
              </w:rPr>
              <w:t>B</w:t>
            </w:r>
          </w:p>
        </w:tc>
        <w:tc>
          <w:tcPr>
            <w:tcW w:type="dxa" w:w="2493"/>
          </w:tcPr>
          <w:p>
            <w:pPr>
              <w:spacing w:before="20" w:after="20"/>
            </w:pPr>
            <w:r/>
            <w:r>
              <w:rPr>
                <w:rFonts w:ascii="Palatino Linotype" w:hAnsi="Palatino Linotype" w:eastAsia="Palatino Linotype"/>
                <w:b/>
                <w:i w:val="0"/>
                <w:sz w:val="18"/>
              </w:rPr>
              <w:t>C</w:t>
            </w:r>
          </w:p>
        </w:tc>
      </w:tr>
      <w:tr>
        <w:trPr>
          <w:cantSplit/>
        </w:trPr>
        <w:tc>
          <w:tcPr>
            <w:tcW w:type="dxa" w:w="2493"/>
          </w:tcPr>
          <w:p>
            <w:pPr>
              <w:spacing w:before="20" w:after="20"/>
            </w:pPr>
            <w:r/>
            <w:r>
              <w:rPr>
                <w:rFonts w:ascii="Palatino Linotype" w:hAnsi="Palatino Linotype" w:eastAsia="Palatino Linotype"/>
                <w:b w:val="0"/>
                <w:i w:val="0"/>
                <w:sz w:val="18"/>
              </w:rPr>
              <w:t>4 %</w:t>
            </w:r>
          </w:p>
        </w:tc>
        <w:tc>
          <w:tcPr>
            <w:tcW w:type="dxa" w:w="2493"/>
          </w:tcPr>
          <w:p>
            <w:pPr>
              <w:spacing w:before="20" w:after="20"/>
            </w:pPr>
            <w:r/>
            <w:r>
              <w:rPr>
                <w:rFonts w:ascii="Palatino Linotype" w:hAnsi="Palatino Linotype" w:eastAsia="Palatino Linotype"/>
                <w:b w:val="0"/>
                <w:i w:val="0"/>
                <w:sz w:val="18"/>
              </w:rPr>
              <w:t>54.5 kg</w:t>
            </w:r>
          </w:p>
        </w:tc>
        <w:tc>
          <w:tcPr>
            <w:tcW w:type="dxa" w:w="2493"/>
          </w:tcPr>
          <w:p>
            <w:pPr>
              <w:spacing w:before="20" w:after="20"/>
            </w:pPr>
            <w:r/>
            <w:r>
              <w:rPr>
                <w:rFonts w:ascii="Palatino Linotype" w:hAnsi="Palatino Linotype" w:eastAsia="Palatino Linotype"/>
                <w:b w:val="0"/>
                <w:i w:val="0"/>
                <w:sz w:val="18"/>
              </w:rPr>
              <w:t>86.0 kg</w:t>
            </w:r>
          </w:p>
        </w:tc>
        <w:tc>
          <w:tcPr>
            <w:tcW w:type="dxa" w:w="2493"/>
          </w:tcPr>
          <w:p>
            <w:pPr>
              <w:spacing w:before="20" w:after="20"/>
            </w:pPr>
            <w:r/>
            <w:r>
              <w:rPr>
                <w:rFonts w:ascii="Palatino Linotype" w:hAnsi="Palatino Linotype" w:eastAsia="Palatino Linotype"/>
                <w:b w:val="0"/>
                <w:i w:val="0"/>
                <w:sz w:val="18"/>
              </w:rPr>
              <w:t>60.3 kg</w:t>
            </w:r>
          </w:p>
        </w:tc>
      </w:tr>
      <w:tr>
        <w:trPr>
          <w:cantSplit/>
        </w:trPr>
        <w:tc>
          <w:tcPr>
            <w:tcW w:type="dxa" w:w="2493"/>
          </w:tcPr>
          <w:p>
            <w:pPr>
              <w:spacing w:before="20" w:after="20"/>
            </w:pPr>
            <w:r/>
            <w:r>
              <w:rPr>
                <w:rFonts w:ascii="Palatino Linotype" w:hAnsi="Palatino Linotype" w:eastAsia="Palatino Linotype"/>
                <w:b w:val="0"/>
                <w:i w:val="0"/>
                <w:sz w:val="18"/>
              </w:rPr>
              <w:t>12 %</w:t>
            </w:r>
          </w:p>
        </w:tc>
        <w:tc>
          <w:tcPr>
            <w:tcW w:type="dxa" w:w="2493"/>
          </w:tcPr>
          <w:p>
            <w:pPr>
              <w:spacing w:before="20" w:after="20"/>
            </w:pPr>
            <w:r/>
            <w:r>
              <w:rPr>
                <w:rFonts w:ascii="Palatino Linotype" w:hAnsi="Palatino Linotype" w:eastAsia="Palatino Linotype"/>
                <w:b w:val="0"/>
                <w:i w:val="0"/>
                <w:sz w:val="18"/>
              </w:rPr>
              <w:t>82.1 kg</w:t>
            </w:r>
          </w:p>
        </w:tc>
        <w:tc>
          <w:tcPr>
            <w:tcW w:type="dxa" w:w="2493"/>
          </w:tcPr>
          <w:p>
            <w:pPr>
              <w:spacing w:before="20" w:after="20"/>
            </w:pPr>
            <w:r/>
            <w:r>
              <w:rPr>
                <w:rFonts w:ascii="Palatino Linotype" w:hAnsi="Palatino Linotype" w:eastAsia="Palatino Linotype"/>
                <w:b w:val="0"/>
                <w:i w:val="0"/>
                <w:sz w:val="18"/>
              </w:rPr>
              <w:t>182.5 kg</w:t>
            </w:r>
          </w:p>
        </w:tc>
        <w:tc>
          <w:tcPr>
            <w:tcW w:type="dxa" w:w="2493"/>
          </w:tcPr>
          <w:p>
            <w:pPr>
              <w:spacing w:before="20" w:after="20"/>
            </w:pPr>
            <w:r/>
            <w:r>
              <w:rPr>
                <w:rFonts w:ascii="Palatino Linotype" w:hAnsi="Palatino Linotype" w:eastAsia="Palatino Linotype"/>
                <w:b w:val="0"/>
                <w:i w:val="0"/>
                <w:sz w:val="18"/>
              </w:rPr>
              <w:t>95.9 kg</w:t>
            </w:r>
          </w:p>
        </w:tc>
      </w:tr>
      <w:tr>
        <w:trPr>
          <w:cantSplit/>
        </w:trPr>
        <w:tc>
          <w:tcPr>
            <w:tcW w:type="dxa" w:w="2493"/>
          </w:tcPr>
          <w:p>
            <w:pPr>
              <w:spacing w:before="20" w:after="20"/>
            </w:pPr>
            <w:r/>
            <w:r>
              <w:rPr>
                <w:rFonts w:ascii="Palatino Linotype" w:hAnsi="Palatino Linotype" w:eastAsia="Palatino Linotype"/>
                <w:b w:val="0"/>
                <w:i w:val="0"/>
                <w:sz w:val="18"/>
              </w:rPr>
              <w:t>16 %</w:t>
            </w:r>
          </w:p>
        </w:tc>
        <w:tc>
          <w:tcPr>
            <w:tcW w:type="dxa" w:w="2493"/>
          </w:tcPr>
          <w:p>
            <w:pPr>
              <w:spacing w:before="20" w:after="20"/>
            </w:pPr>
            <w:r/>
            <w:r>
              <w:rPr>
                <w:rFonts w:ascii="Palatino Linotype" w:hAnsi="Palatino Linotype" w:eastAsia="Palatino Linotype"/>
                <w:b w:val="0"/>
                <w:i w:val="0"/>
                <w:sz w:val="18"/>
              </w:rPr>
              <w:t>106.2 kg</w:t>
            </w:r>
          </w:p>
        </w:tc>
        <w:tc>
          <w:tcPr>
            <w:tcW w:type="dxa" w:w="2493"/>
          </w:tcPr>
          <w:p>
            <w:pPr>
              <w:spacing w:before="20" w:after="20"/>
            </w:pPr>
            <w:r/>
            <w:r>
              <w:rPr>
                <w:rFonts w:ascii="Palatino Linotype" w:hAnsi="Palatino Linotype" w:eastAsia="Palatino Linotype"/>
                <w:b w:val="0"/>
                <w:i w:val="0"/>
                <w:sz w:val="18"/>
              </w:rPr>
              <w:t>369 kg</w:t>
            </w:r>
          </w:p>
        </w:tc>
        <w:tc>
          <w:tcPr>
            <w:tcW w:type="dxa" w:w="2493"/>
          </w:tcPr>
          <w:p>
            <w:pPr>
              <w:spacing w:before="20" w:after="20"/>
            </w:pPr>
            <w:r/>
            <w:r>
              <w:rPr>
                <w:rFonts w:ascii="Palatino Linotype" w:hAnsi="Palatino Linotype" w:eastAsia="Palatino Linotype"/>
                <w:b w:val="0"/>
                <w:i w:val="0"/>
                <w:sz w:val="18"/>
              </w:rPr>
              <w:t>130.6 kg</w:t>
            </w:r>
          </w:p>
        </w:tc>
      </w:tr>
      <w:tr>
        <w:trPr>
          <w:cantSplit/>
        </w:trPr>
        <w:tc>
          <w:tcPr>
            <w:tcW w:type="dxa" w:w="2493"/>
          </w:tcPr>
          <w:p>
            <w:pPr>
              <w:spacing w:before="20" w:after="20"/>
            </w:pPr>
            <w:r/>
            <w:r>
              <w:rPr>
                <w:rFonts w:ascii="Palatino Linotype" w:hAnsi="Palatino Linotype" w:eastAsia="Palatino Linotype"/>
                <w:b w:val="0"/>
                <w:i w:val="0"/>
                <w:sz w:val="18"/>
              </w:rPr>
              <w:t>18 %</w:t>
            </w:r>
          </w:p>
        </w:tc>
        <w:tc>
          <w:tcPr>
            <w:tcW w:type="dxa" w:w="2493"/>
          </w:tcPr>
          <w:p>
            <w:pPr>
              <w:spacing w:before="20" w:after="20"/>
            </w:pPr>
            <w:r/>
            <w:r>
              <w:rPr>
                <w:rFonts w:ascii="Palatino Linotype" w:hAnsi="Palatino Linotype" w:eastAsia="Palatino Linotype"/>
                <w:b w:val="0"/>
                <w:i w:val="0"/>
                <w:sz w:val="18"/>
              </w:rPr>
              <w:t>132.1 kg</w:t>
            </w:r>
          </w:p>
        </w:tc>
        <w:tc>
          <w:tcPr>
            <w:tcW w:type="dxa" w:w="2493"/>
          </w:tcPr>
          <w:p>
            <w:pPr>
              <w:spacing w:before="20" w:after="20"/>
            </w:pPr>
            <w:r/>
            <w:r>
              <w:rPr>
                <w:rFonts w:ascii="Palatino Linotype" w:hAnsi="Palatino Linotype" w:eastAsia="Palatino Linotype"/>
                <w:b w:val="0"/>
                <w:i w:val="0"/>
                <w:sz w:val="18"/>
              </w:rPr>
              <w:t>1 157 kg</w:t>
            </w:r>
          </w:p>
        </w:tc>
        <w:tc>
          <w:tcPr>
            <w:tcW w:type="dxa" w:w="2493"/>
          </w:tcPr>
          <w:p>
            <w:pPr>
              <w:spacing w:before="20" w:after="20"/>
            </w:pPr>
            <w:r/>
            <w:r>
              <w:rPr>
                <w:rFonts w:ascii="Palatino Linotype" w:hAnsi="Palatino Linotype" w:eastAsia="Palatino Linotype"/>
                <w:b w:val="0"/>
                <w:i w:val="0"/>
                <w:sz w:val="18"/>
              </w:rPr>
              <w:t>172.1 kg</w:t>
            </w:r>
          </w:p>
        </w:tc>
      </w:tr>
      <w:tr>
        <w:trPr>
          <w:cantSplit/>
        </w:trPr>
        <w:tc>
          <w:tcPr>
            <w:tcW w:type="dxa" w:w="2493"/>
          </w:tcPr>
          <w:p>
            <w:pPr>
              <w:spacing w:before="20" w:after="20"/>
            </w:pPr>
            <w:r/>
            <w:r>
              <w:rPr>
                <w:rFonts w:ascii="Palatino Linotype" w:hAnsi="Palatino Linotype" w:eastAsia="Palatino Linotype"/>
                <w:b w:val="0"/>
                <w:i w:val="0"/>
                <w:sz w:val="18"/>
              </w:rPr>
              <w:t>20 %</w:t>
            </w:r>
          </w:p>
        </w:tc>
        <w:tc>
          <w:tcPr>
            <w:tcW w:type="dxa" w:w="2493"/>
          </w:tcPr>
          <w:p>
            <w:pPr>
              <w:spacing w:before="20" w:after="20"/>
            </w:pPr>
            <w:r/>
            <w:r>
              <w:rPr>
                <w:rFonts w:ascii="Palatino Linotype" w:hAnsi="Palatino Linotype" w:eastAsia="Palatino Linotype"/>
                <w:b w:val="0"/>
                <w:i w:val="0"/>
                <w:sz w:val="18"/>
              </w:rPr>
              <w:t>165.8 kg</w:t>
            </w:r>
          </w:p>
        </w:tc>
        <w:tc>
          <w:tcPr>
            <w:tcW w:type="dxa" w:w="2493"/>
          </w:tcPr>
          <w:p>
            <w:pPr>
              <w:spacing w:before="20" w:after="20"/>
            </w:pPr>
            <w:r/>
            <w:r>
              <w:rPr>
                <w:rFonts w:ascii="Palatino Linotype" w:hAnsi="Palatino Linotype" w:eastAsia="Palatino Linotype"/>
                <w:b/>
                <w:i w:val="0"/>
                <w:sz w:val="18"/>
              </w:rPr>
              <w:t>does not close</w:t>
            </w:r>
          </w:p>
        </w:tc>
        <w:tc>
          <w:tcPr>
            <w:tcW w:type="dxa" w:w="2493"/>
          </w:tcPr>
          <w:p>
            <w:pPr>
              <w:spacing w:before="20" w:after="20"/>
            </w:pPr>
            <w:r/>
            <w:r>
              <w:rPr>
                <w:rFonts w:ascii="Palatino Linotype" w:hAnsi="Palatino Linotype" w:eastAsia="Palatino Linotype"/>
                <w:b w:val="0"/>
                <w:i w:val="0"/>
                <w:sz w:val="18"/>
              </w:rPr>
              <w:t>234.1 kg</w:t>
            </w:r>
          </w:p>
        </w:tc>
      </w:tr>
    </w:tbl>
    <w:p/>
    <w:p>
      <w:pPr>
        <w:spacing w:before="0" w:after="80" w:line="240" w:lineRule="auto"/>
        <w:jc w:val="both"/>
      </w:pPr>
      <w:r>
        <w:rPr>
          <w:rFonts w:ascii="Palatino Linotype" w:hAnsi="Palatino Linotype" w:eastAsia="Palatino Linotype"/>
          <w:b/>
          <w:i w:val="0"/>
          <w:sz w:val="20"/>
        </w:rPr>
        <w:t>The entries for B beyond twelve percent are not masses and should not be read as masses.</w:t>
      </w:r>
      <w:r>
        <w:rPr>
          <w:rFonts w:ascii="Palatino Linotype" w:hAnsi="Palatino Linotype" w:eastAsia="Palatino Linotype"/>
          <w:b w:val="0"/>
          <w:i w:val="0"/>
          <w:sz w:val="20"/>
        </w:rPr>
        <w:t xml:space="preserve"> They lie on a curve going vertical: B stops closing between eighteen and twenty percent, so its value at sixteen is set by how near that limit it sits rather than by anything structural. The reportable statement is the qualitative one — </w:t>
      </w:r>
      <w:r>
        <w:rPr>
          <w:rFonts w:ascii="Palatino Linotype" w:hAnsi="Palatino Linotype" w:eastAsia="Palatino Linotype"/>
          <w:b/>
          <w:i w:val="0"/>
          <w:sz w:val="20"/>
        </w:rPr>
        <w:t>on the highest specific power yet measured on a flown pack, the lift-plus-cruise layout is close to not closing at all, while this one closes at 106 kg and goes on closing past twenty percent.</w:t>
      </w:r>
      <w:r>
        <w:rPr>
          <w:rFonts w:ascii="Palatino Linotype" w:hAnsi="Palatino Linotype" w:eastAsia="Palatino Linotype"/>
          <w:b w:val="0"/>
          <w:i w:val="0"/>
          <w:sz w:val="20"/>
        </w:rPr>
        <w:t xml:space="preserve"> </w:t>
      </w:r>
      <w:r>
        <w:rPr>
          <w:rFonts w:ascii="Palatino Linotype" w:hAnsi="Palatino Linotype" w:eastAsia="Palatino Linotype"/>
          <w:b/>
          <w:i w:val="0"/>
          <w:sz w:val="20"/>
        </w:rPr>
        <w:t>That statement inherits the mixed basis of the caption and should be read as a direction, not a margin.</w:t>
      </w:r>
      <w:r>
        <w:rPr>
          <w:rFonts w:ascii="Palatino Linotype" w:hAnsi="Palatino Linotype" w:eastAsia="Palatino Linotype"/>
          <w:b w:val="0"/>
          <w:i w:val="0"/>
          <w:sz w:val="20"/>
        </w:rPr>
        <w:t xml:space="preserve"> What carries it is B's hover power per unit mass, the highest of the three, and that ordering does not depend on the drag assumption; what would move with the basis is how far apart the two curves are, which is why no number from this table is quoted anywhere else in the paper. Section 4.4 estimates that margin at twenty percent by holding B fixed at 86 kg while A grows; that estimate is now superseded, and it was conservative rather than generous.</w:t>
      </w:r>
    </w:p>
    <w:p>
      <w:pPr>
        <w:spacing w:before="0" w:after="80" w:line="240" w:lineRule="auto"/>
        <w:jc w:val="both"/>
      </w:pPr>
      <w:r>
        <w:rPr>
          <w:rFonts w:ascii="Palatino Linotype" w:hAnsi="Palatino Linotype" w:eastAsia="Palatino Linotype"/>
          <w:b/>
          <w:i w:val="0"/>
          <w:sz w:val="20"/>
        </w:rPr>
        <w:t>Neither correction cancels the other, and the paper does not claim they do.</w:t>
      </w:r>
      <w:r>
        <w:rPr>
          <w:rFonts w:ascii="Palatino Linotype" w:hAnsi="Palatino Linotype" w:eastAsia="Palatino Linotype"/>
          <w:b w:val="0"/>
          <w:i w:val="0"/>
          <w:sz w:val="20"/>
        </w:rPr>
        <w:t xml:space="preserve"> They act on different contracts. The rotor drag costs A the range comparison under equal fuel fractions; the measured buffer costs B its ability to close at all. A reader taking one and not the other will reach a different conclusion from a reader taking both, which is why all four combinations are reported in the repository rather than a single replacement table.</w:t>
      </w:r>
    </w:p>
    <w:p>
      <w:pPr>
        <w:spacing w:before="160" w:after="80"/>
      </w:pPr>
      <w:r>
        <w:rPr>
          <w:rFonts w:ascii="Palatino Linotype" w:hAnsi="Palatino Linotype" w:eastAsia="Palatino Linotype"/>
          <w:b/>
          <w:i w:val="0"/>
          <w:sz w:val="22"/>
        </w:rPr>
        <w:t>The whole comparison, swept across the drag bracket</w:t>
      </w:r>
    </w:p>
    <w:p>
      <w:pPr>
        <w:spacing w:before="0" w:after="80" w:line="240" w:lineRule="auto"/>
        <w:jc w:val="both"/>
      </w:pPr>
      <w:r>
        <w:rPr>
          <w:rFonts w:ascii="Palatino Linotype" w:hAnsi="Palatino Linotype" w:eastAsia="Palatino Linotype"/>
          <w:b w:val="0"/>
          <w:i w:val="0"/>
          <w:sz w:val="20"/>
        </w:rPr>
        <w:t xml:space="preserve">Every figure above is computed at a single assumed zero-lift drag coefficient. Supplementary S1 brackets that coefficient by calculation at </w:t>
      </w:r>
      <w:r>
        <w:rPr>
          <w:rFonts w:ascii="Palatino Linotype" w:hAnsi="Palatino Linotype" w:eastAsia="Palatino Linotype"/>
          <w:b/>
          <w:i w:val="0"/>
          <w:sz w:val="20"/>
        </w:rPr>
        <w:t>0.0285 to 0.0381</w:t>
      </w:r>
      <w:r>
        <w:rPr>
          <w:rFonts w:ascii="Palatino Linotype" w:hAnsi="Palatino Linotype" w:eastAsia="Palatino Linotype"/>
          <w:b w:val="0"/>
          <w:i w:val="0"/>
          <w:sz w:val="20"/>
        </w:rPr>
        <w:t>, and the assumed 0.0248 lies below both ends rather than inside them. The sweep below therefore replaces the single-point comparison. The drag book-keeping is the one used throughout: clean airframe from wing, body and hubs; the tip frames and the free-wheeling rotors charged to this configuration alone; the two competing layouts carrying their own published penalties against the same airframe. At the published assumption the construction returns a clean-body lift-to-drag ratio of 13.40 against the 13.44 used in the sizing, which is the check that the sweep and the original chain are the same calculation. Table 9 gives the sweep.</w:t>
      </w:r>
    </w:p>
    <w:p>
      <w:pPr>
        <w:spacing w:before="0" w:after="80" w:line="240" w:lineRule="auto"/>
        <w:jc w:val="both"/>
        <w:keepNext/>
      </w:pPr>
      <w:r>
        <w:rPr>
          <w:rFonts w:ascii="Palatino Linotype" w:hAnsi="Palatino Linotype" w:eastAsia="Palatino Linotype"/>
          <w:b/>
          <w:i w:val="0"/>
          <w:sz w:val="20"/>
        </w:rPr>
        <w:t>Table 9.</w:t>
      </w:r>
      <w:r>
        <w:rPr>
          <w:rFonts w:ascii="Palatino Linotype" w:hAnsi="Palatino Linotype" w:eastAsia="Palatino Linotype"/>
          <w:b w:val="0"/>
          <w:i w:val="0"/>
          <w:sz w:val="20"/>
        </w:rPr>
        <w:t xml:space="preserve"> The whole comparison swept across the zero-lift drag bracket of Supplementary S1.</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Published assumption</w:t>
            </w:r>
          </w:p>
        </w:tc>
        <w:tc>
          <w:tcPr>
            <w:tcW w:type="dxa" w:w="2493"/>
          </w:tcPr>
          <w:p>
            <w:pPr>
              <w:spacing w:before="20" w:after="20"/>
            </w:pPr>
            <w:r/>
            <w:r>
              <w:rPr>
                <w:rFonts w:ascii="Palatino Linotype" w:hAnsi="Palatino Linotype" w:eastAsia="Palatino Linotype"/>
                <w:b/>
                <w:i w:val="0"/>
                <w:sz w:val="18"/>
              </w:rPr>
              <w:t>Bracket, favourable end</w:t>
            </w:r>
          </w:p>
        </w:tc>
        <w:tc>
          <w:tcPr>
            <w:tcW w:type="dxa" w:w="2493"/>
          </w:tcPr>
          <w:p>
            <w:pPr>
              <w:spacing w:before="20" w:after="20"/>
            </w:pPr>
            <w:r/>
            <w:r>
              <w:rPr>
                <w:rFonts w:ascii="Palatino Linotype" w:hAnsi="Palatino Linotype" w:eastAsia="Palatino Linotype"/>
                <w:b/>
                <w:i w:val="0"/>
                <w:sz w:val="18"/>
              </w:rPr>
              <w:t>Bracket, adverse end</w:t>
            </w:r>
          </w:p>
        </w:tc>
      </w:tr>
      <w:tr>
        <w:trPr>
          <w:cantSplit/>
        </w:trPr>
        <w:tc>
          <w:tcPr>
            <w:tcW w:type="dxa" w:w="2493"/>
          </w:tcPr>
          <w:p>
            <w:pPr>
              <w:spacing w:before="20" w:after="20"/>
            </w:pPr>
            <w:r/>
            <w:r>
              <w:rPr>
                <w:rFonts w:ascii="Palatino Linotype" w:hAnsi="Palatino Linotype" w:eastAsia="Palatino Linotype"/>
                <w:b w:val="0"/>
                <w:i w:val="0"/>
                <w:sz w:val="18"/>
              </w:rPr>
              <w:t>Zero-lift drag coefficient</w:t>
            </w:r>
          </w:p>
        </w:tc>
        <w:tc>
          <w:tcPr>
            <w:tcW w:type="dxa" w:w="2493"/>
          </w:tcPr>
          <w:p>
            <w:pPr>
              <w:spacing w:before="20" w:after="20"/>
            </w:pPr>
            <w:r/>
            <w:r>
              <w:rPr>
                <w:rFonts w:ascii="Palatino Linotype" w:hAnsi="Palatino Linotype" w:eastAsia="Palatino Linotype"/>
                <w:b w:val="0"/>
                <w:i w:val="0"/>
                <w:sz w:val="18"/>
              </w:rPr>
              <w:t>0.0248</w:t>
            </w:r>
          </w:p>
        </w:tc>
        <w:tc>
          <w:tcPr>
            <w:tcW w:type="dxa" w:w="2493"/>
          </w:tcPr>
          <w:p>
            <w:pPr>
              <w:spacing w:before="20" w:after="20"/>
            </w:pPr>
            <w:r/>
            <w:r>
              <w:rPr>
                <w:rFonts w:ascii="Palatino Linotype" w:hAnsi="Palatino Linotype" w:eastAsia="Palatino Linotype"/>
                <w:b w:val="0"/>
                <w:i w:val="0"/>
                <w:sz w:val="18"/>
              </w:rPr>
              <w:t>0.0285</w:t>
            </w:r>
          </w:p>
        </w:tc>
        <w:tc>
          <w:tcPr>
            <w:tcW w:type="dxa" w:w="2493"/>
          </w:tcPr>
          <w:p>
            <w:pPr>
              <w:spacing w:before="20" w:after="20"/>
            </w:pPr>
            <w:r/>
            <w:r>
              <w:rPr>
                <w:rFonts w:ascii="Palatino Linotype" w:hAnsi="Palatino Linotype" w:eastAsia="Palatino Linotype"/>
                <w:b w:val="0"/>
                <w:i w:val="0"/>
                <w:sz w:val="18"/>
              </w:rPr>
              <w:t>0.0381</w:t>
            </w:r>
          </w:p>
        </w:tc>
      </w:tr>
      <w:tr>
        <w:trPr>
          <w:cantSplit/>
        </w:trPr>
        <w:tc>
          <w:tcPr>
            <w:tcW w:type="dxa" w:w="2493"/>
          </w:tcPr>
          <w:p>
            <w:pPr>
              <w:spacing w:before="20" w:after="20"/>
            </w:pPr>
            <w:r/>
            <w:r>
              <w:rPr>
                <w:rFonts w:ascii="Palatino Linotype" w:hAnsi="Palatino Linotype" w:eastAsia="Palatino Linotype"/>
                <w:b w:val="0"/>
                <w:i w:val="0"/>
                <w:sz w:val="18"/>
              </w:rPr>
              <w:t>Cruise lift-to-drag ratio, A</w:t>
            </w:r>
          </w:p>
        </w:tc>
        <w:tc>
          <w:tcPr>
            <w:tcW w:type="dxa" w:w="2493"/>
          </w:tcPr>
          <w:p>
            <w:pPr>
              <w:spacing w:before="20" w:after="20"/>
            </w:pPr>
            <w:r/>
            <w:r>
              <w:rPr>
                <w:rFonts w:ascii="Palatino Linotype" w:hAnsi="Palatino Linotype" w:eastAsia="Palatino Linotype"/>
                <w:b w:val="0"/>
                <w:i w:val="0"/>
                <w:sz w:val="18"/>
              </w:rPr>
              <w:t>11.88</w:t>
            </w:r>
          </w:p>
        </w:tc>
        <w:tc>
          <w:tcPr>
            <w:tcW w:type="dxa" w:w="2493"/>
          </w:tcPr>
          <w:p>
            <w:pPr>
              <w:spacing w:before="20" w:after="20"/>
            </w:pPr>
            <w:r/>
            <w:r>
              <w:rPr>
                <w:rFonts w:ascii="Palatino Linotype" w:hAnsi="Palatino Linotype" w:eastAsia="Palatino Linotype"/>
                <w:b w:val="0"/>
                <w:i w:val="0"/>
                <w:sz w:val="18"/>
              </w:rPr>
              <w:t>10.82</w:t>
            </w:r>
          </w:p>
        </w:tc>
        <w:tc>
          <w:tcPr>
            <w:tcW w:type="dxa" w:w="2493"/>
          </w:tcPr>
          <w:p>
            <w:pPr>
              <w:spacing w:before="20" w:after="20"/>
            </w:pPr>
            <w:r/>
            <w:r>
              <w:rPr>
                <w:rFonts w:ascii="Palatino Linotype" w:hAnsi="Palatino Linotype" w:eastAsia="Palatino Linotype"/>
                <w:b/>
                <w:i w:val="0"/>
                <w:sz w:val="18"/>
              </w:rPr>
              <w:t>8.80</w:t>
            </w:r>
          </w:p>
        </w:tc>
      </w:tr>
      <w:tr>
        <w:trPr>
          <w:cantSplit/>
        </w:trPr>
        <w:tc>
          <w:tcPr>
            <w:tcW w:type="dxa" w:w="2493"/>
          </w:tcPr>
          <w:p>
            <w:pPr>
              <w:spacing w:before="20" w:after="20"/>
            </w:pPr>
            <w:r/>
            <w:r>
              <w:rPr>
                <w:rFonts w:ascii="Palatino Linotype" w:hAnsi="Palatino Linotype" w:eastAsia="Palatino Linotype"/>
                <w:b w:val="0"/>
                <w:i w:val="0"/>
                <w:sz w:val="18"/>
              </w:rPr>
              <w:t>Take-off mass, A</w:t>
            </w:r>
          </w:p>
        </w:tc>
        <w:tc>
          <w:tcPr>
            <w:tcW w:type="dxa" w:w="2493"/>
          </w:tcPr>
          <w:p>
            <w:pPr>
              <w:spacing w:before="20" w:after="20"/>
            </w:pPr>
            <w:r/>
            <w:r>
              <w:rPr>
                <w:rFonts w:ascii="Palatino Linotype" w:hAnsi="Palatino Linotype" w:eastAsia="Palatino Linotype"/>
                <w:b w:val="0"/>
                <w:i w:val="0"/>
                <w:sz w:val="18"/>
              </w:rPr>
              <w:t>50.1 kg</w:t>
            </w:r>
          </w:p>
        </w:tc>
        <w:tc>
          <w:tcPr>
            <w:tcW w:type="dxa" w:w="2493"/>
          </w:tcPr>
          <w:p>
            <w:pPr>
              <w:spacing w:before="20" w:after="20"/>
            </w:pPr>
            <w:r/>
            <w:r>
              <w:rPr>
                <w:rFonts w:ascii="Palatino Linotype" w:hAnsi="Palatino Linotype" w:eastAsia="Palatino Linotype"/>
                <w:b w:val="0"/>
                <w:i w:val="0"/>
                <w:sz w:val="18"/>
              </w:rPr>
              <w:t>51.1 kg</w:t>
            </w:r>
          </w:p>
        </w:tc>
        <w:tc>
          <w:tcPr>
            <w:tcW w:type="dxa" w:w="2493"/>
          </w:tcPr>
          <w:p>
            <w:pPr>
              <w:spacing w:before="20" w:after="20"/>
            </w:pPr>
            <w:r/>
            <w:r>
              <w:rPr>
                <w:rFonts w:ascii="Palatino Linotype" w:hAnsi="Palatino Linotype" w:eastAsia="Palatino Linotype"/>
                <w:b w:val="0"/>
                <w:i w:val="0"/>
                <w:sz w:val="18"/>
              </w:rPr>
              <w:t>53.9 kg</w:t>
            </w:r>
          </w:p>
        </w:tc>
      </w:tr>
      <w:tr>
        <w:trPr>
          <w:cantSplit/>
        </w:trPr>
        <w:tc>
          <w:tcPr>
            <w:tcW w:type="dxa" w:w="2493"/>
          </w:tcPr>
          <w:p>
            <w:pPr>
              <w:spacing w:before="20" w:after="20"/>
            </w:pPr>
            <w:r/>
            <w:r>
              <w:rPr>
                <w:rFonts w:ascii="Palatino Linotype" w:hAnsi="Palatino Linotype" w:eastAsia="Palatino Linotype"/>
                <w:b/>
                <w:i w:val="0"/>
                <w:sz w:val="18"/>
              </w:rPr>
              <w:t>Range, A</w:t>
            </w:r>
          </w:p>
        </w:tc>
        <w:tc>
          <w:tcPr>
            <w:tcW w:type="dxa" w:w="2493"/>
          </w:tcPr>
          <w:p>
            <w:pPr>
              <w:spacing w:before="20" w:after="20"/>
            </w:pPr>
            <w:r/>
            <w:r>
              <w:rPr>
                <w:rFonts w:ascii="Palatino Linotype" w:hAnsi="Palatino Linotype" w:eastAsia="Palatino Linotype"/>
                <w:b w:val="0"/>
                <w:i w:val="0"/>
                <w:sz w:val="18"/>
              </w:rPr>
              <w:t>1 583 km</w:t>
            </w:r>
          </w:p>
        </w:tc>
        <w:tc>
          <w:tcPr>
            <w:tcW w:type="dxa" w:w="2493"/>
          </w:tcPr>
          <w:p>
            <w:pPr>
              <w:spacing w:before="20" w:after="20"/>
            </w:pPr>
            <w:r/>
            <w:r>
              <w:rPr>
                <w:rFonts w:ascii="Palatino Linotype" w:hAnsi="Palatino Linotype" w:eastAsia="Palatino Linotype"/>
                <w:b/>
                <w:i w:val="0"/>
                <w:sz w:val="18"/>
              </w:rPr>
              <w:t>1 442 km</w:t>
            </w:r>
          </w:p>
        </w:tc>
        <w:tc>
          <w:tcPr>
            <w:tcW w:type="dxa" w:w="2493"/>
          </w:tcPr>
          <w:p>
            <w:pPr>
              <w:spacing w:before="20" w:after="20"/>
            </w:pPr>
            <w:r/>
            <w:r>
              <w:rPr>
                <w:rFonts w:ascii="Palatino Linotype" w:hAnsi="Palatino Linotype" w:eastAsia="Palatino Linotype"/>
                <w:b/>
                <w:i w:val="0"/>
                <w:sz w:val="18"/>
              </w:rPr>
              <w:t>1 173 km</w:t>
            </w:r>
          </w:p>
        </w:tc>
      </w:tr>
      <w:tr>
        <w:trPr>
          <w:cantSplit/>
        </w:trPr>
        <w:tc>
          <w:tcPr>
            <w:tcW w:type="dxa" w:w="2493"/>
          </w:tcPr>
          <w:p>
            <w:pPr>
              <w:spacing w:before="20" w:after="20"/>
            </w:pPr>
            <w:r/>
            <w:r>
              <w:rPr>
                <w:rFonts w:ascii="Palatino Linotype" w:hAnsi="Palatino Linotype" w:eastAsia="Palatino Linotype"/>
                <w:b w:val="0"/>
                <w:i w:val="0"/>
                <w:sz w:val="18"/>
              </w:rPr>
              <w:t>Range of B relative to A, fixed fuel fraction</w:t>
            </w:r>
          </w:p>
        </w:tc>
        <w:tc>
          <w:tcPr>
            <w:tcW w:type="dxa" w:w="2493"/>
          </w:tcPr>
          <w:p>
            <w:pPr>
              <w:spacing w:before="20" w:after="20"/>
            </w:pPr>
            <w:r/>
            <w:r>
              <w:rPr>
                <w:rFonts w:ascii="Palatino Linotype" w:hAnsi="Palatino Linotype" w:eastAsia="Palatino Linotype"/>
                <w:b w:val="0"/>
                <w:i w:val="0"/>
                <w:sz w:val="18"/>
              </w:rPr>
              <w:t>−13.7 %</w:t>
            </w:r>
          </w:p>
        </w:tc>
        <w:tc>
          <w:tcPr>
            <w:tcW w:type="dxa" w:w="2493"/>
          </w:tcPr>
          <w:p>
            <w:pPr>
              <w:spacing w:before="20" w:after="20"/>
            </w:pPr>
            <w:r/>
            <w:r>
              <w:rPr>
                <w:rFonts w:ascii="Palatino Linotype" w:hAnsi="Palatino Linotype" w:eastAsia="Palatino Linotype"/>
                <w:b/>
                <w:i w:val="0"/>
                <w:sz w:val="18"/>
              </w:rPr>
              <w:t>+45.3 %</w:t>
            </w:r>
          </w:p>
        </w:tc>
        <w:tc>
          <w:tcPr>
            <w:tcW w:type="dxa" w:w="2493"/>
          </w:tcPr>
          <w:p>
            <w:pPr>
              <w:spacing w:before="20" w:after="20"/>
            </w:pPr>
            <w:r/>
            <w:r>
              <w:rPr>
                <w:rFonts w:ascii="Palatino Linotype" w:hAnsi="Palatino Linotype" w:eastAsia="Palatino Linotype"/>
                <w:b/>
                <w:i w:val="0"/>
                <w:sz w:val="18"/>
              </w:rPr>
              <w:t>+24.4 %</w:t>
            </w:r>
          </w:p>
        </w:tc>
      </w:tr>
      <w:tr>
        <w:trPr>
          <w:cantSplit/>
        </w:trPr>
        <w:tc>
          <w:tcPr>
            <w:tcW w:type="dxa" w:w="2493"/>
          </w:tcPr>
          <w:p>
            <w:pPr>
              <w:spacing w:before="20" w:after="20"/>
            </w:pPr>
            <w:r/>
            <w:r>
              <w:rPr>
                <w:rFonts w:ascii="Palatino Linotype" w:hAnsi="Palatino Linotype" w:eastAsia="Palatino Linotype"/>
                <w:b w:val="0"/>
                <w:i w:val="0"/>
                <w:sz w:val="18"/>
              </w:rPr>
              <w:t>Range of B relative to A, fixed fuel mass</w:t>
            </w:r>
          </w:p>
        </w:tc>
        <w:tc>
          <w:tcPr>
            <w:tcW w:type="dxa" w:w="2493"/>
          </w:tcPr>
          <w:p>
            <w:pPr>
              <w:spacing w:before="20" w:after="20"/>
            </w:pPr>
            <w:r/>
            <w:r>
              <w:rPr>
                <w:rFonts w:ascii="Palatino Linotype" w:hAnsi="Palatino Linotype" w:eastAsia="Palatino Linotype"/>
                <w:b w:val="0"/>
                <w:i w:val="0"/>
                <w:sz w:val="18"/>
              </w:rPr>
              <w:t>−36.0 %</w:t>
            </w:r>
          </w:p>
        </w:tc>
        <w:tc>
          <w:tcPr>
            <w:tcW w:type="dxa" w:w="2493"/>
          </w:tcPr>
          <w:p>
            <w:pPr>
              <w:spacing w:before="20" w:after="20"/>
            </w:pPr>
            <w:r/>
            <w:r>
              <w:rPr>
                <w:rFonts w:ascii="Palatino Linotype" w:hAnsi="Palatino Linotype" w:eastAsia="Palatino Linotype"/>
                <w:b/>
                <w:i w:val="0"/>
                <w:sz w:val="18"/>
              </w:rPr>
              <w:t>+16.5 %</w:t>
            </w:r>
          </w:p>
        </w:tc>
        <w:tc>
          <w:tcPr>
            <w:tcW w:type="dxa" w:w="2493"/>
          </w:tcPr>
          <w:p>
            <w:pPr>
              <w:spacing w:before="20" w:after="20"/>
            </w:pPr>
            <w:r/>
            <w:r>
              <w:rPr>
                <w:rFonts w:ascii="Palatino Linotype" w:hAnsi="Palatino Linotype" w:eastAsia="Palatino Linotype"/>
                <w:b w:val="0"/>
                <w:i w:val="0"/>
                <w:sz w:val="18"/>
              </w:rPr>
              <w:t>−2.3 %</w:t>
            </w:r>
          </w:p>
        </w:tc>
      </w:tr>
      <w:tr>
        <w:trPr>
          <w:cantSplit/>
        </w:trPr>
        <w:tc>
          <w:tcPr>
            <w:tcW w:type="dxa" w:w="2493"/>
          </w:tcPr>
          <w:p>
            <w:pPr>
              <w:spacing w:before="20" w:after="20"/>
            </w:pPr>
            <w:r/>
            <w:r>
              <w:rPr>
                <w:rFonts w:ascii="Palatino Linotype" w:hAnsi="Palatino Linotype" w:eastAsia="Palatino Linotype"/>
                <w:b w:val="0"/>
                <w:i w:val="0"/>
                <w:sz w:val="18"/>
              </w:rPr>
              <w:t>Range of B relative to A, fixed mass and payload</w:t>
            </w:r>
          </w:p>
        </w:tc>
        <w:tc>
          <w:tcPr>
            <w:tcW w:type="dxa" w:w="2493"/>
          </w:tcPr>
          <w:p>
            <w:pPr>
              <w:spacing w:before="20" w:after="20"/>
            </w:pPr>
            <w:r/>
            <w:r>
              <w:rPr>
                <w:rFonts w:ascii="Palatino Linotype" w:hAnsi="Palatino Linotype" w:eastAsia="Palatino Linotype"/>
                <w:b w:val="0"/>
                <w:i w:val="0"/>
                <w:sz w:val="18"/>
              </w:rPr>
              <w:t>−72.2 %</w:t>
            </w:r>
          </w:p>
        </w:tc>
        <w:tc>
          <w:tcPr>
            <w:tcW w:type="dxa" w:w="2493"/>
          </w:tcPr>
          <w:p>
            <w:pPr>
              <w:spacing w:before="20" w:after="20"/>
            </w:pPr>
            <w:r/>
            <w:r>
              <w:rPr>
                <w:rFonts w:ascii="Palatino Linotype" w:hAnsi="Palatino Linotype" w:eastAsia="Palatino Linotype"/>
                <w:b w:val="0"/>
                <w:i w:val="0"/>
                <w:sz w:val="18"/>
              </w:rPr>
              <w:t>−29.2 %</w:t>
            </w:r>
          </w:p>
        </w:tc>
        <w:tc>
          <w:tcPr>
            <w:tcW w:type="dxa" w:w="2493"/>
          </w:tcPr>
          <w:p>
            <w:pPr>
              <w:spacing w:before="20" w:after="20"/>
            </w:pPr>
            <w:r/>
            <w:r>
              <w:rPr>
                <w:rFonts w:ascii="Palatino Linotype" w:hAnsi="Palatino Linotype" w:eastAsia="Palatino Linotype"/>
                <w:b w:val="0"/>
                <w:i w:val="0"/>
                <w:sz w:val="18"/>
              </w:rPr>
              <w:t>−42.6 %</w:t>
            </w:r>
          </w:p>
        </w:tc>
      </w:tr>
      <w:tr>
        <w:trPr>
          <w:cantSplit/>
        </w:trPr>
        <w:tc>
          <w:tcPr>
            <w:tcW w:type="dxa" w:w="2493"/>
          </w:tcPr>
          <w:p>
            <w:pPr>
              <w:spacing w:before="20" w:after="20"/>
            </w:pPr>
            <w:r/>
            <w:r>
              <w:rPr>
                <w:rFonts w:ascii="Palatino Linotype" w:hAnsi="Palatino Linotype" w:eastAsia="Palatino Linotype"/>
                <w:b w:val="0"/>
                <w:i w:val="0"/>
                <w:sz w:val="18"/>
              </w:rPr>
              <w:t>Range of C relative to A, fixed fuel fraction</w:t>
            </w:r>
          </w:p>
        </w:tc>
        <w:tc>
          <w:tcPr>
            <w:tcW w:type="dxa" w:w="2493"/>
          </w:tcPr>
          <w:p>
            <w:pPr>
              <w:spacing w:before="20" w:after="20"/>
            </w:pPr>
            <w:r/>
            <w:r>
              <w:rPr>
                <w:rFonts w:ascii="Palatino Linotype" w:hAnsi="Palatino Linotype" w:eastAsia="Palatino Linotype"/>
                <w:b w:val="0"/>
                <w:i w:val="0"/>
                <w:sz w:val="18"/>
              </w:rPr>
              <w:t>+12.8 %</w:t>
            </w:r>
          </w:p>
        </w:tc>
        <w:tc>
          <w:tcPr>
            <w:tcW w:type="dxa" w:w="2493"/>
          </w:tcPr>
          <w:p>
            <w:pPr>
              <w:spacing w:before="20" w:after="20"/>
            </w:pPr>
            <w:r/>
            <w:r>
              <w:rPr>
                <w:rFonts w:ascii="Palatino Linotype" w:hAnsi="Palatino Linotype" w:eastAsia="Palatino Linotype"/>
                <w:b w:val="0"/>
                <w:i w:val="0"/>
                <w:sz w:val="18"/>
              </w:rPr>
              <w:t>+90.0 %</w:t>
            </w:r>
          </w:p>
        </w:tc>
        <w:tc>
          <w:tcPr>
            <w:tcW w:type="dxa" w:w="2493"/>
          </w:tcPr>
          <w:p>
            <w:pPr>
              <w:spacing w:before="20" w:after="20"/>
            </w:pPr>
            <w:r/>
            <w:r>
              <w:rPr>
                <w:rFonts w:ascii="Palatino Linotype" w:hAnsi="Palatino Linotype" w:eastAsia="Palatino Linotype"/>
                <w:b w:val="0"/>
                <w:i w:val="0"/>
                <w:sz w:val="18"/>
              </w:rPr>
              <w:t>+62.6 %</w:t>
            </w:r>
          </w:p>
        </w:tc>
      </w:tr>
    </w:tbl>
    <w:p/>
    <w:p>
      <w:pPr>
        <w:spacing w:before="0" w:after="80" w:line="240" w:lineRule="auto"/>
        <w:jc w:val="both"/>
      </w:pPr>
      <w:r>
        <w:rPr>
          <w:rFonts w:ascii="Palatino Linotype" w:hAnsi="Palatino Linotype" w:eastAsia="Palatino Linotype"/>
          <w:b/>
          <w:i w:val="0"/>
          <w:sz w:val="20"/>
        </w:rPr>
        <w:t>Three things survive the sweep and one does not.</w:t>
      </w:r>
      <w:r>
        <w:rPr>
          <w:rFonts w:ascii="Palatino Linotype" w:hAnsi="Palatino Linotype" w:eastAsia="Palatino Linotype"/>
          <w:b w:val="0"/>
          <w:i w:val="0"/>
          <w:sz w:val="20"/>
        </w:rPr>
        <w:t xml:space="preserve"> What survives is the result this paper leads on: </w:t>
      </w:r>
      <w:r>
        <w:rPr>
          <w:rFonts w:ascii="Palatino Linotype" w:hAnsi="Palatino Linotype" w:eastAsia="Palatino Linotype"/>
          <w:b/>
          <w:i w:val="0"/>
          <w:sz w:val="20"/>
        </w:rPr>
        <w:t>the ranking still depends on the contract at every drag coefficient in the bracket</w:t>
      </w:r>
      <w:r>
        <w:rPr>
          <w:rFonts w:ascii="Palatino Linotype" w:hAnsi="Palatino Linotype" w:eastAsia="Palatino Linotype"/>
          <w:b w:val="0"/>
          <w:i w:val="0"/>
          <w:sz w:val="20"/>
        </w:rPr>
        <w:t xml:space="preserve">, and it depends on it more strongly, not less. A holds its advantage under fixed take-off mass across the whole bracket and loses it under equal fuel fractions across the whole bracket. What does not survive is any reading in which the choice of contract is a detail: under fixed fuel </w:t>
      </w:r>
      <w:r>
        <w:rPr>
          <w:rFonts w:ascii="Palatino Linotype" w:hAnsi="Palatino Linotype" w:eastAsia="Palatino Linotype"/>
          <w:b w:val="0"/>
          <w:i/>
          <w:sz w:val="20"/>
        </w:rPr>
        <w:t>mass</w:t>
      </w:r>
      <w:r>
        <w:rPr>
          <w:rFonts w:ascii="Palatino Linotype" w:hAnsi="Palatino Linotype" w:eastAsia="Palatino Linotype"/>
          <w:b w:val="0"/>
          <w:i w:val="0"/>
          <w:sz w:val="20"/>
        </w:rPr>
        <w:t xml:space="preserve"> the sign itself changes inside the bracket, from B ahead by sixteen percent at the favourable end to A ahead by two at the adverse one.</w:t>
      </w:r>
    </w:p>
    <w:p>
      <w:pPr>
        <w:spacing w:before="0" w:after="80" w:line="240" w:lineRule="auto"/>
        <w:jc w:val="both"/>
      </w:pPr>
      <w:r>
        <w:rPr>
          <w:rFonts w:ascii="Palatino Linotype" w:hAnsi="Palatino Linotype" w:eastAsia="Palatino Linotype"/>
          <w:b/>
          <w:i w:val="0"/>
          <w:sz w:val="20"/>
        </w:rPr>
        <w:t>The direction of the drag sensitivity is not the intuitive one and it is worth stating.</w:t>
      </w:r>
      <w:r>
        <w:rPr>
          <w:rFonts w:ascii="Palatino Linotype" w:hAnsi="Palatino Linotype" w:eastAsia="Palatino Linotype"/>
          <w:b w:val="0"/>
          <w:i w:val="0"/>
          <w:sz w:val="20"/>
        </w:rPr>
        <w:t xml:space="preserve"> A </w:t>
      </w:r>
      <w:r>
        <w:rPr>
          <w:rFonts w:ascii="Palatino Linotype" w:hAnsi="Palatino Linotype" w:eastAsia="Palatino Linotype"/>
          <w:b w:val="0"/>
          <w:i/>
          <w:sz w:val="20"/>
        </w:rPr>
        <w:t>cleaner</w:t>
      </w:r>
      <w:r>
        <w:rPr>
          <w:rFonts w:ascii="Palatino Linotype" w:hAnsi="Palatino Linotype" w:eastAsia="Palatino Linotype"/>
          <w:b w:val="0"/>
          <w:i w:val="0"/>
          <w:sz w:val="20"/>
        </w:rPr>
        <w:t xml:space="preserve"> airframe makes this configuration's position </w:t>
      </w:r>
      <w:r>
        <w:rPr>
          <w:rFonts w:ascii="Palatino Linotype" w:hAnsi="Palatino Linotype" w:eastAsia="Palatino Linotype"/>
          <w:b w:val="0"/>
          <w:i/>
          <w:sz w:val="20"/>
        </w:rPr>
        <w:t>worse</w:t>
      </w:r>
      <w:r>
        <w:rPr>
          <w:rFonts w:ascii="Palatino Linotype" w:hAnsi="Palatino Linotype" w:eastAsia="Palatino Linotype"/>
          <w:b w:val="0"/>
          <w:i w:val="0"/>
          <w:sz w:val="20"/>
        </w:rPr>
        <w:t xml:space="preserve"> relative to lift-plus-cruise, not better. The tip frames and the free-wheeling rotors are a roughly fixed absolute charge; the cleaner the rest of the aircraft, the larger a fraction of the total that charge becomes. At the favourable end it is a nineteen-percent penalty on cruise efficiency and at the adverse end sixteen. </w:t>
      </w:r>
      <w:r>
        <w:rPr>
          <w:rFonts w:ascii="Palatino Linotype" w:hAnsi="Palatino Linotype" w:eastAsia="Palatino Linotype"/>
          <w:b/>
          <w:i w:val="0"/>
          <w:sz w:val="20"/>
        </w:rPr>
        <w:t>This is Bill 2 behaving exactly as Section 2.3 says a bill behaves</w:t>
      </w:r>
      <w:r>
        <w:rPr>
          <w:rFonts w:ascii="Palatino Linotype" w:hAnsi="Palatino Linotype" w:eastAsia="Palatino Linotype"/>
          <w:b w:val="0"/>
          <w:i w:val="0"/>
          <w:sz w:val="20"/>
        </w:rPr>
        <w:t xml:space="preserve"> — it does not scale away, and improving the airframe does not pay it.</w:t>
      </w:r>
    </w:p>
    <w:p>
      <w:pPr>
        <w:spacing w:before="0" w:after="80" w:line="240" w:lineRule="auto"/>
        <w:jc w:val="both"/>
      </w:pPr>
      <w:r>
        <w:rPr>
          <w:rFonts w:ascii="Palatino Linotype" w:hAnsi="Palatino Linotype" w:eastAsia="Palatino Linotype"/>
          <w:b/>
          <w:i w:val="0"/>
          <w:sz w:val="20"/>
        </w:rPr>
        <w:t>What the sweep does not do.</w:t>
      </w:r>
      <w:r>
        <w:rPr>
          <w:rFonts w:ascii="Palatino Linotype" w:hAnsi="Palatino Linotype" w:eastAsia="Palatino Linotype"/>
          <w:b w:val="0"/>
          <w:i w:val="0"/>
          <w:sz w:val="20"/>
        </w:rPr>
        <w:t xml:space="preserve"> It holds the competing layouts' penalties at their published ratios against the swept airframe, so at the favourable end layout B is credited with a cruise efficiency no aircraft of its kind has demonstrated. It holds the span efficiency, the buffer fraction and the mass model fixed. And the range figures quoted elsewhere in this paper are at the published assumption; </w:t>
      </w:r>
      <w:r>
        <w:rPr>
          <w:rFonts w:ascii="Palatino Linotype" w:hAnsi="Palatino Linotype" w:eastAsia="Palatino Linotype"/>
          <w:b/>
          <w:i w:val="0"/>
          <w:sz w:val="20"/>
        </w:rPr>
        <w:t>the honest range of the light reference design is 1 173 to 1 442 km, not the single figure the earlier sections carry.</w:t>
      </w:r>
    </w:p>
    <w:p>
      <w:pPr>
        <w:spacing w:before="0" w:after="80" w:line="240" w:lineRule="auto"/>
        <w:jc w:val="both"/>
      </w:pPr>
      <w:r>
        <w:rPr>
          <w:rFonts w:ascii="Palatino Linotype" w:hAnsi="Palatino Linotype" w:eastAsia="Palatino Linotype"/>
          <w:b/>
          <w:i w:val="0"/>
          <w:sz w:val="20"/>
        </w:rPr>
        <w:t>The ordering depends on which contract is used, and that dependence is the result rather than an inconvenience.</w:t>
      </w:r>
      <w:r>
        <w:rPr>
          <w:rFonts w:ascii="Palatino Linotype" w:hAnsi="Palatino Linotype" w:eastAsia="Palatino Linotype"/>
          <w:b w:val="0"/>
          <w:i w:val="0"/>
          <w:sz w:val="20"/>
        </w:rPr>
        <w:t xml:space="preserve"> Range in the sizing equation contains the fuel </w:t>
      </w:r>
      <w:r>
        <w:rPr>
          <w:rFonts w:ascii="Palatino Linotype" w:hAnsi="Palatino Linotype" w:eastAsia="Palatino Linotype"/>
          <w:b w:val="0"/>
          <w:i/>
          <w:sz w:val="20"/>
        </w:rPr>
        <w:t>fraction</w:t>
      </w:r>
      <w:r>
        <w:rPr>
          <w:rFonts w:ascii="Palatino Linotype" w:hAnsi="Palatino Linotype" w:eastAsia="Palatino Linotype"/>
          <w:b w:val="0"/>
          <w:i w:val="0"/>
          <w:sz w:val="20"/>
        </w:rPr>
        <w:t xml:space="preserve">, so holding the fraction fixed lets the heavier aircraft carry proportionally more fuel and removes the mass bill from the range column altogether. Fixing the fuel </w:t>
      </w:r>
      <w:r>
        <w:rPr>
          <w:rFonts w:ascii="Palatino Linotype" w:hAnsi="Palatino Linotype" w:eastAsia="Palatino Linotype"/>
          <w:b w:val="0"/>
          <w:i/>
          <w:sz w:val="20"/>
        </w:rPr>
        <w:t>mass</w:t>
      </w:r>
      <w:r>
        <w:rPr>
          <w:rFonts w:ascii="Palatino Linotype" w:hAnsi="Palatino Linotype" w:eastAsia="Palatino Linotype"/>
          <w:b w:val="0"/>
          <w:i w:val="0"/>
          <w:sz w:val="20"/>
        </w:rPr>
        <w:t xml:space="preserve"> makes range inversely proportional to take-off mass; fixing take-off mass and payload leaves fuel as the residual. These are three different questions, and the answers separate (Table 10):</w:t>
      </w:r>
    </w:p>
    <w:p>
      <w:pPr>
        <w:spacing w:before="0" w:after="80" w:line="240" w:lineRule="auto"/>
        <w:jc w:val="both"/>
        <w:keepNext/>
      </w:pPr>
      <w:r>
        <w:rPr>
          <w:rFonts w:ascii="Palatino Linotype" w:hAnsi="Palatino Linotype" w:eastAsia="Palatino Linotype"/>
          <w:b/>
          <w:i w:val="0"/>
          <w:sz w:val="20"/>
        </w:rPr>
        <w:t>Table 10.</w:t>
      </w:r>
      <w:r>
        <w:rPr>
          <w:rFonts w:ascii="Palatino Linotype" w:hAnsi="Palatino Linotype" w:eastAsia="Palatino Linotype"/>
          <w:b w:val="0"/>
          <w:i w:val="0"/>
          <w:sz w:val="20"/>
        </w:rPr>
        <w:t xml:space="preserve"> Range of the two competing architectures relative to the tail-sitter under each of the three sizing contracts, with the rotor drag charged, </w:t>
      </w:r>
      <w:r>
        <w:rPr>
          <w:rFonts w:ascii="Palatino Linotype" w:hAnsi="Palatino Linotype" w:eastAsia="Palatino Linotype"/>
          <w:b/>
          <w:i w:val="0"/>
          <w:sz w:val="20"/>
        </w:rPr>
        <w:t>at the single published drag assumption</w:t>
      </w:r>
      <w:r>
        <w:rPr>
          <w:rFonts w:ascii="Palatino Linotype" w:hAnsi="Palatino Linotype" w:eastAsia="Palatino Linotype"/>
          <w:b w:val="0"/>
          <w:i w:val="0"/>
          <w:sz w:val="20"/>
        </w:rPr>
        <w:t>. Table 9 sweeps the same comparison across the computed bracket and is the reportable form; the first column here reads +21.1 % where the bracket gives +24 to +45 %.</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 xml:space="preserve">Range relative to the tail-sitter, </w:t>
            </w:r>
            <w:r>
              <w:rPr>
                <w:rFonts w:ascii="Palatino Linotype" w:hAnsi="Palatino Linotype" w:eastAsia="Palatino Linotype"/>
                <w:b/>
                <w:i w:val="0"/>
                <w:sz w:val="18"/>
              </w:rPr>
              <w:t>rotors charged</w:t>
            </w:r>
          </w:p>
        </w:tc>
        <w:tc>
          <w:tcPr>
            <w:tcW w:type="dxa" w:w="2493"/>
          </w:tcPr>
          <w:p>
            <w:pPr>
              <w:spacing w:before="20" w:after="20"/>
            </w:pPr>
            <w:r/>
            <w:r>
              <w:rPr>
                <w:rFonts w:ascii="Palatino Linotype" w:hAnsi="Palatino Linotype" w:eastAsia="Palatino Linotype"/>
                <w:b/>
                <w:i w:val="0"/>
                <w:sz w:val="18"/>
              </w:rPr>
              <w:t>Fixed fuel fraction</w:t>
            </w:r>
          </w:p>
        </w:tc>
        <w:tc>
          <w:tcPr>
            <w:tcW w:type="dxa" w:w="2493"/>
          </w:tcPr>
          <w:p>
            <w:pPr>
              <w:spacing w:before="20" w:after="20"/>
            </w:pPr>
            <w:r/>
            <w:r>
              <w:rPr>
                <w:rFonts w:ascii="Palatino Linotype" w:hAnsi="Palatino Linotype" w:eastAsia="Palatino Linotype"/>
                <w:b/>
                <w:i w:val="0"/>
                <w:sz w:val="18"/>
              </w:rPr>
              <w:t>Fixed fuel mass</w:t>
            </w:r>
          </w:p>
        </w:tc>
        <w:tc>
          <w:tcPr>
            <w:tcW w:type="dxa" w:w="2493"/>
          </w:tcPr>
          <w:p>
            <w:pPr>
              <w:spacing w:before="20" w:after="20"/>
            </w:pPr>
            <w:r/>
            <w:r>
              <w:rPr>
                <w:rFonts w:ascii="Palatino Linotype" w:hAnsi="Palatino Linotype" w:eastAsia="Palatino Linotype"/>
                <w:b/>
                <w:i w:val="0"/>
                <w:sz w:val="18"/>
              </w:rPr>
              <w:t>Fixed MTOW and payload</w:t>
            </w:r>
          </w:p>
        </w:tc>
      </w:tr>
      <w:tr>
        <w:trPr>
          <w:cantSplit/>
        </w:trPr>
        <w:tc>
          <w:tcPr>
            <w:tcW w:type="dxa" w:w="2493"/>
          </w:tcPr>
          <w:p>
            <w:pPr>
              <w:spacing w:before="20" w:after="20"/>
            </w:pPr>
            <w:r/>
            <w:r>
              <w:rPr>
                <w:rFonts w:ascii="Palatino Linotype" w:hAnsi="Palatino Linotype" w:eastAsia="Palatino Linotype"/>
                <w:b w:val="0"/>
                <w:i w:val="0"/>
                <w:sz w:val="18"/>
              </w:rPr>
              <w:t>B — lift + cruise</w:t>
            </w:r>
          </w:p>
        </w:tc>
        <w:tc>
          <w:tcPr>
            <w:tcW w:type="dxa" w:w="2493"/>
          </w:tcPr>
          <w:p>
            <w:pPr>
              <w:spacing w:before="20" w:after="20"/>
            </w:pPr>
            <w:r/>
            <w:r>
              <w:rPr>
                <w:rFonts w:ascii="Palatino Linotype" w:hAnsi="Palatino Linotype" w:eastAsia="Palatino Linotype"/>
                <w:b/>
                <w:i w:val="0"/>
                <w:sz w:val="18"/>
              </w:rPr>
              <w:t>+21.1 %</w:t>
            </w:r>
          </w:p>
        </w:tc>
        <w:tc>
          <w:tcPr>
            <w:tcW w:type="dxa" w:w="2493"/>
          </w:tcPr>
          <w:p>
            <w:pPr>
              <w:spacing w:before="20" w:after="20"/>
            </w:pPr>
            <w:r/>
            <w:r>
              <w:rPr>
                <w:rFonts w:ascii="Palatino Linotype" w:hAnsi="Palatino Linotype" w:eastAsia="Palatino Linotype"/>
                <w:b w:val="0"/>
                <w:i w:val="0"/>
                <w:sz w:val="18"/>
              </w:rPr>
              <w:t>−5.4 %</w:t>
            </w:r>
          </w:p>
        </w:tc>
        <w:tc>
          <w:tcPr>
            <w:tcW w:type="dxa" w:w="2493"/>
          </w:tcPr>
          <w:p>
            <w:pPr>
              <w:spacing w:before="20" w:after="20"/>
            </w:pPr>
            <w:r/>
            <w:r>
              <w:rPr>
                <w:rFonts w:ascii="Palatino Linotype" w:hAnsi="Palatino Linotype" w:eastAsia="Palatino Linotype"/>
                <w:b w:val="0"/>
                <w:i w:val="0"/>
                <w:sz w:val="18"/>
              </w:rPr>
              <w:t>−44.9 %</w:t>
            </w:r>
          </w:p>
        </w:tc>
      </w:tr>
      <w:tr>
        <w:trPr>
          <w:cantSplit/>
        </w:trPr>
        <w:tc>
          <w:tcPr>
            <w:tcW w:type="dxa" w:w="2493"/>
          </w:tcPr>
          <w:p>
            <w:pPr>
              <w:spacing w:before="20" w:after="20"/>
            </w:pPr>
            <w:r/>
            <w:r>
              <w:rPr>
                <w:rFonts w:ascii="Palatino Linotype" w:hAnsi="Palatino Linotype" w:eastAsia="Palatino Linotype"/>
                <w:b w:val="0"/>
                <w:i w:val="0"/>
                <w:sz w:val="18"/>
              </w:rPr>
              <w:t>C — tilt</w:t>
            </w:r>
          </w:p>
        </w:tc>
        <w:tc>
          <w:tcPr>
            <w:tcW w:type="dxa" w:w="2493"/>
          </w:tcPr>
          <w:p>
            <w:pPr>
              <w:spacing w:before="20" w:after="20"/>
            </w:pPr>
            <w:r/>
            <w:r>
              <w:rPr>
                <w:rFonts w:ascii="Palatino Linotype" w:hAnsi="Palatino Linotype" w:eastAsia="Palatino Linotype"/>
                <w:b/>
                <w:i w:val="0"/>
                <w:sz w:val="18"/>
              </w:rPr>
              <w:t>+58.3 %</w:t>
            </w:r>
          </w:p>
        </w:tc>
        <w:tc>
          <w:tcPr>
            <w:tcW w:type="dxa" w:w="2493"/>
          </w:tcPr>
          <w:p>
            <w:pPr>
              <w:spacing w:before="20" w:after="20"/>
            </w:pPr>
            <w:r/>
            <w:r>
              <w:rPr>
                <w:rFonts w:ascii="Palatino Linotype" w:hAnsi="Palatino Linotype" w:eastAsia="Palatino Linotype"/>
                <w:b w:val="0"/>
                <w:i w:val="0"/>
                <w:sz w:val="18"/>
              </w:rPr>
              <w:t>+49.2 %</w:t>
            </w:r>
          </w:p>
        </w:tc>
        <w:tc>
          <w:tcPr>
            <w:tcW w:type="dxa" w:w="2493"/>
          </w:tcPr>
          <w:p>
            <w:pPr>
              <w:spacing w:before="20" w:after="20"/>
            </w:pPr>
            <w:r/>
            <w:r>
              <w:rPr>
                <w:rFonts w:ascii="Palatino Linotype" w:hAnsi="Palatino Linotype" w:eastAsia="Palatino Linotype"/>
                <w:b w:val="0"/>
                <w:i w:val="0"/>
                <w:sz w:val="18"/>
              </w:rPr>
              <w:t>+35.7 %</w:t>
            </w:r>
          </w:p>
        </w:tc>
      </w:tr>
    </w:tbl>
    <w:p/>
    <w:p>
      <w:pPr>
        <w:spacing w:before="0" w:after="80" w:line="240" w:lineRule="auto"/>
        <w:jc w:val="both"/>
      </w:pPr>
      <w:r>
        <w:rPr>
          <w:rFonts w:ascii="Palatino Linotype" w:hAnsi="Palatino Linotype" w:eastAsia="Palatino Linotype"/>
          <w:b w:val="0"/>
          <w:i/>
          <w:sz w:val="20"/>
        </w:rPr>
        <w:t>(Before the rotor term was charged these rows read −14.4 / −36.5 / −72.6 and +12.0 / +0.2 / −19.1. The earlier figures are kept in Supplementary S6 so the size and direction of the correction can be read off; they are not the result.)</w:t>
      </w:r>
    </w:p>
    <w:p>
      <w:pPr>
        <w:spacing w:before="0" w:after="80" w:line="240" w:lineRule="auto"/>
        <w:jc w:val="both"/>
      </w:pPr>
      <w:r>
        <w:rPr>
          <w:rFonts w:ascii="Palatino Linotype" w:hAnsi="Palatino Linotype" w:eastAsia="Palatino Linotype"/>
          <w:b w:val="0"/>
          <w:i w:val="0"/>
          <w:sz w:val="20"/>
        </w:rPr>
        <w:t xml:space="preserve">Against lift-plus-cruise the conclusion now depends on the rule: the tail-sitter leads under two of the three and loses the third, where equal fuel fractions expose its lower cruise efficiency. Against tilt it no longer leads at all: with the rotor term charged </w:t>
      </w:r>
      <w:r>
        <w:rPr>
          <w:rFonts w:ascii="Palatino Linotype" w:hAnsi="Palatino Linotype" w:eastAsia="Palatino Linotype"/>
          <w:b/>
          <w:i w:val="0"/>
          <w:sz w:val="20"/>
        </w:rPr>
        <w:t>the tilting layout</w:t>
      </w:r>
      <w:r>
        <w:rPr>
          <w:rFonts w:ascii="Palatino Linotype" w:hAnsi="Palatino Linotype" w:eastAsia="Palatino Linotype"/>
          <w:b w:val="0"/>
          <w:i w:val="0"/>
          <w:sz w:val="20"/>
        </w:rPr>
        <w:t xml:space="preserve"> leads under all three rules, where before </w:t>
      </w:r>
      <w:r>
        <w:rPr>
          <w:rFonts w:ascii="Palatino Linotype" w:hAnsi="Palatino Linotype" w:eastAsia="Palatino Linotype"/>
          <w:b/>
          <w:i w:val="0"/>
          <w:sz w:val="20"/>
        </w:rPr>
        <w:t>the tail-sitter</w:t>
      </w:r>
      <w:r>
        <w:rPr>
          <w:rFonts w:ascii="Palatino Linotype" w:hAnsi="Palatino Linotype" w:eastAsia="Palatino Linotype"/>
          <w:b w:val="0"/>
          <w:i w:val="0"/>
          <w:sz w:val="20"/>
        </w:rPr>
        <w:t xml:space="preserve"> led in three of the twelve cells S6 reports and tied a fourth. Every one of those leads still requires its nacelles, pivots, actuators and hover-pitched blades to be credited as aerodynamically free. </w:t>
      </w:r>
      <w:r>
        <w:rPr>
          <w:rFonts w:ascii="Palatino Linotype" w:hAnsi="Palatino Linotype" w:eastAsia="Palatino Linotype"/>
          <w:b/>
          <w:i w:val="0"/>
          <w:sz w:val="20"/>
        </w:rPr>
        <w:t>No result from this section should be quoted without the rule it was computed under</w:t>
      </w:r>
      <w:r>
        <w:rPr>
          <w:rFonts w:ascii="Palatino Linotype" w:hAnsi="Palatino Linotype" w:eastAsia="Palatino Linotype"/>
          <w:b w:val="0"/>
          <w:i w:val="0"/>
          <w:sz w:val="20"/>
        </w:rPr>
        <w:t>, and no claim of superiority over the tilting family is made here in either direction.</w:t>
      </w:r>
    </w:p>
    <w:p>
      <w:pPr>
        <w:spacing w:before="0" w:after="80" w:line="240" w:lineRule="auto"/>
        <w:jc w:val="both"/>
      </w:pPr>
      <w:r>
        <w:rPr>
          <w:rFonts w:ascii="Palatino Linotype" w:hAnsi="Palatino Linotype" w:eastAsia="Palatino Linotype"/>
          <w:b/>
          <w:i w:val="0"/>
          <w:sz w:val="20"/>
        </w:rPr>
        <w:t>What this comparison does and does not support.</w:t>
      </w:r>
      <w:r>
        <w:rPr>
          <w:rFonts w:ascii="Palatino Linotype" w:hAnsi="Palatino Linotype" w:eastAsia="Palatino Linotype"/>
          <w:b w:val="0"/>
          <w:i w:val="0"/>
          <w:sz w:val="20"/>
        </w:rPr>
        <w:t xml:space="preserve"> It supports the claim that the three bills are real and separable in a sizing loop. It does </w:t>
      </w:r>
      <w:r>
        <w:rPr>
          <w:rFonts w:ascii="Palatino Linotype" w:hAnsi="Palatino Linotype" w:eastAsia="Palatino Linotype"/>
          <w:b/>
          <w:i w:val="0"/>
          <w:sz w:val="20"/>
        </w:rPr>
        <w:t>not</w:t>
      </w:r>
      <w:r>
        <w:rPr>
          <w:rFonts w:ascii="Palatino Linotype" w:hAnsi="Palatino Linotype" w:eastAsia="Palatino Linotype"/>
          <w:b w:val="0"/>
          <w:i w:val="0"/>
          <w:sz w:val="20"/>
        </w:rPr>
        <w:t xml:space="preserve"> support a claim that this configuration is better: the competing architectures are modelled from published mass fractions at a coarser level of detail than the one proposed here, which is modelled from a component build-up. </w:t>
      </w:r>
      <w:r>
        <w:rPr>
          <w:rFonts w:ascii="Palatino Linotype" w:hAnsi="Palatino Linotype" w:eastAsia="Palatino Linotype"/>
          <w:b/>
          <w:i w:val="0"/>
          <w:sz w:val="20"/>
        </w:rPr>
        <w:t>Comparing a build-up against a fraction favours whichever is modelled more optimistically</w:t>
      </w:r>
      <w:r>
        <w:rPr>
          <w:rFonts w:ascii="Palatino Linotype" w:hAnsi="Palatino Linotype" w:eastAsia="Palatino Linotype"/>
          <w:b w:val="0"/>
          <w:i w:val="0"/>
          <w:sz w:val="20"/>
        </w:rPr>
        <w:t>, and this study cannot rule out that it is this one. An external check against three flying eVTOLs, one per architecture, is reported in S6.1; it corroborates the ordering of the charges but is a comparison of other people's aircraft, not of this sizing. Section 4 states the comparison as conditional on both asymmetries.</w:t>
      </w:r>
    </w:p>
    <w:p>
      <w:pPr>
        <w:spacing w:before="0" w:after="80" w:line="240" w:lineRule="auto"/>
        <w:jc w:val="both"/>
      </w:pPr>
      <w:r>
        <w:rPr>
          <w:rFonts w:ascii="Palatino Linotype" w:hAnsi="Palatino Linotype" w:eastAsia="Palatino Linotype"/>
          <w:b w:val="0"/>
          <w:i w:val="0"/>
          <w:sz w:val="20"/>
        </w:rPr>
        <w:t>A configuration argument is only as good as its willingness to become a number. This section sizes two aircraft from the arrangement of Section 2 — one at 50 kg and one at 1000 kg, a factor of twenty apart in mass — using the same equations, the same assumptions and the same architecture. The two points are not a light version and a heavy version of different aircraft. They are the same aircraft at two sizes, and the purpose of presenting both is to show that the proportions hold.</w:t>
      </w:r>
    </w:p>
    <w:p>
      <w:pPr>
        <w:spacing w:before="0" w:after="80" w:line="240" w:lineRule="auto"/>
        <w:jc w:val="both"/>
      </w:pPr>
      <w:r>
        <w:rPr>
          <w:rFonts w:ascii="Palatino Linotype" w:hAnsi="Palatino Linotype" w:eastAsia="Palatino Linotype"/>
          <w:b w:val="0"/>
          <w:i w:val="0"/>
          <w:sz w:val="20"/>
        </w:rPr>
        <w:t>Every number below is calculated, not measured. Section 4 says what that means.</w:t>
      </w:r>
    </w:p>
    <w:p>
      <w:pPr>
        <w:spacing w:before="200" w:after="80"/>
      </w:pPr>
      <w:r>
        <w:rPr>
          <w:rFonts w:ascii="Palatino Linotype" w:hAnsi="Palatino Linotype" w:eastAsia="Palatino Linotype"/>
          <w:b/>
          <w:i w:val="0"/>
          <w:sz w:val="22"/>
        </w:rPr>
        <w:t>3.7 Light reference design — 50 kg</w:t>
      </w:r>
    </w:p>
    <w:p>
      <w:pPr>
        <w:spacing w:before="0" w:after="80" w:line="240" w:lineRule="auto"/>
        <w:jc w:val="both"/>
      </w:pPr>
      <w:r>
        <w:rPr>
          <w:rFonts w:ascii="Palatino Linotype" w:hAnsi="Palatino Linotype" w:eastAsia="Palatino Linotype"/>
          <w:b w:val="0"/>
          <w:i w:val="0"/>
          <w:sz w:val="20"/>
        </w:rPr>
        <w:t>Table 11 gives the design.</w:t>
      </w:r>
    </w:p>
    <w:p>
      <w:pPr>
        <w:spacing w:before="0" w:after="80" w:line="240" w:lineRule="auto"/>
        <w:jc w:val="both"/>
        <w:keepNext/>
      </w:pPr>
      <w:r>
        <w:rPr>
          <w:rFonts w:ascii="Palatino Linotype" w:hAnsi="Palatino Linotype" w:eastAsia="Palatino Linotype"/>
          <w:b/>
          <w:i w:val="0"/>
          <w:sz w:val="20"/>
        </w:rPr>
        <w:t>Table 11.</w:t>
      </w:r>
      <w:r>
        <w:rPr>
          <w:rFonts w:ascii="Palatino Linotype" w:hAnsi="Palatino Linotype" w:eastAsia="Palatino Linotype"/>
          <w:b w:val="0"/>
          <w:i w:val="0"/>
          <w:sz w:val="20"/>
        </w:rPr>
        <w:t xml:space="preserve"> The light reference design, 50 kg, </w:t>
      </w:r>
      <w:r>
        <w:rPr>
          <w:rFonts w:ascii="Palatino Linotype" w:hAnsi="Palatino Linotype" w:eastAsia="Palatino Linotype"/>
          <w:b/>
          <w:i w:val="0"/>
          <w:sz w:val="20"/>
        </w:rPr>
        <w:t>at the published zero-lift drag assumption</w:t>
      </w:r>
      <w:r>
        <w:rPr>
          <w:rFonts w:ascii="Palatino Linotype" w:hAnsi="Palatino Linotype" w:eastAsia="Palatino Linotype"/>
          <w:b w:val="0"/>
          <w:i w:val="0"/>
          <w:sz w:val="20"/>
        </w:rPr>
        <w:t>. Table 12 re-solves it across the computed bracket; the cruise and range rows here are optimistic rather than central.</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Quantity</w:t>
            </w:r>
          </w:p>
        </w:tc>
        <w:tc>
          <w:tcPr>
            <w:tcW w:type="dxa" w:w="4986"/>
          </w:tcPr>
          <w:p>
            <w:pPr>
              <w:spacing w:before="20" w:after="20"/>
            </w:pPr>
            <w:r/>
            <w:r>
              <w:rPr>
                <w:rFonts w:ascii="Palatino Linotype" w:hAnsi="Palatino Linotype" w:eastAsia="Palatino Linotype"/>
                <w:b/>
                <w:i w:val="0"/>
                <w:sz w:val="18"/>
              </w:rPr>
              <w:t>Value</w:t>
            </w:r>
          </w:p>
        </w:tc>
      </w:tr>
      <w:tr>
        <w:trPr>
          <w:cantSplit/>
        </w:trPr>
        <w:tc>
          <w:tcPr>
            <w:tcW w:type="dxa" w:w="4986"/>
          </w:tcPr>
          <w:p>
            <w:pPr>
              <w:spacing w:before="20" w:after="20"/>
            </w:pPr>
            <w:r/>
            <w:r>
              <w:rPr>
                <w:rFonts w:ascii="Palatino Linotype" w:hAnsi="Palatino Linotype" w:eastAsia="Palatino Linotype"/>
                <w:b w:val="0"/>
                <w:i w:val="0"/>
                <w:sz w:val="18"/>
              </w:rPr>
              <w:t>Maximum take-off mass</w:t>
            </w:r>
          </w:p>
        </w:tc>
        <w:tc>
          <w:tcPr>
            <w:tcW w:type="dxa" w:w="4986"/>
          </w:tcPr>
          <w:p>
            <w:pPr>
              <w:spacing w:before="20" w:after="20"/>
            </w:pPr>
            <w:r/>
            <w:r>
              <w:rPr>
                <w:rFonts w:ascii="Palatino Linotype" w:hAnsi="Palatino Linotype" w:eastAsia="Palatino Linotype"/>
                <w:b w:val="0"/>
                <w:i w:val="0"/>
                <w:sz w:val="18"/>
              </w:rPr>
              <w:t>50 kg</w:t>
            </w:r>
          </w:p>
        </w:tc>
      </w:tr>
      <w:tr>
        <w:trPr>
          <w:cantSplit/>
        </w:trPr>
        <w:tc>
          <w:tcPr>
            <w:tcW w:type="dxa" w:w="4986"/>
          </w:tcPr>
          <w:p>
            <w:pPr>
              <w:spacing w:before="20" w:after="20"/>
            </w:pPr>
            <w:r/>
            <w:r>
              <w:rPr>
                <w:rFonts w:ascii="Palatino Linotype" w:hAnsi="Palatino Linotype" w:eastAsia="Palatino Linotype"/>
                <w:b w:val="0"/>
                <w:i w:val="0"/>
                <w:sz w:val="18"/>
              </w:rPr>
              <w:t>Root chord</w:t>
            </w:r>
          </w:p>
        </w:tc>
        <w:tc>
          <w:tcPr>
            <w:tcW w:type="dxa" w:w="4986"/>
          </w:tcPr>
          <w:p>
            <w:pPr>
              <w:spacing w:before="20" w:after="20"/>
            </w:pPr>
            <w:r/>
            <w:r>
              <w:rPr>
                <w:rFonts w:ascii="Palatino Linotype" w:hAnsi="Palatino Linotype" w:eastAsia="Palatino Linotype"/>
                <w:b w:val="0"/>
                <w:i w:val="0"/>
                <w:sz w:val="18"/>
              </w:rPr>
              <w:t>0.97 m</w:t>
            </w:r>
          </w:p>
        </w:tc>
      </w:tr>
      <w:tr>
        <w:trPr>
          <w:cantSplit/>
        </w:trPr>
        <w:tc>
          <w:tcPr>
            <w:tcW w:type="dxa" w:w="4986"/>
          </w:tcPr>
          <w:p>
            <w:pPr>
              <w:spacing w:before="20" w:after="20"/>
            </w:pPr>
            <w:r/>
            <w:r>
              <w:rPr>
                <w:rFonts w:ascii="Palatino Linotype" w:hAnsi="Palatino Linotype" w:eastAsia="Palatino Linotype"/>
                <w:b w:val="0"/>
                <w:i w:val="0"/>
                <w:sz w:val="18"/>
              </w:rPr>
              <w:t>Tip chord</w:t>
            </w:r>
          </w:p>
        </w:tc>
        <w:tc>
          <w:tcPr>
            <w:tcW w:type="dxa" w:w="4986"/>
          </w:tcPr>
          <w:p>
            <w:pPr>
              <w:spacing w:before="20" w:after="20"/>
            </w:pPr>
            <w:r/>
            <w:r>
              <w:rPr>
                <w:rFonts w:ascii="Palatino Linotype" w:hAnsi="Palatino Linotype" w:eastAsia="Palatino Linotype"/>
                <w:b w:val="0"/>
                <w:i w:val="0"/>
                <w:sz w:val="18"/>
              </w:rPr>
              <w:t>0.236 m</w:t>
            </w:r>
          </w:p>
        </w:tc>
      </w:tr>
      <w:tr>
        <w:trPr>
          <w:cantSplit/>
        </w:trPr>
        <w:tc>
          <w:tcPr>
            <w:tcW w:type="dxa" w:w="4986"/>
          </w:tcPr>
          <w:p>
            <w:pPr>
              <w:spacing w:before="20" w:after="20"/>
            </w:pPr>
            <w:r/>
            <w:r>
              <w:rPr>
                <w:rFonts w:ascii="Palatino Linotype" w:hAnsi="Palatino Linotype" w:eastAsia="Palatino Linotype"/>
                <w:b w:val="0"/>
                <w:i w:val="0"/>
                <w:sz w:val="18"/>
              </w:rPr>
              <w:t>Span</w:t>
            </w:r>
          </w:p>
        </w:tc>
        <w:tc>
          <w:tcPr>
            <w:tcW w:type="dxa" w:w="4986"/>
          </w:tcPr>
          <w:p>
            <w:pPr>
              <w:spacing w:before="20" w:after="20"/>
            </w:pPr>
            <w:r/>
            <w:r>
              <w:rPr>
                <w:rFonts w:ascii="Palatino Linotype" w:hAnsi="Palatino Linotype" w:eastAsia="Palatino Linotype"/>
                <w:b w:val="0"/>
                <w:i w:val="0"/>
                <w:sz w:val="18"/>
              </w:rPr>
              <w:t>3.45 m</w:t>
            </w:r>
          </w:p>
        </w:tc>
      </w:tr>
      <w:tr>
        <w:trPr>
          <w:cantSplit/>
        </w:trPr>
        <w:tc>
          <w:tcPr>
            <w:tcW w:type="dxa" w:w="4986"/>
          </w:tcPr>
          <w:p>
            <w:pPr>
              <w:spacing w:before="20" w:after="20"/>
            </w:pPr>
            <w:r/>
            <w:r>
              <w:rPr>
                <w:rFonts w:ascii="Palatino Linotype" w:hAnsi="Palatino Linotype" w:eastAsia="Palatino Linotype"/>
                <w:b w:val="0"/>
                <w:i w:val="0"/>
                <w:sz w:val="18"/>
              </w:rPr>
              <w:t>Wing area</w:t>
            </w:r>
          </w:p>
        </w:tc>
        <w:tc>
          <w:tcPr>
            <w:tcW w:type="dxa" w:w="4986"/>
          </w:tcPr>
          <w:p>
            <w:pPr>
              <w:spacing w:before="20" w:after="20"/>
            </w:pPr>
            <w:r/>
            <w:r>
              <w:rPr>
                <w:rFonts w:ascii="Palatino Linotype" w:hAnsi="Palatino Linotype" w:eastAsia="Palatino Linotype"/>
                <w:b w:val="0"/>
                <w:i w:val="0"/>
                <w:sz w:val="18"/>
              </w:rPr>
              <w:t>1.98 m²</w:t>
            </w:r>
          </w:p>
        </w:tc>
      </w:tr>
      <w:tr>
        <w:trPr>
          <w:cantSplit/>
        </w:trPr>
        <w:tc>
          <w:tcPr>
            <w:tcW w:type="dxa" w:w="4986"/>
          </w:tcPr>
          <w:p>
            <w:pPr>
              <w:spacing w:before="20" w:after="20"/>
            </w:pPr>
            <w:r/>
            <w:r>
              <w:rPr>
                <w:rFonts w:ascii="Palatino Linotype" w:hAnsi="Palatino Linotype" w:eastAsia="Palatino Linotype"/>
                <w:b w:val="0"/>
                <w:i w:val="0"/>
                <w:sz w:val="18"/>
              </w:rPr>
              <w:t>Aspect ratio</w:t>
            </w:r>
          </w:p>
        </w:tc>
        <w:tc>
          <w:tcPr>
            <w:tcW w:type="dxa" w:w="4986"/>
          </w:tcPr>
          <w:p>
            <w:pPr>
              <w:spacing w:before="20" w:after="20"/>
            </w:pPr>
            <w:r/>
            <w:r>
              <w:rPr>
                <w:rFonts w:ascii="Palatino Linotype" w:hAnsi="Palatino Linotype" w:eastAsia="Palatino Linotype"/>
                <w:b w:val="0"/>
                <w:i w:val="0"/>
                <w:sz w:val="18"/>
              </w:rPr>
              <w:t>6.03</w:t>
            </w:r>
          </w:p>
        </w:tc>
      </w:tr>
      <w:tr>
        <w:trPr>
          <w:cantSplit/>
        </w:trPr>
        <w:tc>
          <w:tcPr>
            <w:tcW w:type="dxa" w:w="4986"/>
          </w:tcPr>
          <w:p>
            <w:pPr>
              <w:spacing w:before="20" w:after="20"/>
            </w:pPr>
            <w:r/>
            <w:r>
              <w:rPr>
                <w:rFonts w:ascii="Palatino Linotype" w:hAnsi="Palatino Linotype" w:eastAsia="Palatino Linotype"/>
                <w:b w:val="0"/>
                <w:i w:val="0"/>
                <w:sz w:val="18"/>
              </w:rPr>
              <w:t>Wing loading</w:t>
            </w:r>
          </w:p>
        </w:tc>
        <w:tc>
          <w:tcPr>
            <w:tcW w:type="dxa" w:w="4986"/>
          </w:tcPr>
          <w:p>
            <w:pPr>
              <w:spacing w:before="20" w:after="20"/>
            </w:pPr>
            <w:r/>
            <w:r>
              <w:rPr>
                <w:rFonts w:ascii="Palatino Linotype" w:hAnsi="Palatino Linotype" w:eastAsia="Palatino Linotype"/>
                <w:b w:val="0"/>
                <w:i w:val="0"/>
                <w:sz w:val="18"/>
              </w:rPr>
              <w:t>25.3 kg m⁻²</w:t>
            </w:r>
          </w:p>
        </w:tc>
      </w:tr>
      <w:tr>
        <w:trPr>
          <w:cantSplit/>
        </w:trPr>
        <w:tc>
          <w:tcPr>
            <w:tcW w:type="dxa" w:w="4986"/>
          </w:tcPr>
          <w:p>
            <w:pPr>
              <w:spacing w:before="20" w:after="20"/>
            </w:pPr>
            <w:r/>
            <w:r>
              <w:rPr>
                <w:rFonts w:ascii="Palatino Linotype" w:hAnsi="Palatino Linotype" w:eastAsia="Palatino Linotype"/>
                <w:b w:val="0"/>
                <w:i w:val="0"/>
                <w:sz w:val="18"/>
              </w:rPr>
              <w:t>Main propeller diameter</w:t>
            </w:r>
          </w:p>
        </w:tc>
        <w:tc>
          <w:tcPr>
            <w:tcW w:type="dxa" w:w="4986"/>
          </w:tcPr>
          <w:p>
            <w:pPr>
              <w:spacing w:before="20" w:after="20"/>
            </w:pPr>
            <w:r/>
            <w:r>
              <w:rPr>
                <w:rFonts w:ascii="Palatino Linotype" w:hAnsi="Palatino Linotype" w:eastAsia="Palatino Linotype"/>
                <w:b w:val="0"/>
                <w:i w:val="0"/>
                <w:sz w:val="18"/>
              </w:rPr>
              <w:t>1.20 m</w:t>
            </w:r>
          </w:p>
        </w:tc>
      </w:tr>
      <w:tr>
        <w:trPr>
          <w:cantSplit/>
        </w:trPr>
        <w:tc>
          <w:tcPr>
            <w:tcW w:type="dxa" w:w="4986"/>
          </w:tcPr>
          <w:p>
            <w:pPr>
              <w:spacing w:before="20" w:after="20"/>
            </w:pPr>
            <w:r/>
            <w:r>
              <w:rPr>
                <w:rFonts w:ascii="Palatino Linotype" w:hAnsi="Palatino Linotype" w:eastAsia="Palatino Linotype"/>
                <w:b w:val="0"/>
                <w:i w:val="0"/>
                <w:sz w:val="18"/>
              </w:rPr>
              <w:t>Disc loading</w:t>
            </w:r>
          </w:p>
        </w:tc>
        <w:tc>
          <w:tcPr>
            <w:tcW w:type="dxa" w:w="4986"/>
          </w:tcPr>
          <w:p>
            <w:pPr>
              <w:spacing w:before="20" w:after="20"/>
            </w:pPr>
            <w:r/>
            <w:r>
              <w:rPr>
                <w:rFonts w:ascii="Palatino Linotype" w:hAnsi="Palatino Linotype" w:eastAsia="Palatino Linotype"/>
                <w:b w:val="0"/>
                <w:i w:val="0"/>
                <w:sz w:val="18"/>
              </w:rPr>
              <w:t>44.2 kg m⁻²</w:t>
            </w:r>
          </w:p>
        </w:tc>
      </w:tr>
      <w:tr>
        <w:trPr>
          <w:cantSplit/>
        </w:trPr>
        <w:tc>
          <w:tcPr>
            <w:tcW w:type="dxa" w:w="4986"/>
          </w:tcPr>
          <w:p>
            <w:pPr>
              <w:spacing w:before="20" w:after="20"/>
            </w:pPr>
            <w:r/>
            <w:r>
              <w:rPr>
                <w:rFonts w:ascii="Palatino Linotype" w:hAnsi="Palatino Linotype" w:eastAsia="Palatino Linotype"/>
                <w:b w:val="0"/>
                <w:i w:val="0"/>
                <w:sz w:val="18"/>
              </w:rPr>
              <w:t>Tip propeller diameter</w:t>
            </w:r>
          </w:p>
        </w:tc>
        <w:tc>
          <w:tcPr>
            <w:tcW w:type="dxa" w:w="4986"/>
          </w:tcPr>
          <w:p>
            <w:pPr>
              <w:spacing w:before="20" w:after="20"/>
            </w:pPr>
            <w:r/>
            <w:r>
              <w:rPr>
                <w:rFonts w:ascii="Palatino Linotype" w:hAnsi="Palatino Linotype" w:eastAsia="Palatino Linotype"/>
                <w:b w:val="0"/>
                <w:i w:val="0"/>
                <w:sz w:val="18"/>
              </w:rPr>
              <w:t>0.20 m</w:t>
            </w:r>
          </w:p>
        </w:tc>
      </w:tr>
      <w:tr>
        <w:trPr>
          <w:cantSplit/>
        </w:trPr>
        <w:tc>
          <w:tcPr>
            <w:tcW w:type="dxa" w:w="4986"/>
          </w:tcPr>
          <w:p>
            <w:pPr>
              <w:spacing w:before="20" w:after="20"/>
            </w:pPr>
            <w:r/>
            <w:r>
              <w:rPr>
                <w:rFonts w:ascii="Palatino Linotype" w:hAnsi="Palatino Linotype" w:eastAsia="Palatino Linotype"/>
                <w:b w:val="0"/>
                <w:i w:val="0"/>
                <w:sz w:val="18"/>
              </w:rPr>
              <w:t>Tip-pair disc loading</w:t>
            </w:r>
          </w:p>
        </w:tc>
        <w:tc>
          <w:tcPr>
            <w:tcW w:type="dxa" w:w="4986"/>
          </w:tcPr>
          <w:p>
            <w:pPr>
              <w:spacing w:before="20" w:after="20"/>
            </w:pPr>
            <w:r/>
            <w:r>
              <w:rPr>
                <w:rFonts w:ascii="Palatino Linotype" w:hAnsi="Palatino Linotype" w:eastAsia="Palatino Linotype"/>
                <w:b w:val="0"/>
                <w:i w:val="0"/>
                <w:sz w:val="18"/>
              </w:rPr>
              <w:t>26.3 kg m⁻²</w:t>
            </w:r>
          </w:p>
        </w:tc>
      </w:tr>
      <w:tr>
        <w:trPr>
          <w:cantSplit/>
        </w:trPr>
        <w:tc>
          <w:tcPr>
            <w:tcW w:type="dxa" w:w="4986"/>
          </w:tcPr>
          <w:p>
            <w:pPr>
              <w:spacing w:before="20" w:after="20"/>
            </w:pPr>
            <w:r/>
            <w:r>
              <w:rPr>
                <w:rFonts w:ascii="Palatino Linotype" w:hAnsi="Palatino Linotype" w:eastAsia="Palatino Linotype"/>
                <w:b w:val="0"/>
                <w:i w:val="0"/>
                <w:sz w:val="18"/>
              </w:rPr>
              <w:t>Frame post length</w:t>
            </w:r>
          </w:p>
        </w:tc>
        <w:tc>
          <w:tcPr>
            <w:tcW w:type="dxa" w:w="4986"/>
          </w:tcPr>
          <w:p>
            <w:pPr>
              <w:spacing w:before="20" w:after="20"/>
            </w:pPr>
            <w:r/>
            <w:r>
              <w:rPr>
                <w:rFonts w:ascii="Palatino Linotype" w:hAnsi="Palatino Linotype" w:eastAsia="Palatino Linotype"/>
                <w:b w:val="0"/>
                <w:i w:val="0"/>
                <w:sz w:val="18"/>
              </w:rPr>
              <w:t>0.71 m each direction</w:t>
            </w:r>
          </w:p>
        </w:tc>
      </w:tr>
      <w:tr>
        <w:trPr>
          <w:cantSplit/>
        </w:trPr>
        <w:tc>
          <w:tcPr>
            <w:tcW w:type="dxa" w:w="4986"/>
          </w:tcPr>
          <w:p>
            <w:pPr>
              <w:spacing w:before="20" w:after="20"/>
            </w:pPr>
            <w:r/>
            <w:r>
              <w:rPr>
                <w:rFonts w:ascii="Palatino Linotype" w:hAnsi="Palatino Linotype" w:eastAsia="Palatino Linotype"/>
                <w:b w:val="0"/>
                <w:i w:val="0"/>
                <w:sz w:val="18"/>
              </w:rPr>
              <w:t>Stall speed</w:t>
            </w:r>
          </w:p>
        </w:tc>
        <w:tc>
          <w:tcPr>
            <w:tcW w:type="dxa" w:w="4986"/>
          </w:tcPr>
          <w:p>
            <w:pPr>
              <w:spacing w:before="20" w:after="20"/>
            </w:pPr>
            <w:r/>
            <w:r>
              <w:rPr>
                <w:rFonts w:ascii="Palatino Linotype" w:hAnsi="Palatino Linotype" w:eastAsia="Palatino Linotype"/>
                <w:b w:val="0"/>
                <w:i w:val="0"/>
                <w:sz w:val="18"/>
              </w:rPr>
              <w:t>20.1 m s⁻¹</w:t>
            </w:r>
          </w:p>
        </w:tc>
      </w:tr>
      <w:tr>
        <w:trPr>
          <w:cantSplit/>
        </w:trPr>
        <w:tc>
          <w:tcPr>
            <w:tcW w:type="dxa" w:w="4986"/>
          </w:tcPr>
          <w:p>
            <w:pPr>
              <w:spacing w:before="20" w:after="20"/>
            </w:pPr>
            <w:r/>
            <w:r>
              <w:rPr>
                <w:rFonts w:ascii="Palatino Linotype" w:hAnsi="Palatino Linotype" w:eastAsia="Palatino Linotype"/>
                <w:b w:val="0"/>
                <w:i w:val="0"/>
                <w:sz w:val="18"/>
              </w:rPr>
              <w:t>Cruise speed</w:t>
            </w:r>
          </w:p>
        </w:tc>
        <w:tc>
          <w:tcPr>
            <w:tcW w:type="dxa" w:w="4986"/>
          </w:tcPr>
          <w:p>
            <w:pPr>
              <w:spacing w:before="20" w:after="20"/>
            </w:pPr>
            <w:r/>
            <w:r>
              <w:rPr>
                <w:rFonts w:ascii="Palatino Linotype" w:hAnsi="Palatino Linotype" w:eastAsia="Palatino Linotype"/>
                <w:b w:val="0"/>
                <w:i w:val="0"/>
                <w:sz w:val="18"/>
              </w:rPr>
              <w:t>30 m s⁻¹ (108 km h⁻¹)</w:t>
            </w:r>
          </w:p>
        </w:tc>
      </w:tr>
      <w:tr>
        <w:trPr>
          <w:cantSplit/>
        </w:trPr>
        <w:tc>
          <w:tcPr>
            <w:tcW w:type="dxa" w:w="4986"/>
          </w:tcPr>
          <w:p>
            <w:pPr>
              <w:spacing w:before="20" w:after="20"/>
            </w:pPr>
            <w:r/>
            <w:r>
              <w:rPr>
                <w:rFonts w:ascii="Palatino Linotype" w:hAnsi="Palatino Linotype" w:eastAsia="Palatino Linotype"/>
                <w:b w:val="0"/>
                <w:i w:val="0"/>
                <w:sz w:val="18"/>
              </w:rPr>
              <w:t>Cruise L/D</w:t>
            </w:r>
          </w:p>
        </w:tc>
        <w:tc>
          <w:tcPr>
            <w:tcW w:type="dxa" w:w="4986"/>
          </w:tcPr>
          <w:p>
            <w:pPr>
              <w:spacing w:before="20" w:after="20"/>
            </w:pPr>
            <w:r/>
            <w:r>
              <w:rPr>
                <w:rFonts w:ascii="Palatino Linotype" w:hAnsi="Palatino Linotype" w:eastAsia="Palatino Linotype"/>
                <w:b w:val="0"/>
                <w:i w:val="0"/>
                <w:sz w:val="18"/>
              </w:rPr>
              <w:t>12.0</w:t>
            </w:r>
          </w:p>
        </w:tc>
      </w:tr>
      <w:tr>
        <w:trPr>
          <w:cantSplit/>
        </w:trPr>
        <w:tc>
          <w:tcPr>
            <w:tcW w:type="dxa" w:w="4986"/>
          </w:tcPr>
          <w:p>
            <w:pPr>
              <w:spacing w:before="20" w:after="20"/>
            </w:pPr>
            <w:r/>
            <w:r>
              <w:rPr>
                <w:rFonts w:ascii="Palatino Linotype" w:hAnsi="Palatino Linotype" w:eastAsia="Palatino Linotype"/>
                <w:b w:val="0"/>
                <w:i w:val="0"/>
                <w:sz w:val="18"/>
              </w:rPr>
              <w:t>Hover power</w:t>
            </w:r>
          </w:p>
        </w:tc>
        <w:tc>
          <w:tcPr>
            <w:tcW w:type="dxa" w:w="4986"/>
          </w:tcPr>
          <w:p>
            <w:pPr>
              <w:spacing w:before="20" w:after="20"/>
            </w:pPr>
            <w:r/>
            <w:r>
              <w:rPr>
                <w:rFonts w:ascii="Palatino Linotype" w:hAnsi="Palatino Linotype" w:eastAsia="Palatino Linotype"/>
                <w:b w:val="0"/>
                <w:i w:val="0"/>
                <w:sz w:val="18"/>
              </w:rPr>
              <w:t>10.9 kW</w:t>
            </w:r>
          </w:p>
        </w:tc>
      </w:tr>
      <w:tr>
        <w:trPr>
          <w:cantSplit/>
        </w:trPr>
        <w:tc>
          <w:tcPr>
            <w:tcW w:type="dxa" w:w="4986"/>
          </w:tcPr>
          <w:p>
            <w:pPr>
              <w:spacing w:before="20" w:after="20"/>
            </w:pPr>
            <w:r/>
            <w:r>
              <w:rPr>
                <w:rFonts w:ascii="Palatino Linotype" w:hAnsi="Palatino Linotype" w:eastAsia="Palatino Linotype"/>
                <w:b w:val="0"/>
                <w:i w:val="0"/>
                <w:sz w:val="18"/>
              </w:rPr>
              <w:t>Cruise power, electrical</w:t>
            </w:r>
          </w:p>
        </w:tc>
        <w:tc>
          <w:tcPr>
            <w:tcW w:type="dxa" w:w="4986"/>
          </w:tcPr>
          <w:p>
            <w:pPr>
              <w:spacing w:before="20" w:after="20"/>
            </w:pPr>
            <w:r/>
            <w:r>
              <w:rPr>
                <w:rFonts w:ascii="Palatino Linotype" w:hAnsi="Palatino Linotype" w:eastAsia="Palatino Linotype"/>
                <w:b w:val="0"/>
                <w:i w:val="0"/>
                <w:sz w:val="18"/>
              </w:rPr>
              <w:t>1.7 kW</w:t>
            </w:r>
          </w:p>
        </w:tc>
      </w:tr>
      <w:tr>
        <w:trPr>
          <w:cantSplit/>
        </w:trPr>
        <w:tc>
          <w:tcPr>
            <w:tcW w:type="dxa" w:w="4986"/>
          </w:tcPr>
          <w:p>
            <w:pPr>
              <w:spacing w:before="20" w:after="20"/>
            </w:pPr>
            <w:r/>
            <w:r>
              <w:rPr>
                <w:rFonts w:ascii="Palatino Linotype" w:hAnsi="Palatino Linotype" w:eastAsia="Palatino Linotype"/>
                <w:b w:val="0"/>
                <w:i w:val="0"/>
                <w:sz w:val="18"/>
              </w:rPr>
              <w:t>Engine rating</w:t>
            </w:r>
          </w:p>
        </w:tc>
        <w:tc>
          <w:tcPr>
            <w:tcW w:type="dxa" w:w="4986"/>
          </w:tcPr>
          <w:p>
            <w:pPr>
              <w:spacing w:before="20" w:after="20"/>
            </w:pPr>
            <w:r/>
            <w:r>
              <w:rPr>
                <w:rFonts w:ascii="Palatino Linotype" w:hAnsi="Palatino Linotype" w:eastAsia="Palatino Linotype"/>
                <w:b w:val="0"/>
                <w:i w:val="0"/>
                <w:sz w:val="18"/>
              </w:rPr>
              <w:t>2.6 kW</w:t>
            </w:r>
          </w:p>
        </w:tc>
      </w:tr>
      <w:tr>
        <w:trPr>
          <w:cantSplit/>
        </w:trPr>
        <w:tc>
          <w:tcPr>
            <w:tcW w:type="dxa" w:w="4986"/>
          </w:tcPr>
          <w:p>
            <w:pPr>
              <w:spacing w:before="20" w:after="20"/>
            </w:pPr>
            <w:r/>
            <w:r>
              <w:rPr>
                <w:rFonts w:ascii="Palatino Linotype" w:hAnsi="Palatino Linotype" w:eastAsia="Palatino Linotype"/>
                <w:b w:val="0"/>
                <w:i w:val="0"/>
                <w:sz w:val="18"/>
              </w:rPr>
              <w:t>Battery buffer</w:t>
            </w:r>
          </w:p>
        </w:tc>
        <w:tc>
          <w:tcPr>
            <w:tcW w:type="dxa" w:w="4986"/>
          </w:tcPr>
          <w:p>
            <w:pPr>
              <w:spacing w:before="20" w:after="20"/>
            </w:pPr>
            <w:r/>
            <w:r>
              <w:rPr>
                <w:rFonts w:ascii="Palatino Linotype" w:hAnsi="Palatino Linotype" w:eastAsia="Palatino Linotype"/>
                <w:b w:val="0"/>
                <w:i w:val="0"/>
                <w:sz w:val="18"/>
              </w:rPr>
              <w:t>1.8 kg (3.6 % MTOW)</w:t>
            </w:r>
          </w:p>
        </w:tc>
      </w:tr>
      <w:tr>
        <w:trPr>
          <w:cantSplit/>
        </w:trPr>
        <w:tc>
          <w:tcPr>
            <w:tcW w:type="dxa" w:w="4986"/>
          </w:tcPr>
          <w:p>
            <w:pPr>
              <w:spacing w:before="20" w:after="20"/>
            </w:pPr>
            <w:r/>
            <w:r>
              <w:rPr>
                <w:rFonts w:ascii="Palatino Linotype" w:hAnsi="Palatino Linotype" w:eastAsia="Palatino Linotype"/>
                <w:b w:val="0"/>
                <w:i w:val="0"/>
                <w:sz w:val="18"/>
              </w:rPr>
              <w:t>Fuel</w:t>
            </w:r>
          </w:p>
        </w:tc>
        <w:tc>
          <w:tcPr>
            <w:tcW w:type="dxa" w:w="4986"/>
          </w:tcPr>
          <w:p>
            <w:pPr>
              <w:spacing w:before="20" w:after="20"/>
            </w:pPr>
            <w:r/>
            <w:r>
              <w:rPr>
                <w:rFonts w:ascii="Palatino Linotype" w:hAnsi="Palatino Linotype" w:eastAsia="Palatino Linotype"/>
                <w:b w:val="0"/>
                <w:i w:val="0"/>
                <w:sz w:val="18"/>
              </w:rPr>
              <w:t>8 kg</w:t>
            </w:r>
          </w:p>
        </w:tc>
      </w:tr>
      <w:tr>
        <w:trPr>
          <w:cantSplit/>
        </w:trPr>
        <w:tc>
          <w:tcPr>
            <w:tcW w:type="dxa" w:w="4986"/>
          </w:tcPr>
          <w:p>
            <w:pPr>
              <w:spacing w:before="20" w:after="20"/>
            </w:pPr>
            <w:r/>
            <w:r>
              <w:rPr>
                <w:rFonts w:ascii="Palatino Linotype" w:hAnsi="Palatino Linotype" w:eastAsia="Palatino Linotype"/>
                <w:b/>
                <w:i w:val="0"/>
                <w:sz w:val="18"/>
              </w:rPr>
              <w:t>Endurance</w:t>
            </w:r>
          </w:p>
        </w:tc>
        <w:tc>
          <w:tcPr>
            <w:tcW w:type="dxa" w:w="4986"/>
          </w:tcPr>
          <w:p>
            <w:pPr>
              <w:spacing w:before="20" w:after="20"/>
            </w:pPr>
            <w:r/>
            <w:r>
              <w:rPr>
                <w:rFonts w:ascii="Palatino Linotype" w:hAnsi="Palatino Linotype" w:eastAsia="Palatino Linotype"/>
                <w:b/>
                <w:i w:val="0"/>
                <w:sz w:val="18"/>
              </w:rPr>
              <w:t>14.8 h</w:t>
            </w:r>
          </w:p>
        </w:tc>
      </w:tr>
      <w:tr>
        <w:trPr>
          <w:cantSplit/>
        </w:trPr>
        <w:tc>
          <w:tcPr>
            <w:tcW w:type="dxa" w:w="4986"/>
          </w:tcPr>
          <w:p>
            <w:pPr>
              <w:spacing w:before="20" w:after="20"/>
            </w:pPr>
            <w:r/>
            <w:r>
              <w:rPr>
                <w:rFonts w:ascii="Palatino Linotype" w:hAnsi="Palatino Linotype" w:eastAsia="Palatino Linotype"/>
                <w:b/>
                <w:i w:val="0"/>
                <w:sz w:val="18"/>
              </w:rPr>
              <w:t>Range</w:t>
            </w:r>
          </w:p>
        </w:tc>
        <w:tc>
          <w:tcPr>
            <w:tcW w:type="dxa" w:w="4986"/>
          </w:tcPr>
          <w:p>
            <w:pPr>
              <w:spacing w:before="20" w:after="20"/>
            </w:pPr>
            <w:r/>
            <w:r>
              <w:rPr>
                <w:rFonts w:ascii="Palatino Linotype" w:hAnsi="Palatino Linotype" w:eastAsia="Palatino Linotype"/>
                <w:b/>
                <w:i w:val="0"/>
                <w:sz w:val="18"/>
              </w:rPr>
              <w:t>1 598 km</w:t>
            </w:r>
          </w:p>
        </w:tc>
      </w:tr>
      <w:tr>
        <w:trPr>
          <w:cantSplit/>
        </w:trPr>
        <w:tc>
          <w:tcPr>
            <w:tcW w:type="dxa" w:w="4986"/>
          </w:tcPr>
          <w:p>
            <w:pPr>
              <w:spacing w:before="20" w:after="20"/>
            </w:pPr>
            <w:r/>
            <w:r>
              <w:rPr>
                <w:rFonts w:ascii="Palatino Linotype" w:hAnsi="Palatino Linotype" w:eastAsia="Palatino Linotype"/>
                <w:b w:val="0"/>
                <w:i w:val="0"/>
                <w:sz w:val="18"/>
              </w:rPr>
              <w:t>Transition time</w:t>
            </w:r>
          </w:p>
        </w:tc>
        <w:tc>
          <w:tcPr>
            <w:tcW w:type="dxa" w:w="4986"/>
          </w:tcPr>
          <w:p>
            <w:pPr>
              <w:spacing w:before="20" w:after="20"/>
            </w:pPr>
            <w:r/>
            <w:r>
              <w:rPr>
                <w:rFonts w:ascii="Palatino Linotype" w:hAnsi="Palatino Linotype" w:eastAsia="Palatino Linotype"/>
                <w:b w:val="0"/>
                <w:i w:val="0"/>
                <w:sz w:val="18"/>
              </w:rPr>
              <w:t>2 s</w:t>
            </w:r>
          </w:p>
        </w:tc>
      </w:tr>
    </w:tbl>
    <w:p/>
    <w:p>
      <w:pPr>
        <w:spacing w:before="0" w:after="80" w:line="240" w:lineRule="auto"/>
        <w:jc w:val="both"/>
      </w:pPr>
      <w:r>
        <w:rPr>
          <w:rFonts w:ascii="Palatino Linotype" w:hAnsi="Palatino Linotype" w:eastAsia="Palatino Linotype"/>
          <w:b/>
          <w:i w:val="0"/>
          <w:sz w:val="20"/>
        </w:rPr>
        <w:t>The four cruise quantities in that table are computed at a single assumed zero-lift drag coefficient, and Supplementary S1 brackets that coefficient by calculation.</w:t>
      </w:r>
      <w:r>
        <w:rPr>
          <w:rFonts w:ascii="Palatino Linotype" w:hAnsi="Palatino Linotype" w:eastAsia="Palatino Linotype"/>
          <w:b w:val="0"/>
          <w:i w:val="0"/>
          <w:sz w:val="20"/>
        </w:rPr>
        <w:t xml:space="preserve"> The bracket is 0.0285 to 0.0381 and the assumed 0.0248 lies below both ends, so the table is optimistic rather than central. Re-solving the same sizing loop across the bracket — same wing and disc loading, same fuel fraction, same mass model, only the drag changed (Table 12):</w:t>
      </w:r>
    </w:p>
    <w:p>
      <w:pPr>
        <w:spacing w:before="0" w:after="80" w:line="240" w:lineRule="auto"/>
        <w:jc w:val="both"/>
        <w:keepNext/>
      </w:pPr>
      <w:r>
        <w:rPr>
          <w:rFonts w:ascii="Palatino Linotype" w:hAnsi="Palatino Linotype" w:eastAsia="Palatino Linotype"/>
          <w:b/>
          <w:i w:val="0"/>
          <w:sz w:val="20"/>
        </w:rPr>
        <w:t>Table 12.</w:t>
      </w:r>
      <w:r>
        <w:rPr>
          <w:rFonts w:ascii="Palatino Linotype" w:hAnsi="Palatino Linotype" w:eastAsia="Palatino Linotype"/>
          <w:b w:val="0"/>
          <w:i w:val="0"/>
          <w:sz w:val="20"/>
        </w:rPr>
        <w:t xml:space="preserve"> The light reference design re-solved across the zero-lift drag bracket.</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Assumption</w:t>
            </w:r>
          </w:p>
        </w:tc>
        <w:tc>
          <w:tcPr>
            <w:tcW w:type="dxa" w:w="2493"/>
          </w:tcPr>
          <w:p>
            <w:pPr>
              <w:spacing w:before="20" w:after="20"/>
            </w:pPr>
            <w:r/>
            <w:r>
              <w:rPr>
                <w:rFonts w:ascii="Palatino Linotype" w:hAnsi="Palatino Linotype" w:eastAsia="Palatino Linotype"/>
                <w:b/>
                <w:i w:val="0"/>
                <w:sz w:val="18"/>
              </w:rPr>
              <w:t>Favourable end</w:t>
            </w:r>
          </w:p>
        </w:tc>
        <w:tc>
          <w:tcPr>
            <w:tcW w:type="dxa" w:w="2493"/>
          </w:tcPr>
          <w:p>
            <w:pPr>
              <w:spacing w:before="20" w:after="20"/>
            </w:pPr>
            <w:r/>
            <w:r>
              <w:rPr>
                <w:rFonts w:ascii="Palatino Linotype" w:hAnsi="Palatino Linotype" w:eastAsia="Palatino Linotype"/>
                <w:b/>
                <w:i w:val="0"/>
                <w:sz w:val="18"/>
              </w:rPr>
              <w:t>Adverse end</w:t>
            </w:r>
          </w:p>
        </w:tc>
      </w:tr>
      <w:tr>
        <w:trPr>
          <w:cantSplit/>
        </w:trPr>
        <w:tc>
          <w:tcPr>
            <w:tcW w:type="dxa" w:w="2493"/>
          </w:tcPr>
          <w:p>
            <w:pPr>
              <w:spacing w:before="20" w:after="20"/>
            </w:pPr>
            <w:r/>
            <w:r>
              <w:rPr>
                <w:rFonts w:ascii="Palatino Linotype" w:hAnsi="Palatino Linotype" w:eastAsia="Palatino Linotype"/>
                <w:b w:val="0"/>
                <w:i w:val="0"/>
                <w:sz w:val="18"/>
              </w:rPr>
              <w:t>Zero-lift drag coefficient</w:t>
            </w:r>
          </w:p>
        </w:tc>
        <w:tc>
          <w:tcPr>
            <w:tcW w:type="dxa" w:w="2493"/>
          </w:tcPr>
          <w:p>
            <w:pPr>
              <w:spacing w:before="20" w:after="20"/>
            </w:pPr>
            <w:r/>
            <w:r>
              <w:rPr>
                <w:rFonts w:ascii="Palatino Linotype" w:hAnsi="Palatino Linotype" w:eastAsia="Palatino Linotype"/>
                <w:b w:val="0"/>
                <w:i w:val="0"/>
                <w:sz w:val="18"/>
              </w:rPr>
              <w:t>0.0248</w:t>
            </w:r>
          </w:p>
        </w:tc>
        <w:tc>
          <w:tcPr>
            <w:tcW w:type="dxa" w:w="2493"/>
          </w:tcPr>
          <w:p>
            <w:pPr>
              <w:spacing w:before="20" w:after="20"/>
            </w:pPr>
            <w:r/>
            <w:r>
              <w:rPr>
                <w:rFonts w:ascii="Palatino Linotype" w:hAnsi="Palatino Linotype" w:eastAsia="Palatino Linotype"/>
                <w:b w:val="0"/>
                <w:i w:val="0"/>
                <w:sz w:val="18"/>
              </w:rPr>
              <w:t>0.0285</w:t>
            </w:r>
          </w:p>
        </w:tc>
        <w:tc>
          <w:tcPr>
            <w:tcW w:type="dxa" w:w="2493"/>
          </w:tcPr>
          <w:p>
            <w:pPr>
              <w:spacing w:before="20" w:after="20"/>
            </w:pPr>
            <w:r/>
            <w:r>
              <w:rPr>
                <w:rFonts w:ascii="Palatino Linotype" w:hAnsi="Palatino Linotype" w:eastAsia="Palatino Linotype"/>
                <w:b w:val="0"/>
                <w:i w:val="0"/>
                <w:sz w:val="18"/>
              </w:rPr>
              <w:t>0.0381</w:t>
            </w:r>
          </w:p>
        </w:tc>
      </w:tr>
      <w:tr>
        <w:trPr>
          <w:cantSplit/>
        </w:trPr>
        <w:tc>
          <w:tcPr>
            <w:tcW w:type="dxa" w:w="2493"/>
          </w:tcPr>
          <w:p>
            <w:pPr>
              <w:spacing w:before="20" w:after="20"/>
            </w:pPr>
            <w:r/>
            <w:r>
              <w:rPr>
                <w:rFonts w:ascii="Palatino Linotype" w:hAnsi="Palatino Linotype" w:eastAsia="Palatino Linotype"/>
                <w:b w:val="0"/>
                <w:i w:val="0"/>
                <w:sz w:val="18"/>
              </w:rPr>
              <w:t>Cruise L/D</w:t>
            </w:r>
          </w:p>
        </w:tc>
        <w:tc>
          <w:tcPr>
            <w:tcW w:type="dxa" w:w="2493"/>
          </w:tcPr>
          <w:p>
            <w:pPr>
              <w:spacing w:before="20" w:after="20"/>
            </w:pPr>
            <w:r/>
            <w:r>
              <w:rPr>
                <w:rFonts w:ascii="Palatino Linotype" w:hAnsi="Palatino Linotype" w:eastAsia="Palatino Linotype"/>
                <w:b w:val="0"/>
                <w:i w:val="0"/>
                <w:sz w:val="18"/>
              </w:rPr>
              <w:t>11.88</w:t>
            </w:r>
          </w:p>
        </w:tc>
        <w:tc>
          <w:tcPr>
            <w:tcW w:type="dxa" w:w="2493"/>
          </w:tcPr>
          <w:p>
            <w:pPr>
              <w:spacing w:before="20" w:after="20"/>
            </w:pPr>
            <w:r/>
            <w:r>
              <w:rPr>
                <w:rFonts w:ascii="Palatino Linotype" w:hAnsi="Palatino Linotype" w:eastAsia="Palatino Linotype"/>
                <w:b w:val="0"/>
                <w:i w:val="0"/>
                <w:sz w:val="18"/>
              </w:rPr>
              <w:t>10.82</w:t>
            </w:r>
          </w:p>
        </w:tc>
        <w:tc>
          <w:tcPr>
            <w:tcW w:type="dxa" w:w="2493"/>
          </w:tcPr>
          <w:p>
            <w:pPr>
              <w:spacing w:before="20" w:after="20"/>
            </w:pPr>
            <w:r/>
            <w:r>
              <w:rPr>
                <w:rFonts w:ascii="Palatino Linotype" w:hAnsi="Palatino Linotype" w:eastAsia="Palatino Linotype"/>
                <w:b/>
                <w:i w:val="0"/>
                <w:sz w:val="18"/>
              </w:rPr>
              <w:t>8.80</w:t>
            </w:r>
          </w:p>
        </w:tc>
      </w:tr>
      <w:tr>
        <w:trPr>
          <w:cantSplit/>
        </w:trPr>
        <w:tc>
          <w:tcPr>
            <w:tcW w:type="dxa" w:w="2493"/>
          </w:tcPr>
          <w:p>
            <w:pPr>
              <w:spacing w:before="20" w:after="20"/>
            </w:pPr>
            <w:r/>
            <w:r>
              <w:rPr>
                <w:rFonts w:ascii="Palatino Linotype" w:hAnsi="Palatino Linotype" w:eastAsia="Palatino Linotype"/>
                <w:b w:val="0"/>
                <w:i w:val="0"/>
                <w:sz w:val="18"/>
              </w:rPr>
              <w:t>Cruise power, electrical</w:t>
            </w:r>
          </w:p>
        </w:tc>
        <w:tc>
          <w:tcPr>
            <w:tcW w:type="dxa" w:w="2493"/>
          </w:tcPr>
          <w:p>
            <w:pPr>
              <w:spacing w:before="20" w:after="20"/>
            </w:pPr>
            <w:r/>
            <w:r>
              <w:rPr>
                <w:rFonts w:ascii="Palatino Linotype" w:hAnsi="Palatino Linotype" w:eastAsia="Palatino Linotype"/>
                <w:b w:val="0"/>
                <w:i w:val="0"/>
                <w:sz w:val="18"/>
              </w:rPr>
              <w:t>1.72 kW</w:t>
            </w:r>
          </w:p>
        </w:tc>
        <w:tc>
          <w:tcPr>
            <w:tcW w:type="dxa" w:w="2493"/>
          </w:tcPr>
          <w:p>
            <w:pPr>
              <w:spacing w:before="20" w:after="20"/>
            </w:pPr>
            <w:r/>
            <w:r>
              <w:rPr>
                <w:rFonts w:ascii="Palatino Linotype" w:hAnsi="Palatino Linotype" w:eastAsia="Palatino Linotype"/>
                <w:b w:val="0"/>
                <w:i w:val="0"/>
                <w:sz w:val="18"/>
              </w:rPr>
              <w:t>1.93 kW</w:t>
            </w:r>
          </w:p>
        </w:tc>
        <w:tc>
          <w:tcPr>
            <w:tcW w:type="dxa" w:w="2493"/>
          </w:tcPr>
          <w:p>
            <w:pPr>
              <w:spacing w:before="20" w:after="20"/>
            </w:pPr>
            <w:r/>
            <w:r>
              <w:rPr>
                <w:rFonts w:ascii="Palatino Linotype" w:hAnsi="Palatino Linotype" w:eastAsia="Palatino Linotype"/>
                <w:b/>
                <w:i w:val="0"/>
                <w:sz w:val="18"/>
              </w:rPr>
              <w:t>2.50 kW</w:t>
            </w:r>
          </w:p>
        </w:tc>
      </w:tr>
      <w:tr>
        <w:trPr>
          <w:cantSplit/>
        </w:trPr>
        <w:tc>
          <w:tcPr>
            <w:tcW w:type="dxa" w:w="2493"/>
          </w:tcPr>
          <w:p>
            <w:pPr>
              <w:spacing w:before="20" w:after="20"/>
            </w:pPr>
            <w:r/>
            <w:r>
              <w:rPr>
                <w:rFonts w:ascii="Palatino Linotype" w:hAnsi="Palatino Linotype" w:eastAsia="Palatino Linotype"/>
                <w:b w:val="0"/>
                <w:i w:val="0"/>
                <w:sz w:val="18"/>
              </w:rPr>
              <w:t>Take-off mass</w:t>
            </w:r>
          </w:p>
        </w:tc>
        <w:tc>
          <w:tcPr>
            <w:tcW w:type="dxa" w:w="2493"/>
          </w:tcPr>
          <w:p>
            <w:pPr>
              <w:spacing w:before="20" w:after="20"/>
            </w:pPr>
            <w:r/>
            <w:r>
              <w:rPr>
                <w:rFonts w:ascii="Palatino Linotype" w:hAnsi="Palatino Linotype" w:eastAsia="Palatino Linotype"/>
                <w:b w:val="0"/>
                <w:i w:val="0"/>
                <w:sz w:val="18"/>
              </w:rPr>
              <w:t>50.1 kg</w:t>
            </w:r>
          </w:p>
        </w:tc>
        <w:tc>
          <w:tcPr>
            <w:tcW w:type="dxa" w:w="2493"/>
          </w:tcPr>
          <w:p>
            <w:pPr>
              <w:spacing w:before="20" w:after="20"/>
            </w:pPr>
            <w:r/>
            <w:r>
              <w:rPr>
                <w:rFonts w:ascii="Palatino Linotype" w:hAnsi="Palatino Linotype" w:eastAsia="Palatino Linotype"/>
                <w:b w:val="0"/>
                <w:i w:val="0"/>
                <w:sz w:val="18"/>
              </w:rPr>
              <w:t>51.1 kg</w:t>
            </w:r>
          </w:p>
        </w:tc>
        <w:tc>
          <w:tcPr>
            <w:tcW w:type="dxa" w:w="2493"/>
          </w:tcPr>
          <w:p>
            <w:pPr>
              <w:spacing w:before="20" w:after="20"/>
            </w:pPr>
            <w:r/>
            <w:r>
              <w:rPr>
                <w:rFonts w:ascii="Palatino Linotype" w:hAnsi="Palatino Linotype" w:eastAsia="Palatino Linotype"/>
                <w:b w:val="0"/>
                <w:i w:val="0"/>
                <w:sz w:val="18"/>
              </w:rPr>
              <w:t>53.9 kg</w:t>
            </w:r>
          </w:p>
        </w:tc>
      </w:tr>
      <w:tr>
        <w:trPr>
          <w:cantSplit/>
        </w:trPr>
        <w:tc>
          <w:tcPr>
            <w:tcW w:type="dxa" w:w="2493"/>
          </w:tcPr>
          <w:p>
            <w:pPr>
              <w:spacing w:before="20" w:after="20"/>
            </w:pPr>
            <w:r/>
            <w:r>
              <w:rPr>
                <w:rFonts w:ascii="Palatino Linotype" w:hAnsi="Palatino Linotype" w:eastAsia="Palatino Linotype"/>
                <w:b w:val="0"/>
                <w:i w:val="0"/>
                <w:sz w:val="18"/>
              </w:rPr>
              <w:t>Endurance</w:t>
            </w:r>
          </w:p>
        </w:tc>
        <w:tc>
          <w:tcPr>
            <w:tcW w:type="dxa" w:w="2493"/>
          </w:tcPr>
          <w:p>
            <w:pPr>
              <w:spacing w:before="20" w:after="20"/>
            </w:pPr>
            <w:r/>
            <w:r>
              <w:rPr>
                <w:rFonts w:ascii="Palatino Linotype" w:hAnsi="Palatino Linotype" w:eastAsia="Palatino Linotype"/>
                <w:b w:val="0"/>
                <w:i w:val="0"/>
                <w:sz w:val="18"/>
              </w:rPr>
              <w:t>14.7 h</w:t>
            </w:r>
          </w:p>
        </w:tc>
        <w:tc>
          <w:tcPr>
            <w:tcW w:type="dxa" w:w="2493"/>
          </w:tcPr>
          <w:p>
            <w:pPr>
              <w:spacing w:before="20" w:after="20"/>
            </w:pPr>
            <w:r/>
            <w:r>
              <w:rPr>
                <w:rFonts w:ascii="Palatino Linotype" w:hAnsi="Palatino Linotype" w:eastAsia="Palatino Linotype"/>
                <w:b w:val="0"/>
                <w:i w:val="0"/>
                <w:sz w:val="18"/>
              </w:rPr>
              <w:t>13.4 h</w:t>
            </w:r>
          </w:p>
        </w:tc>
        <w:tc>
          <w:tcPr>
            <w:tcW w:type="dxa" w:w="2493"/>
          </w:tcPr>
          <w:p>
            <w:pPr>
              <w:spacing w:before="20" w:after="20"/>
            </w:pPr>
            <w:r/>
            <w:r>
              <w:rPr>
                <w:rFonts w:ascii="Palatino Linotype" w:hAnsi="Palatino Linotype" w:eastAsia="Palatino Linotype"/>
                <w:b/>
                <w:i w:val="0"/>
                <w:sz w:val="18"/>
              </w:rPr>
              <w:t>10.9 h</w:t>
            </w:r>
          </w:p>
        </w:tc>
      </w:tr>
      <w:tr>
        <w:trPr>
          <w:cantSplit/>
        </w:trPr>
        <w:tc>
          <w:tcPr>
            <w:tcW w:type="dxa" w:w="2493"/>
          </w:tcPr>
          <w:p>
            <w:pPr>
              <w:spacing w:before="20" w:after="20"/>
            </w:pPr>
            <w:r/>
            <w:r>
              <w:rPr>
                <w:rFonts w:ascii="Palatino Linotype" w:hAnsi="Palatino Linotype" w:eastAsia="Palatino Linotype"/>
                <w:b/>
                <w:i w:val="0"/>
                <w:sz w:val="18"/>
              </w:rPr>
              <w:t>Range</w:t>
            </w:r>
          </w:p>
        </w:tc>
        <w:tc>
          <w:tcPr>
            <w:tcW w:type="dxa" w:w="2493"/>
          </w:tcPr>
          <w:p>
            <w:pPr>
              <w:spacing w:before="20" w:after="20"/>
            </w:pPr>
            <w:r/>
            <w:r>
              <w:rPr>
                <w:rFonts w:ascii="Palatino Linotype" w:hAnsi="Palatino Linotype" w:eastAsia="Palatino Linotype"/>
                <w:b/>
                <w:i w:val="0"/>
                <w:sz w:val="18"/>
              </w:rPr>
              <w:t>1 583 km</w:t>
            </w:r>
          </w:p>
        </w:tc>
        <w:tc>
          <w:tcPr>
            <w:tcW w:type="dxa" w:w="2493"/>
          </w:tcPr>
          <w:p>
            <w:pPr>
              <w:spacing w:before="20" w:after="20"/>
            </w:pPr>
            <w:r/>
            <w:r>
              <w:rPr>
                <w:rFonts w:ascii="Palatino Linotype" w:hAnsi="Palatino Linotype" w:eastAsia="Palatino Linotype"/>
                <w:b/>
                <w:i w:val="0"/>
                <w:sz w:val="18"/>
              </w:rPr>
              <w:t>1 442 km</w:t>
            </w:r>
          </w:p>
        </w:tc>
        <w:tc>
          <w:tcPr>
            <w:tcW w:type="dxa" w:w="2493"/>
          </w:tcPr>
          <w:p>
            <w:pPr>
              <w:spacing w:before="20" w:after="20"/>
            </w:pPr>
            <w:r/>
            <w:r>
              <w:rPr>
                <w:rFonts w:ascii="Palatino Linotype" w:hAnsi="Palatino Linotype" w:eastAsia="Palatino Linotype"/>
                <w:b/>
                <w:i w:val="0"/>
                <w:sz w:val="18"/>
              </w:rPr>
              <w:t>1 173 km</w:t>
            </w:r>
          </w:p>
        </w:tc>
      </w:tr>
    </w:tbl>
    <w:p/>
    <w:p>
      <w:pPr>
        <w:spacing w:before="0" w:after="80" w:line="240" w:lineRule="auto"/>
        <w:jc w:val="both"/>
      </w:pPr>
      <w:r>
        <w:rPr>
          <w:rFonts w:ascii="Palatino Linotype" w:hAnsi="Palatino Linotype" w:eastAsia="Palatino Linotype"/>
          <w:b w:val="0"/>
          <w:i w:val="0"/>
          <w:sz w:val="20"/>
        </w:rPr>
        <w:t>At the published assumption the loop returns 50.1 kg and 1 583 km against the 50 kg and 1 598 km in the table above, which is the check that the sweep and the original sizing are the same calculation rather than two.</w:t>
      </w:r>
    </w:p>
    <w:p>
      <w:pPr>
        <w:spacing w:before="0" w:after="80" w:line="240" w:lineRule="auto"/>
        <w:jc w:val="both"/>
      </w:pPr>
      <w:r>
        <w:rPr>
          <w:rFonts w:ascii="Palatino Linotype" w:hAnsi="Palatino Linotype" w:eastAsia="Palatino Linotype"/>
          <w:b/>
          <w:i w:val="0"/>
          <w:sz w:val="20"/>
        </w:rPr>
        <w:t>The honest figure for this design is a range of 1 173 to 1 442 km, not 1 598.</w:t>
      </w:r>
      <w:r>
        <w:rPr>
          <w:rFonts w:ascii="Palatino Linotype" w:hAnsi="Palatino Linotype" w:eastAsia="Palatino Linotype"/>
          <w:b w:val="0"/>
          <w:i w:val="0"/>
          <w:sz w:val="20"/>
        </w:rPr>
        <w:t xml:space="preserve"> Nothing else in the table moves: the geometry, the loadings, the hover power and the transition time are all set by mass and disc area, none of which the drag coefficient touches. What moves is every quantity that passes through cruise efficiency, and those are the four in bold.</w:t>
      </w:r>
    </w:p>
    <w:p>
      <w:pPr>
        <w:spacing w:before="0" w:after="80" w:line="240" w:lineRule="auto"/>
        <w:jc w:val="both"/>
      </w:pPr>
      <w:r>
        <w:rPr>
          <w:rFonts w:ascii="Palatino Linotype" w:hAnsi="Palatino Linotype" w:eastAsia="Palatino Linotype"/>
          <w:b w:val="0"/>
          <w:i w:val="0"/>
          <w:sz w:val="20"/>
        </w:rPr>
        <w:t xml:space="preserve">The mass budget behind this — 30 % structure, 16 % propulsion chain, 4 % battery, 8 % avionics and control, 16 % fuel, leaving 26 %, or 13 kg, for payload — is the allowance the design is sized against, and it is asserted here rather than derived. Section 3.11 rebuilds it from components and finds it can be met, with 2.2 kg in hand, on one condition that is not demonstrated: a structural areal density no greater than 1.78 kg m⁻². Paper aircraft are habitually lighter than the ones that get built, and no allowance for that has been paid in this table beyond the contingency inside the build-up. Section 4.4 keeps the areal density as the most likely place for the </w:t>
      </w:r>
      <w:r>
        <w:rPr>
          <w:rFonts w:ascii="Palatino Linotype" w:hAnsi="Palatino Linotype" w:eastAsia="Palatino Linotype"/>
          <w:b w:val="0"/>
          <w:i/>
          <w:sz w:val="20"/>
        </w:rPr>
        <w:t>structural</w:t>
      </w:r>
      <w:r>
        <w:rPr>
          <w:rFonts w:ascii="Palatino Linotype" w:hAnsi="Palatino Linotype" w:eastAsia="Palatino Linotype"/>
          <w:b w:val="0"/>
          <w:i w:val="0"/>
          <w:sz w:val="20"/>
        </w:rPr>
        <w:t xml:space="preserve"> numbers to be wrong, and identifies the battery buffer's specific power — not the structure — as the most exposed number in the paper.</w:t>
      </w:r>
    </w:p>
    <w:p>
      <w:pPr>
        <w:spacing w:before="200" w:after="80"/>
      </w:pPr>
      <w:r>
        <w:rPr>
          <w:rFonts w:ascii="Palatino Linotype" w:hAnsi="Palatino Linotype" w:eastAsia="Palatino Linotype"/>
          <w:b/>
          <w:i w:val="0"/>
          <w:sz w:val="22"/>
        </w:rPr>
        <w:t>3.8 Heavy reference design — 1000 kg</w:t>
      </w:r>
    </w:p>
    <w:p>
      <w:pPr>
        <w:spacing w:before="0" w:after="80" w:line="240" w:lineRule="auto"/>
        <w:jc w:val="both"/>
      </w:pPr>
      <w:r>
        <w:rPr>
          <w:rFonts w:ascii="Palatino Linotype" w:hAnsi="Palatino Linotype" w:eastAsia="Palatino Linotype"/>
          <w:b w:val="0"/>
          <w:i w:val="0"/>
          <w:sz w:val="20"/>
        </w:rPr>
        <w:t>Table 13 gives the design.</w:t>
      </w:r>
    </w:p>
    <w:p>
      <w:pPr>
        <w:spacing w:before="0" w:after="80" w:line="240" w:lineRule="auto"/>
        <w:jc w:val="both"/>
        <w:keepNext/>
      </w:pPr>
      <w:r>
        <w:rPr>
          <w:rFonts w:ascii="Palatino Linotype" w:hAnsi="Palatino Linotype" w:eastAsia="Palatino Linotype"/>
          <w:b/>
          <w:i w:val="0"/>
          <w:sz w:val="20"/>
        </w:rPr>
        <w:t>Table 13.</w:t>
      </w:r>
      <w:r>
        <w:rPr>
          <w:rFonts w:ascii="Palatino Linotype" w:hAnsi="Palatino Linotype" w:eastAsia="Palatino Linotype"/>
          <w:b w:val="0"/>
          <w:i w:val="0"/>
          <w:sz w:val="20"/>
        </w:rPr>
        <w:t xml:space="preserve"> The heavy reference design, 1000 kg.</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r>
              <w:rPr>
                <w:rFonts w:ascii="Palatino Linotype" w:hAnsi="Palatino Linotype" w:eastAsia="Palatino Linotype"/>
                <w:b/>
                <w:i w:val="0"/>
                <w:sz w:val="18"/>
              </w:rPr>
              <w:t>Quantity</w:t>
            </w:r>
          </w:p>
        </w:tc>
        <w:tc>
          <w:tcPr>
            <w:tcW w:type="dxa" w:w="4986"/>
          </w:tcPr>
          <w:p>
            <w:pPr>
              <w:spacing w:before="20" w:after="20"/>
            </w:pPr>
            <w:r/>
            <w:r>
              <w:rPr>
                <w:rFonts w:ascii="Palatino Linotype" w:hAnsi="Palatino Linotype" w:eastAsia="Palatino Linotype"/>
                <w:b/>
                <w:i w:val="0"/>
                <w:sz w:val="18"/>
              </w:rPr>
              <w:t>Value</w:t>
            </w:r>
          </w:p>
        </w:tc>
      </w:tr>
      <w:tr>
        <w:trPr>
          <w:cantSplit/>
        </w:trPr>
        <w:tc>
          <w:tcPr>
            <w:tcW w:type="dxa" w:w="4986"/>
          </w:tcPr>
          <w:p>
            <w:pPr>
              <w:spacing w:before="20" w:after="20"/>
            </w:pPr>
            <w:r/>
            <w:r>
              <w:rPr>
                <w:rFonts w:ascii="Palatino Linotype" w:hAnsi="Palatino Linotype" w:eastAsia="Palatino Linotype"/>
                <w:b w:val="0"/>
                <w:i w:val="0"/>
                <w:sz w:val="18"/>
              </w:rPr>
              <w:t>Maximum take-off mass</w:t>
            </w:r>
          </w:p>
        </w:tc>
        <w:tc>
          <w:tcPr>
            <w:tcW w:type="dxa" w:w="4986"/>
          </w:tcPr>
          <w:p>
            <w:pPr>
              <w:spacing w:before="20" w:after="20"/>
            </w:pPr>
            <w:r/>
            <w:r>
              <w:rPr>
                <w:rFonts w:ascii="Palatino Linotype" w:hAnsi="Palatino Linotype" w:eastAsia="Palatino Linotype"/>
                <w:b w:val="0"/>
                <w:i w:val="0"/>
                <w:sz w:val="18"/>
              </w:rPr>
              <w:t>1000 kg</w:t>
            </w:r>
          </w:p>
        </w:tc>
      </w:tr>
      <w:tr>
        <w:trPr>
          <w:cantSplit/>
        </w:trPr>
        <w:tc>
          <w:tcPr>
            <w:tcW w:type="dxa" w:w="4986"/>
          </w:tcPr>
          <w:p>
            <w:pPr>
              <w:spacing w:before="20" w:after="20"/>
            </w:pPr>
            <w:r/>
            <w:r>
              <w:rPr>
                <w:rFonts w:ascii="Palatino Linotype" w:hAnsi="Palatino Linotype" w:eastAsia="Palatino Linotype"/>
                <w:b w:val="0"/>
                <w:i w:val="0"/>
                <w:sz w:val="18"/>
              </w:rPr>
              <w:t>Root chord</w:t>
            </w:r>
          </w:p>
        </w:tc>
        <w:tc>
          <w:tcPr>
            <w:tcW w:type="dxa" w:w="4986"/>
          </w:tcPr>
          <w:p>
            <w:pPr>
              <w:spacing w:before="20" w:after="20"/>
            </w:pPr>
            <w:r/>
            <w:r>
              <w:rPr>
                <w:rFonts w:ascii="Palatino Linotype" w:hAnsi="Palatino Linotype" w:eastAsia="Palatino Linotype"/>
                <w:b w:val="0"/>
                <w:i w:val="0"/>
                <w:sz w:val="18"/>
              </w:rPr>
              <w:t>3.25 m</w:t>
            </w:r>
          </w:p>
        </w:tc>
      </w:tr>
      <w:tr>
        <w:trPr>
          <w:cantSplit/>
        </w:trPr>
        <w:tc>
          <w:tcPr>
            <w:tcW w:type="dxa" w:w="4986"/>
          </w:tcPr>
          <w:p>
            <w:pPr>
              <w:spacing w:before="20" w:after="20"/>
            </w:pPr>
            <w:r/>
            <w:r>
              <w:rPr>
                <w:rFonts w:ascii="Palatino Linotype" w:hAnsi="Palatino Linotype" w:eastAsia="Palatino Linotype"/>
                <w:b w:val="0"/>
                <w:i w:val="0"/>
                <w:sz w:val="18"/>
              </w:rPr>
              <w:t>Span</w:t>
            </w:r>
          </w:p>
        </w:tc>
        <w:tc>
          <w:tcPr>
            <w:tcW w:type="dxa" w:w="4986"/>
          </w:tcPr>
          <w:p>
            <w:pPr>
              <w:spacing w:before="20" w:after="20"/>
            </w:pPr>
            <w:r/>
            <w:r>
              <w:rPr>
                <w:rFonts w:ascii="Palatino Linotype" w:hAnsi="Palatino Linotype" w:eastAsia="Palatino Linotype"/>
                <w:b w:val="0"/>
                <w:i w:val="0"/>
                <w:sz w:val="18"/>
              </w:rPr>
              <w:t>11.55 m</w:t>
            </w:r>
          </w:p>
        </w:tc>
      </w:tr>
      <w:tr>
        <w:trPr>
          <w:cantSplit/>
        </w:trPr>
        <w:tc>
          <w:tcPr>
            <w:tcW w:type="dxa" w:w="4986"/>
          </w:tcPr>
          <w:p>
            <w:pPr>
              <w:spacing w:before="20" w:after="20"/>
            </w:pPr>
            <w:r/>
            <w:r>
              <w:rPr>
                <w:rFonts w:ascii="Palatino Linotype" w:hAnsi="Palatino Linotype" w:eastAsia="Palatino Linotype"/>
                <w:b w:val="0"/>
                <w:i w:val="0"/>
                <w:sz w:val="18"/>
              </w:rPr>
              <w:t>Wing area</w:t>
            </w:r>
          </w:p>
        </w:tc>
        <w:tc>
          <w:tcPr>
            <w:tcW w:type="dxa" w:w="4986"/>
          </w:tcPr>
          <w:p>
            <w:pPr>
              <w:spacing w:before="20" w:after="20"/>
            </w:pPr>
            <w:r/>
            <w:r>
              <w:rPr>
                <w:rFonts w:ascii="Palatino Linotype" w:hAnsi="Palatino Linotype" w:eastAsia="Palatino Linotype"/>
                <w:b w:val="0"/>
                <w:i w:val="0"/>
                <w:sz w:val="18"/>
              </w:rPr>
              <w:t>22.24 m²</w:t>
            </w:r>
          </w:p>
        </w:tc>
      </w:tr>
      <w:tr>
        <w:trPr>
          <w:cantSplit/>
        </w:trPr>
        <w:tc>
          <w:tcPr>
            <w:tcW w:type="dxa" w:w="4986"/>
          </w:tcPr>
          <w:p>
            <w:pPr>
              <w:spacing w:before="20" w:after="20"/>
            </w:pPr>
            <w:r/>
            <w:r>
              <w:rPr>
                <w:rFonts w:ascii="Palatino Linotype" w:hAnsi="Palatino Linotype" w:eastAsia="Palatino Linotype"/>
                <w:b w:val="0"/>
                <w:i w:val="0"/>
                <w:sz w:val="18"/>
              </w:rPr>
              <w:t>Wing loading</w:t>
            </w:r>
          </w:p>
        </w:tc>
        <w:tc>
          <w:tcPr>
            <w:tcW w:type="dxa" w:w="4986"/>
          </w:tcPr>
          <w:p>
            <w:pPr>
              <w:spacing w:before="20" w:after="20"/>
            </w:pPr>
            <w:r/>
            <w:r>
              <w:rPr>
                <w:rFonts w:ascii="Palatino Linotype" w:hAnsi="Palatino Linotype" w:eastAsia="Palatino Linotype"/>
                <w:b w:val="0"/>
                <w:i w:val="0"/>
                <w:sz w:val="18"/>
              </w:rPr>
              <w:t>45.0 kg m⁻²</w:t>
            </w:r>
          </w:p>
        </w:tc>
      </w:tr>
      <w:tr>
        <w:trPr>
          <w:cantSplit/>
        </w:trPr>
        <w:tc>
          <w:tcPr>
            <w:tcW w:type="dxa" w:w="4986"/>
          </w:tcPr>
          <w:p>
            <w:pPr>
              <w:spacing w:before="20" w:after="20"/>
            </w:pPr>
            <w:r/>
            <w:r>
              <w:rPr>
                <w:rFonts w:ascii="Palatino Linotype" w:hAnsi="Palatino Linotype" w:eastAsia="Palatino Linotype"/>
                <w:b w:val="0"/>
                <w:i w:val="0"/>
                <w:sz w:val="18"/>
              </w:rPr>
              <w:t>Main propeller diameter</w:t>
            </w:r>
          </w:p>
        </w:tc>
        <w:tc>
          <w:tcPr>
            <w:tcW w:type="dxa" w:w="4986"/>
          </w:tcPr>
          <w:p>
            <w:pPr>
              <w:spacing w:before="20" w:after="20"/>
            </w:pPr>
            <w:r/>
            <w:r>
              <w:rPr>
                <w:rFonts w:ascii="Palatino Linotype" w:hAnsi="Palatino Linotype" w:eastAsia="Palatino Linotype"/>
                <w:b w:val="0"/>
                <w:i w:val="0"/>
                <w:sz w:val="18"/>
              </w:rPr>
              <w:t>5.40 m</w:t>
            </w:r>
          </w:p>
        </w:tc>
      </w:tr>
      <w:tr>
        <w:trPr>
          <w:cantSplit/>
        </w:trPr>
        <w:tc>
          <w:tcPr>
            <w:tcW w:type="dxa" w:w="4986"/>
          </w:tcPr>
          <w:p>
            <w:pPr>
              <w:spacing w:before="20" w:after="20"/>
            </w:pPr>
            <w:r/>
            <w:r>
              <w:rPr>
                <w:rFonts w:ascii="Palatino Linotype" w:hAnsi="Palatino Linotype" w:eastAsia="Palatino Linotype"/>
                <w:b w:val="0"/>
                <w:i w:val="0"/>
                <w:sz w:val="18"/>
              </w:rPr>
              <w:t>Disc loading</w:t>
            </w:r>
          </w:p>
        </w:tc>
        <w:tc>
          <w:tcPr>
            <w:tcW w:type="dxa" w:w="4986"/>
          </w:tcPr>
          <w:p>
            <w:pPr>
              <w:spacing w:before="20" w:after="20"/>
            </w:pPr>
            <w:r/>
            <w:r>
              <w:rPr>
                <w:rFonts w:ascii="Palatino Linotype" w:hAnsi="Palatino Linotype" w:eastAsia="Palatino Linotype"/>
                <w:b w:val="0"/>
                <w:i w:val="0"/>
                <w:sz w:val="18"/>
              </w:rPr>
              <w:t>43.7 kg m⁻²</w:t>
            </w:r>
          </w:p>
        </w:tc>
      </w:tr>
      <w:tr>
        <w:trPr>
          <w:cantSplit/>
        </w:trPr>
        <w:tc>
          <w:tcPr>
            <w:tcW w:type="dxa" w:w="4986"/>
          </w:tcPr>
          <w:p>
            <w:pPr>
              <w:spacing w:before="20" w:after="20"/>
            </w:pPr>
            <w:r/>
            <w:r>
              <w:rPr>
                <w:rFonts w:ascii="Palatino Linotype" w:hAnsi="Palatino Linotype" w:eastAsia="Palatino Linotype"/>
                <w:b w:val="0"/>
                <w:i w:val="0"/>
                <w:sz w:val="18"/>
              </w:rPr>
              <w:t>Tip propeller diameter</w:t>
            </w:r>
          </w:p>
        </w:tc>
        <w:tc>
          <w:tcPr>
            <w:tcW w:type="dxa" w:w="4986"/>
          </w:tcPr>
          <w:p>
            <w:pPr>
              <w:spacing w:before="20" w:after="20"/>
            </w:pPr>
            <w:r/>
            <w:r>
              <w:rPr>
                <w:rFonts w:ascii="Palatino Linotype" w:hAnsi="Palatino Linotype" w:eastAsia="Palatino Linotype"/>
                <w:b w:val="0"/>
                <w:i w:val="0"/>
                <w:sz w:val="18"/>
              </w:rPr>
              <w:t>0.67 m</w:t>
            </w:r>
          </w:p>
        </w:tc>
      </w:tr>
      <w:tr>
        <w:trPr>
          <w:cantSplit/>
        </w:trPr>
        <w:tc>
          <w:tcPr>
            <w:tcW w:type="dxa" w:w="4986"/>
          </w:tcPr>
          <w:p>
            <w:pPr>
              <w:spacing w:before="20" w:after="20"/>
            </w:pPr>
            <w:r/>
            <w:r>
              <w:rPr>
                <w:rFonts w:ascii="Palatino Linotype" w:hAnsi="Palatino Linotype" w:eastAsia="Palatino Linotype"/>
                <w:b w:val="0"/>
                <w:i w:val="0"/>
                <w:sz w:val="18"/>
              </w:rPr>
              <w:t>Frame post length</w:t>
            </w:r>
          </w:p>
        </w:tc>
        <w:tc>
          <w:tcPr>
            <w:tcW w:type="dxa" w:w="4986"/>
          </w:tcPr>
          <w:p>
            <w:pPr>
              <w:spacing w:before="20" w:after="20"/>
            </w:pPr>
            <w:r/>
            <w:r>
              <w:rPr>
                <w:rFonts w:ascii="Palatino Linotype" w:hAnsi="Palatino Linotype" w:eastAsia="Palatino Linotype"/>
                <w:b w:val="0"/>
                <w:i w:val="0"/>
                <w:sz w:val="18"/>
              </w:rPr>
              <w:t>2.38 m each direction</w:t>
            </w:r>
          </w:p>
        </w:tc>
      </w:tr>
      <w:tr>
        <w:trPr>
          <w:cantSplit/>
        </w:trPr>
        <w:tc>
          <w:tcPr>
            <w:tcW w:type="dxa" w:w="4986"/>
          </w:tcPr>
          <w:p>
            <w:pPr>
              <w:spacing w:before="20" w:after="20"/>
            </w:pPr>
            <w:r/>
            <w:r>
              <w:rPr>
                <w:rFonts w:ascii="Palatino Linotype" w:hAnsi="Palatino Linotype" w:eastAsia="Palatino Linotype"/>
                <w:b w:val="0"/>
                <w:i w:val="0"/>
                <w:sz w:val="18"/>
              </w:rPr>
              <w:t>Cruise speed</w:t>
            </w:r>
          </w:p>
        </w:tc>
        <w:tc>
          <w:tcPr>
            <w:tcW w:type="dxa" w:w="4986"/>
          </w:tcPr>
          <w:p>
            <w:pPr>
              <w:spacing w:before="20" w:after="20"/>
            </w:pPr>
            <w:r/>
            <w:r>
              <w:rPr>
                <w:rFonts w:ascii="Palatino Linotype" w:hAnsi="Palatino Linotype" w:eastAsia="Palatino Linotype"/>
                <w:b w:val="0"/>
                <w:i w:val="0"/>
                <w:sz w:val="18"/>
              </w:rPr>
              <w:t>40 m s⁻¹ (144 km h⁻¹)</w:t>
            </w:r>
          </w:p>
        </w:tc>
      </w:tr>
      <w:tr>
        <w:trPr>
          <w:cantSplit/>
        </w:trPr>
        <w:tc>
          <w:tcPr>
            <w:tcW w:type="dxa" w:w="4986"/>
          </w:tcPr>
          <w:p>
            <w:pPr>
              <w:spacing w:before="20" w:after="20"/>
            </w:pPr>
            <w:r/>
            <w:r>
              <w:rPr>
                <w:rFonts w:ascii="Palatino Linotype" w:hAnsi="Palatino Linotype" w:eastAsia="Palatino Linotype"/>
                <w:b w:val="0"/>
                <w:i w:val="0"/>
                <w:sz w:val="18"/>
              </w:rPr>
              <w:t>Cruise L/D</w:t>
            </w:r>
          </w:p>
        </w:tc>
        <w:tc>
          <w:tcPr>
            <w:tcW w:type="dxa" w:w="4986"/>
          </w:tcPr>
          <w:p>
            <w:pPr>
              <w:spacing w:before="20" w:after="20"/>
            </w:pPr>
            <w:r/>
            <w:r>
              <w:rPr>
                <w:rFonts w:ascii="Palatino Linotype" w:hAnsi="Palatino Linotype" w:eastAsia="Palatino Linotype"/>
                <w:b w:val="0"/>
                <w:i w:val="0"/>
                <w:sz w:val="18"/>
              </w:rPr>
              <w:t>13.6</w:t>
            </w:r>
          </w:p>
        </w:tc>
      </w:tr>
      <w:tr>
        <w:trPr>
          <w:cantSplit/>
        </w:trPr>
        <w:tc>
          <w:tcPr>
            <w:tcW w:type="dxa" w:w="4986"/>
          </w:tcPr>
          <w:p>
            <w:pPr>
              <w:spacing w:before="20" w:after="20"/>
            </w:pPr>
            <w:r/>
            <w:r>
              <w:rPr>
                <w:rFonts w:ascii="Palatino Linotype" w:hAnsi="Palatino Linotype" w:eastAsia="Palatino Linotype"/>
                <w:b w:val="0"/>
                <w:i w:val="0"/>
                <w:sz w:val="18"/>
              </w:rPr>
              <w:t>Hover power</w:t>
            </w:r>
          </w:p>
        </w:tc>
        <w:tc>
          <w:tcPr>
            <w:tcW w:type="dxa" w:w="4986"/>
          </w:tcPr>
          <w:p>
            <w:pPr>
              <w:spacing w:before="20" w:after="20"/>
            </w:pPr>
            <w:r/>
            <w:r>
              <w:rPr>
                <w:rFonts w:ascii="Palatino Linotype" w:hAnsi="Palatino Linotype" w:eastAsia="Palatino Linotype"/>
                <w:b w:val="0"/>
                <w:i w:val="0"/>
                <w:sz w:val="18"/>
              </w:rPr>
              <w:t>216.2 kW</w:t>
            </w:r>
          </w:p>
        </w:tc>
      </w:tr>
      <w:tr>
        <w:trPr>
          <w:cantSplit/>
        </w:trPr>
        <w:tc>
          <w:tcPr>
            <w:tcW w:type="dxa" w:w="4986"/>
          </w:tcPr>
          <w:p>
            <w:pPr>
              <w:spacing w:before="20" w:after="20"/>
            </w:pPr>
            <w:r/>
            <w:r>
              <w:rPr>
                <w:rFonts w:ascii="Palatino Linotype" w:hAnsi="Palatino Linotype" w:eastAsia="Palatino Linotype"/>
                <w:b w:val="0"/>
                <w:i w:val="0"/>
                <w:sz w:val="18"/>
              </w:rPr>
              <w:t>Cruise power, electrical</w:t>
            </w:r>
          </w:p>
        </w:tc>
        <w:tc>
          <w:tcPr>
            <w:tcW w:type="dxa" w:w="4986"/>
          </w:tcPr>
          <w:p>
            <w:pPr>
              <w:spacing w:before="20" w:after="20"/>
            </w:pPr>
            <w:r/>
            <w:r>
              <w:rPr>
                <w:rFonts w:ascii="Palatino Linotype" w:hAnsi="Palatino Linotype" w:eastAsia="Palatino Linotype"/>
                <w:b w:val="0"/>
                <w:i w:val="0"/>
                <w:sz w:val="18"/>
              </w:rPr>
              <w:t>39.2 kW</w:t>
            </w:r>
          </w:p>
        </w:tc>
      </w:tr>
      <w:tr>
        <w:trPr>
          <w:cantSplit/>
        </w:trPr>
        <w:tc>
          <w:tcPr>
            <w:tcW w:type="dxa" w:w="4986"/>
          </w:tcPr>
          <w:p>
            <w:pPr>
              <w:spacing w:before="20" w:after="20"/>
            </w:pPr>
            <w:r/>
            <w:r>
              <w:rPr>
                <w:rFonts w:ascii="Palatino Linotype" w:hAnsi="Palatino Linotype" w:eastAsia="Palatino Linotype"/>
                <w:b w:val="0"/>
                <w:i w:val="0"/>
                <w:sz w:val="18"/>
              </w:rPr>
              <w:t>Engine rating</w:t>
            </w:r>
          </w:p>
        </w:tc>
        <w:tc>
          <w:tcPr>
            <w:tcW w:type="dxa" w:w="4986"/>
          </w:tcPr>
          <w:p>
            <w:pPr>
              <w:spacing w:before="20" w:after="20"/>
            </w:pPr>
            <w:r/>
            <w:r>
              <w:rPr>
                <w:rFonts w:ascii="Palatino Linotype" w:hAnsi="Palatino Linotype" w:eastAsia="Palatino Linotype"/>
                <w:b w:val="0"/>
                <w:i w:val="0"/>
                <w:sz w:val="18"/>
              </w:rPr>
              <w:t>54.3 kW</w:t>
            </w:r>
          </w:p>
        </w:tc>
      </w:tr>
      <w:tr>
        <w:trPr>
          <w:cantSplit/>
        </w:trPr>
        <w:tc>
          <w:tcPr>
            <w:tcW w:type="dxa" w:w="4986"/>
          </w:tcPr>
          <w:p>
            <w:pPr>
              <w:spacing w:before="20" w:after="20"/>
            </w:pPr>
            <w:r/>
            <w:r>
              <w:rPr>
                <w:rFonts w:ascii="Palatino Linotype" w:hAnsi="Palatino Linotype" w:eastAsia="Palatino Linotype"/>
                <w:b w:val="0"/>
                <w:i w:val="0"/>
                <w:sz w:val="18"/>
              </w:rPr>
              <w:t>Battery buffer</w:t>
            </w:r>
          </w:p>
        </w:tc>
        <w:tc>
          <w:tcPr>
            <w:tcW w:type="dxa" w:w="4986"/>
          </w:tcPr>
          <w:p>
            <w:pPr>
              <w:spacing w:before="20" w:after="20"/>
            </w:pPr>
            <w:r/>
            <w:r>
              <w:rPr>
                <w:rFonts w:ascii="Palatino Linotype" w:hAnsi="Palatino Linotype" w:eastAsia="Palatino Linotype"/>
                <w:b w:val="0"/>
                <w:i w:val="0"/>
                <w:sz w:val="18"/>
              </w:rPr>
              <w:t>40 kg (4.0 % MTOW)</w:t>
            </w:r>
          </w:p>
        </w:tc>
      </w:tr>
      <w:tr>
        <w:trPr>
          <w:cantSplit/>
        </w:trPr>
        <w:tc>
          <w:tcPr>
            <w:tcW w:type="dxa" w:w="4986"/>
          </w:tcPr>
          <w:p>
            <w:pPr>
              <w:spacing w:before="20" w:after="20"/>
            </w:pPr>
            <w:r/>
            <w:r>
              <w:rPr>
                <w:rFonts w:ascii="Palatino Linotype" w:hAnsi="Palatino Linotype" w:eastAsia="Palatino Linotype"/>
                <w:b w:val="0"/>
                <w:i w:val="0"/>
                <w:sz w:val="18"/>
              </w:rPr>
              <w:t>Fuel</w:t>
            </w:r>
          </w:p>
        </w:tc>
        <w:tc>
          <w:tcPr>
            <w:tcW w:type="dxa" w:w="4986"/>
          </w:tcPr>
          <w:p>
            <w:pPr>
              <w:spacing w:before="20" w:after="20"/>
            </w:pPr>
            <w:r/>
            <w:r>
              <w:rPr>
                <w:rFonts w:ascii="Palatino Linotype" w:hAnsi="Palatino Linotype" w:eastAsia="Palatino Linotype"/>
                <w:b w:val="0"/>
                <w:i w:val="0"/>
                <w:sz w:val="18"/>
              </w:rPr>
              <w:t>160 kg</w:t>
            </w:r>
          </w:p>
        </w:tc>
      </w:tr>
      <w:tr>
        <w:trPr>
          <w:cantSplit/>
        </w:trPr>
        <w:tc>
          <w:tcPr>
            <w:tcW w:type="dxa" w:w="4986"/>
          </w:tcPr>
          <w:p>
            <w:pPr>
              <w:spacing w:before="20" w:after="20"/>
            </w:pPr>
            <w:r/>
            <w:r>
              <w:rPr>
                <w:rFonts w:ascii="Palatino Linotype" w:hAnsi="Palatino Linotype" w:eastAsia="Palatino Linotype"/>
                <w:b/>
                <w:i w:val="0"/>
                <w:sz w:val="18"/>
              </w:rPr>
              <w:t>Endurance</w:t>
            </w:r>
          </w:p>
        </w:tc>
        <w:tc>
          <w:tcPr>
            <w:tcW w:type="dxa" w:w="4986"/>
          </w:tcPr>
          <w:p>
            <w:pPr>
              <w:spacing w:before="20" w:after="20"/>
            </w:pPr>
            <w:r/>
            <w:r>
              <w:rPr>
                <w:rFonts w:ascii="Palatino Linotype" w:hAnsi="Palatino Linotype" w:eastAsia="Palatino Linotype"/>
                <w:b/>
                <w:i w:val="0"/>
                <w:sz w:val="18"/>
              </w:rPr>
              <w:t>12.6 h</w:t>
            </w:r>
          </w:p>
        </w:tc>
      </w:tr>
      <w:tr>
        <w:trPr>
          <w:cantSplit/>
        </w:trPr>
        <w:tc>
          <w:tcPr>
            <w:tcW w:type="dxa" w:w="4986"/>
          </w:tcPr>
          <w:p>
            <w:pPr>
              <w:spacing w:before="20" w:after="20"/>
            </w:pPr>
            <w:r/>
            <w:r>
              <w:rPr>
                <w:rFonts w:ascii="Palatino Linotype" w:hAnsi="Palatino Linotype" w:eastAsia="Palatino Linotype"/>
                <w:b/>
                <w:i w:val="0"/>
                <w:sz w:val="18"/>
              </w:rPr>
              <w:t>Range</w:t>
            </w:r>
          </w:p>
        </w:tc>
        <w:tc>
          <w:tcPr>
            <w:tcW w:type="dxa" w:w="4986"/>
          </w:tcPr>
          <w:p>
            <w:pPr>
              <w:spacing w:before="20" w:after="20"/>
            </w:pPr>
            <w:r/>
            <w:r>
              <w:rPr>
                <w:rFonts w:ascii="Palatino Linotype" w:hAnsi="Palatino Linotype" w:eastAsia="Palatino Linotype"/>
                <w:b/>
                <w:i w:val="0"/>
                <w:sz w:val="18"/>
              </w:rPr>
              <w:t>1 814 km</w:t>
            </w:r>
          </w:p>
        </w:tc>
      </w:tr>
      <w:tr>
        <w:trPr>
          <w:cantSplit/>
        </w:trPr>
        <w:tc>
          <w:tcPr>
            <w:tcW w:type="dxa" w:w="4986"/>
          </w:tcPr>
          <w:p>
            <w:pPr>
              <w:spacing w:before="20" w:after="20"/>
            </w:pPr>
            <w:r/>
            <w:r>
              <w:rPr>
                <w:rFonts w:ascii="Palatino Linotype" w:hAnsi="Palatino Linotype" w:eastAsia="Palatino Linotype"/>
                <w:b w:val="0"/>
                <w:i w:val="0"/>
                <w:sz w:val="18"/>
              </w:rPr>
              <w:t>Transition time</w:t>
            </w:r>
          </w:p>
        </w:tc>
        <w:tc>
          <w:tcPr>
            <w:tcW w:type="dxa" w:w="4986"/>
          </w:tcPr>
          <w:p>
            <w:pPr>
              <w:spacing w:before="20" w:after="20"/>
            </w:pPr>
            <w:r/>
            <w:r>
              <w:rPr>
                <w:rFonts w:ascii="Palatino Linotype" w:hAnsi="Palatino Linotype" w:eastAsia="Palatino Linotype"/>
                <w:b w:val="0"/>
                <w:i w:val="0"/>
                <w:sz w:val="18"/>
              </w:rPr>
              <w:t>5.1 s</w:t>
            </w:r>
          </w:p>
        </w:tc>
      </w:tr>
    </w:tbl>
    <w:p/>
    <w:p>
      <w:pPr>
        <w:spacing w:before="0" w:after="80" w:line="240" w:lineRule="auto"/>
        <w:jc w:val="both"/>
      </w:pPr>
      <w:r>
        <w:rPr>
          <w:rFonts w:ascii="Palatino Linotype" w:hAnsi="Palatino Linotype" w:eastAsia="Palatino Linotype"/>
          <w:b/>
          <w:i w:val="0"/>
          <w:sz w:val="20"/>
        </w:rPr>
        <w:t>Before any of these numbers is read, one condition belongs beside them rather than in the supplement.</w:t>
      </w:r>
      <w:r>
        <w:rPr>
          <w:rFonts w:ascii="Palatino Linotype" w:hAnsi="Palatino Linotype" w:eastAsia="Palatino Linotype"/>
          <w:b w:val="0"/>
          <w:i w:val="0"/>
          <w:sz w:val="20"/>
        </w:rPr>
        <w:t xml:space="preserve"> The light design of Section 3.7 closes its component build-up with 2.2 kg in hand, conditional on a structural areal density no greater than 1.78 kg m⁻² — an assumed value with a margin and a published anchor. </w:t>
      </w:r>
      <w:r>
        <w:rPr>
          <w:rFonts w:ascii="Palatino Linotype" w:hAnsi="Palatino Linotype" w:eastAsia="Palatino Linotype"/>
          <w:b/>
          <w:i w:val="0"/>
          <w:sz w:val="20"/>
        </w:rPr>
        <w:t>The heavy design has no such margin and no assumed value.</w:t>
      </w:r>
      <w:r>
        <w:rPr>
          <w:rFonts w:ascii="Palatino Linotype" w:hAnsi="Palatino Linotype" w:eastAsia="Palatino Linotype"/>
          <w:b w:val="0"/>
          <w:i w:val="0"/>
          <w:sz w:val="20"/>
        </w:rPr>
        <w:t xml:space="preserve"> Its shell mass scales with wetted area while take-off mass scales with volume, so the shell fraction depends on how areal density grows with size, and that exponent has not been measured. At an exponent of 0.467 the 260 kg payload is exactly break-even, closing below and failing above, and Supplementary S2 declines to argue for either side because any such argument would be a structural model standing in for a measurement. </w:t>
      </w:r>
      <w:r>
        <w:rPr>
          <w:rFonts w:ascii="Palatino Linotype" w:hAnsi="Palatino Linotype" w:eastAsia="Palatino Linotype"/>
          <w:b/>
          <w:i w:val="0"/>
          <w:sz w:val="20"/>
        </w:rPr>
        <w:t>The aerodynamic, propulsive, energy and mission numbers in this section close; the structure is not shown to.</w:t>
      </w:r>
      <w:r>
        <w:rPr>
          <w:rFonts w:ascii="Palatino Linotype" w:hAnsi="Palatino Linotype" w:eastAsia="Palatino Linotype"/>
          <w:b w:val="0"/>
          <w:i w:val="0"/>
          <w:sz w:val="20"/>
        </w:rPr>
        <w:t xml:space="preserve"> The two designs therefore differ in kind and not only in degree: the light one closes conditionally, the heavy one's closure is undetermined.</w:t>
      </w:r>
    </w:p>
    <w:p>
      <w:pPr>
        <w:spacing w:before="0" w:after="80" w:line="240" w:lineRule="auto"/>
        <w:jc w:val="both"/>
      </w:pPr>
      <w:r>
        <w:rPr>
          <w:rFonts w:ascii="Palatino Linotype" w:hAnsi="Palatino Linotype" w:eastAsia="Palatino Linotype"/>
          <w:b/>
          <w:i w:val="0"/>
          <w:sz w:val="20"/>
        </w:rPr>
        <w:t>This table charges the tip frames and not the free-wheeling rotors, which is the defect Section 3.3 found in the light line, and the heavy line carries it too.</w:t>
      </w:r>
      <w:r>
        <w:rPr>
          <w:rFonts w:ascii="Palatino Linotype" w:hAnsi="Palatino Linotype" w:eastAsia="Palatino Linotype"/>
          <w:b w:val="0"/>
          <w:i w:val="0"/>
          <w:sz w:val="20"/>
        </w:rPr>
        <w:t xml:space="preserve"> Running the same blade-element calculation at this design's own conditions — 0.67 m discs, 40 m s⁻¹, the tip-pair power this configuration allocates, and the hover thrust that follows from it — gives a much smaller charge than the light design pays (Table 14):</w:t>
      </w:r>
    </w:p>
    <w:p>
      <w:pPr>
        <w:spacing w:before="0" w:after="80" w:line="240" w:lineRule="auto"/>
        <w:jc w:val="both"/>
        <w:keepNext/>
      </w:pPr>
      <w:r>
        <w:rPr>
          <w:rFonts w:ascii="Palatino Linotype" w:hAnsi="Palatino Linotype" w:eastAsia="Palatino Linotype"/>
          <w:b/>
          <w:i w:val="0"/>
          <w:sz w:val="20"/>
        </w:rPr>
        <w:t>Table 14.</w:t>
      </w:r>
      <w:r>
        <w:rPr>
          <w:rFonts w:ascii="Palatino Linotype" w:hAnsi="Palatino Linotype" w:eastAsia="Palatino Linotype"/>
          <w:b w:val="0"/>
          <w:i w:val="0"/>
          <w:sz w:val="20"/>
        </w:rPr>
        <w:t xml:space="preserve"> The heavy reference design before and after its own free-wheeling rotor drag is charged.</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p>
        </w:tc>
        <w:tc>
          <w:tcPr>
            <w:tcW w:type="dxa" w:w="3324"/>
          </w:tcPr>
          <w:p>
            <w:pPr>
              <w:spacing w:before="20" w:after="20"/>
            </w:pPr>
            <w:r/>
            <w:r>
              <w:rPr>
                <w:rFonts w:ascii="Palatino Linotype" w:hAnsi="Palatino Linotype" w:eastAsia="Palatino Linotype"/>
                <w:b/>
                <w:i w:val="0"/>
                <w:sz w:val="18"/>
              </w:rPr>
              <w:t>Published</w:t>
            </w:r>
          </w:p>
        </w:tc>
        <w:tc>
          <w:tcPr>
            <w:tcW w:type="dxa" w:w="3324"/>
          </w:tcPr>
          <w:p>
            <w:pPr>
              <w:spacing w:before="20" w:after="20"/>
            </w:pPr>
            <w:r/>
            <w:r>
              <w:rPr>
                <w:rFonts w:ascii="Palatino Linotype" w:hAnsi="Palatino Linotype" w:eastAsia="Palatino Linotype"/>
                <w:b/>
                <w:i w:val="0"/>
                <w:sz w:val="18"/>
              </w:rPr>
              <w:t>Rotors charged</w:t>
            </w:r>
          </w:p>
        </w:tc>
      </w:tr>
      <w:tr>
        <w:trPr>
          <w:cantSplit/>
        </w:trPr>
        <w:tc>
          <w:tcPr>
            <w:tcW w:type="dxa" w:w="3324"/>
          </w:tcPr>
          <w:p>
            <w:pPr>
              <w:spacing w:before="20" w:after="20"/>
            </w:pPr>
            <w:r/>
            <w:r>
              <w:rPr>
                <w:rFonts w:ascii="Palatino Linotype" w:hAnsi="Palatino Linotype" w:eastAsia="Palatino Linotype"/>
                <w:b w:val="0"/>
                <w:i w:val="0"/>
                <w:sz w:val="18"/>
              </w:rPr>
              <w:t>Free-wheeling ΔC_D0, eight discs</w:t>
            </w:r>
          </w:p>
        </w:tc>
        <w:tc>
          <w:tcPr>
            <w:tcW w:type="dxa" w:w="3324"/>
          </w:tcPr>
          <w:p>
            <w:pPr>
              <w:spacing w:before="20" w:after="20"/>
            </w:pPr>
            <w:r/>
            <w:r>
              <w:rPr>
                <w:rFonts w:ascii="Palatino Linotype" w:hAnsi="Palatino Linotype" w:eastAsia="Palatino Linotype"/>
                <w:b w:val="0"/>
                <w:i w:val="0"/>
                <w:sz w:val="18"/>
              </w:rPr>
              <w:t>assumed negligible</w:t>
            </w:r>
          </w:p>
        </w:tc>
        <w:tc>
          <w:tcPr>
            <w:tcW w:type="dxa" w:w="3324"/>
          </w:tcPr>
          <w:p>
            <w:pPr>
              <w:spacing w:before="20" w:after="20"/>
            </w:pPr>
            <w:r/>
            <w:r>
              <w:rPr>
                <w:rFonts w:ascii="Palatino Linotype" w:hAnsi="Palatino Linotype" w:eastAsia="Palatino Linotype"/>
                <w:b/>
                <w:i w:val="0"/>
                <w:sz w:val="18"/>
              </w:rPr>
              <w:t>0.0051</w:t>
            </w:r>
          </w:p>
        </w:tc>
      </w:tr>
      <w:tr>
        <w:trPr>
          <w:cantSplit/>
        </w:trPr>
        <w:tc>
          <w:tcPr>
            <w:tcW w:type="dxa" w:w="3324"/>
          </w:tcPr>
          <w:p>
            <w:pPr>
              <w:spacing w:before="20" w:after="20"/>
            </w:pPr>
            <w:r/>
            <w:r>
              <w:rPr>
                <w:rFonts w:ascii="Palatino Linotype" w:hAnsi="Palatino Linotype" w:eastAsia="Palatino Linotype"/>
                <w:b w:val="0"/>
                <w:i w:val="0"/>
                <w:sz w:val="18"/>
              </w:rPr>
              <w:t>Zero-lift drag coefficient</w:t>
            </w:r>
          </w:p>
        </w:tc>
        <w:tc>
          <w:tcPr>
            <w:tcW w:type="dxa" w:w="3324"/>
          </w:tcPr>
          <w:p>
            <w:pPr>
              <w:spacing w:before="20" w:after="20"/>
            </w:pPr>
            <w:r/>
            <w:r>
              <w:rPr>
                <w:rFonts w:ascii="Palatino Linotype" w:hAnsi="Palatino Linotype" w:eastAsia="Palatino Linotype"/>
                <w:b w:val="0"/>
                <w:i w:val="0"/>
                <w:sz w:val="18"/>
              </w:rPr>
              <w:t>0.0200</w:t>
            </w:r>
          </w:p>
        </w:tc>
        <w:tc>
          <w:tcPr>
            <w:tcW w:type="dxa" w:w="3324"/>
          </w:tcPr>
          <w:p>
            <w:pPr>
              <w:spacing w:before="20" w:after="20"/>
            </w:pPr>
            <w:r/>
            <w:r>
              <w:rPr>
                <w:rFonts w:ascii="Palatino Linotype" w:hAnsi="Palatino Linotype" w:eastAsia="Palatino Linotype"/>
                <w:b w:val="0"/>
                <w:i w:val="0"/>
                <w:sz w:val="18"/>
              </w:rPr>
              <w:t>0.0251</w:t>
            </w:r>
          </w:p>
        </w:tc>
      </w:tr>
      <w:tr>
        <w:trPr>
          <w:cantSplit/>
        </w:trPr>
        <w:tc>
          <w:tcPr>
            <w:tcW w:type="dxa" w:w="3324"/>
          </w:tcPr>
          <w:p>
            <w:pPr>
              <w:spacing w:before="20" w:after="20"/>
            </w:pPr>
            <w:r/>
            <w:r>
              <w:rPr>
                <w:rFonts w:ascii="Palatino Linotype" w:hAnsi="Palatino Linotype" w:eastAsia="Palatino Linotype"/>
                <w:b w:val="0"/>
                <w:i w:val="0"/>
                <w:sz w:val="18"/>
              </w:rPr>
              <w:t>Cruise L/D</w:t>
            </w:r>
          </w:p>
        </w:tc>
        <w:tc>
          <w:tcPr>
            <w:tcW w:type="dxa" w:w="3324"/>
          </w:tcPr>
          <w:p>
            <w:pPr>
              <w:spacing w:before="20" w:after="20"/>
            </w:pPr>
            <w:r/>
            <w:r>
              <w:rPr>
                <w:rFonts w:ascii="Palatino Linotype" w:hAnsi="Palatino Linotype" w:eastAsia="Palatino Linotype"/>
                <w:b w:val="0"/>
                <w:i w:val="0"/>
                <w:sz w:val="18"/>
              </w:rPr>
              <w:t>13.60</w:t>
            </w:r>
          </w:p>
        </w:tc>
        <w:tc>
          <w:tcPr>
            <w:tcW w:type="dxa" w:w="3324"/>
          </w:tcPr>
          <w:p>
            <w:pPr>
              <w:spacing w:before="20" w:after="20"/>
            </w:pPr>
            <w:r/>
            <w:r>
              <w:rPr>
                <w:rFonts w:ascii="Palatino Linotype" w:hAnsi="Palatino Linotype" w:eastAsia="Palatino Linotype"/>
                <w:b/>
                <w:i w:val="0"/>
                <w:sz w:val="18"/>
              </w:rPr>
              <w:t>11.78</w:t>
            </w:r>
          </w:p>
        </w:tc>
      </w:tr>
      <w:tr>
        <w:trPr>
          <w:cantSplit/>
        </w:trPr>
        <w:tc>
          <w:tcPr>
            <w:tcW w:type="dxa" w:w="3324"/>
          </w:tcPr>
          <w:p>
            <w:pPr>
              <w:spacing w:before="20" w:after="20"/>
            </w:pPr>
            <w:r/>
            <w:r>
              <w:rPr>
                <w:rFonts w:ascii="Palatino Linotype" w:hAnsi="Palatino Linotype" w:eastAsia="Palatino Linotype"/>
                <w:b w:val="0"/>
                <w:i w:val="0"/>
                <w:sz w:val="18"/>
              </w:rPr>
              <w:t>Take-off mass</w:t>
            </w:r>
          </w:p>
        </w:tc>
        <w:tc>
          <w:tcPr>
            <w:tcW w:type="dxa" w:w="3324"/>
          </w:tcPr>
          <w:p>
            <w:pPr>
              <w:spacing w:before="20" w:after="20"/>
            </w:pPr>
            <w:r/>
            <w:r>
              <w:rPr>
                <w:rFonts w:ascii="Palatino Linotype" w:hAnsi="Palatino Linotype" w:eastAsia="Palatino Linotype"/>
                <w:b w:val="0"/>
                <w:i w:val="0"/>
                <w:sz w:val="18"/>
              </w:rPr>
              <w:t>1 037 kg</w:t>
            </w:r>
          </w:p>
        </w:tc>
        <w:tc>
          <w:tcPr>
            <w:tcW w:type="dxa" w:w="3324"/>
          </w:tcPr>
          <w:p>
            <w:pPr>
              <w:spacing w:before="20" w:after="20"/>
            </w:pPr>
            <w:r/>
            <w:r>
              <w:rPr>
                <w:rFonts w:ascii="Palatino Linotype" w:hAnsi="Palatino Linotype" w:eastAsia="Palatino Linotype"/>
                <w:b w:val="0"/>
                <w:i w:val="0"/>
                <w:sz w:val="18"/>
              </w:rPr>
              <w:t>1 077 kg</w:t>
            </w:r>
          </w:p>
        </w:tc>
      </w:tr>
      <w:tr>
        <w:trPr>
          <w:cantSplit/>
        </w:trPr>
        <w:tc>
          <w:tcPr>
            <w:tcW w:type="dxa" w:w="3324"/>
          </w:tcPr>
          <w:p>
            <w:pPr>
              <w:spacing w:before="20" w:after="20"/>
            </w:pPr>
            <w:r/>
            <w:r>
              <w:rPr>
                <w:rFonts w:ascii="Palatino Linotype" w:hAnsi="Palatino Linotype" w:eastAsia="Palatino Linotype"/>
                <w:b/>
                <w:i w:val="0"/>
                <w:sz w:val="18"/>
              </w:rPr>
              <w:t>Range</w:t>
            </w:r>
          </w:p>
        </w:tc>
        <w:tc>
          <w:tcPr>
            <w:tcW w:type="dxa" w:w="3324"/>
          </w:tcPr>
          <w:p>
            <w:pPr>
              <w:spacing w:before="20" w:after="20"/>
            </w:pPr>
            <w:r/>
            <w:r>
              <w:rPr>
                <w:rFonts w:ascii="Palatino Linotype" w:hAnsi="Palatino Linotype" w:eastAsia="Palatino Linotype"/>
                <w:b/>
                <w:i w:val="0"/>
                <w:sz w:val="18"/>
              </w:rPr>
              <w:t>1 814 km</w:t>
            </w:r>
          </w:p>
        </w:tc>
        <w:tc>
          <w:tcPr>
            <w:tcW w:type="dxa" w:w="3324"/>
          </w:tcPr>
          <w:p>
            <w:pPr>
              <w:spacing w:before="20" w:after="20"/>
            </w:pPr>
            <w:r/>
            <w:r>
              <w:rPr>
                <w:rFonts w:ascii="Palatino Linotype" w:hAnsi="Palatino Linotype" w:eastAsia="Palatino Linotype"/>
                <w:b/>
                <w:i w:val="0"/>
                <w:sz w:val="18"/>
              </w:rPr>
              <w:t>1 571 km</w:t>
            </w:r>
          </w:p>
        </w:tc>
      </w:tr>
    </w:tbl>
    <w:p/>
    <w:p>
      <w:pPr>
        <w:spacing w:before="0" w:after="80" w:line="240" w:lineRule="auto"/>
        <w:jc w:val="both"/>
      </w:pPr>
      <w:r>
        <w:rPr>
          <w:rFonts w:ascii="Palatino Linotype" w:hAnsi="Palatino Linotype" w:eastAsia="Palatino Linotype"/>
          <w:b w:val="0"/>
          <w:i w:val="0"/>
          <w:sz w:val="20"/>
        </w:rPr>
        <w:t xml:space="preserve">The published row is what the sizing loop returns with no rotor charge, and it reproduces the 13.6 and 1 814 km of the table above, which is the check that this is the same calculation. The charge is </w:t>
      </w:r>
      <w:r>
        <w:rPr>
          <w:rFonts w:ascii="Palatino Linotype" w:hAnsi="Palatino Linotype" w:eastAsia="Palatino Linotype"/>
          <w:b/>
          <w:i w:val="0"/>
          <w:sz w:val="20"/>
        </w:rPr>
        <w:t>a third of the light design's 0.0154</w:t>
      </w:r>
      <w:r>
        <w:rPr>
          <w:rFonts w:ascii="Palatino Linotype" w:hAnsi="Palatino Linotype" w:eastAsia="Palatino Linotype"/>
          <w:b w:val="0"/>
          <w:i w:val="0"/>
          <w:sz w:val="20"/>
        </w:rPr>
        <w:t>, and Section 3.9 works out why.</w:t>
      </w:r>
    </w:p>
    <w:p>
      <w:pPr>
        <w:spacing w:before="0" w:after="80" w:line="240" w:lineRule="auto"/>
        <w:jc w:val="both"/>
      </w:pPr>
      <w:r>
        <w:rPr>
          <w:rFonts w:ascii="Palatino Linotype" w:hAnsi="Palatino Linotype" w:eastAsia="Palatino Linotype"/>
          <w:b/>
          <w:i w:val="0"/>
          <w:sz w:val="20"/>
        </w:rPr>
        <w:t>The heavy family's blades meet the hover requirement, and that is exactly why the charge above is a range rather than a single number.</w:t>
      </w:r>
      <w:r>
        <w:rPr>
          <w:rFonts w:ascii="Palatino Linotype" w:hAnsi="Palatino Linotype" w:eastAsia="Palatino Linotype"/>
          <w:b w:val="0"/>
          <w:i w:val="0"/>
          <w:sz w:val="20"/>
        </w:rPr>
        <w:t xml:space="preserve"> Across every design tried the figure of merit is 0.65 to 0.66, against the 0.599 the power budget assumes, so the twelve percent of hover power allocated to the tip pairs buys the thrust it is credited with. </w:t>
      </w:r>
      <w:r>
        <w:rPr>
          <w:rFonts w:ascii="Palatino Linotype" w:hAnsi="Palatino Linotype" w:eastAsia="Palatino Linotype"/>
          <w:b/>
          <w:i w:val="0"/>
          <w:sz w:val="20"/>
        </w:rPr>
        <w:t>But this is where the heavy line differs from the light one in a way that has to be stated, because it weakens the number rather than strengthening it.</w:t>
      </w:r>
      <w:r>
        <w:rPr>
          <w:rFonts w:ascii="Palatino Linotype" w:hAnsi="Palatino Linotype" w:eastAsia="Palatino Linotype"/>
          <w:b w:val="0"/>
          <w:i w:val="0"/>
          <w:sz w:val="20"/>
        </w:rPr>
        <w:t xml:space="preserve"> In the light line the design is pinned: the figure of merit collapses from 0.633 to 0.350 above a target section lift coefficient of 0.68, so the least-draggy blade that still hovers is the one the cliff leaves standing, and the 0.0154 of Section 3.3 is selected by physics. In the heavy line there is no cliff — the figure of merit is still 0.657 at a target of 0.85 — so the same rule selects whichever design sits at the end of whatever range is swept. Across designs meeting the hover requirement the charge runs from </w:t>
      </w:r>
      <w:r>
        <w:rPr>
          <w:rFonts w:ascii="Palatino Linotype" w:hAnsi="Palatino Linotype" w:eastAsia="Palatino Linotype"/>
          <w:b/>
          <w:i w:val="0"/>
          <w:sz w:val="20"/>
        </w:rPr>
        <w:t>0.0074 down to 0.0035</w:t>
      </w:r>
      <w:r>
        <w:rPr>
          <w:rFonts w:ascii="Palatino Linotype" w:hAnsi="Palatino Linotype" w:eastAsia="Palatino Linotype"/>
          <w:b w:val="0"/>
          <w:i w:val="0"/>
          <w:sz w:val="20"/>
        </w:rPr>
        <w:t xml:space="preserve">, and applying the light line's rule literally would return the lowest of these, which is the end favourable to this configuration. </w:t>
      </w:r>
      <w:r>
        <w:rPr>
          <w:rFonts w:ascii="Palatino Linotype" w:hAnsi="Palatino Linotype" w:eastAsia="Palatino Linotype"/>
          <w:b/>
          <w:i w:val="0"/>
          <w:sz w:val="20"/>
        </w:rPr>
        <w:t>The 0.0051 carried above is the interior value the sizing was run at, not a minimum, and it is reported as such:</w:t>
      </w:r>
      <w:r>
        <w:rPr>
          <w:rFonts w:ascii="Palatino Linotype" w:hAnsi="Palatino Linotype" w:eastAsia="Palatino Linotype"/>
          <w:b w:val="0"/>
          <w:i w:val="0"/>
          <w:sz w:val="20"/>
        </w:rPr>
        <w:t xml:space="preserve"> the honest statement is that the heavy charge is bounded by 0.0035 and 0.0074 and is not pinned within that interval by any criterion this study applies. It remains between a third and a half of the light design's charge at every point in the interval, which is the comparison Section 3.9 uses; nothing in that section depends on where inside the interval the value falls. The chord limits in the blade-element routine are expressed relative to rotor radius; an earlier draft of this study used absolute limits taken from the light design's 0.20 m rotor, which on a 0.67 m rotor produce a 12 mm chord on a 335 mm radius and a correspondingly slender blade. The repository records that correction and its effect.</w:t>
      </w:r>
    </w:p>
    <w:p>
      <w:pPr>
        <w:spacing w:before="0" w:after="80" w:line="240" w:lineRule="auto"/>
        <w:jc w:val="both"/>
      </w:pPr>
      <w:r>
        <w:rPr>
          <w:rFonts w:ascii="Palatino Linotype" w:hAnsi="Palatino Linotype" w:eastAsia="Palatino Linotype"/>
          <w:b w:val="0"/>
          <w:i w:val="0"/>
          <w:sz w:val="20"/>
        </w:rPr>
        <w:t>The heavy design still has a longer range than the light one despite a shorter endurance, and the margin survives charging both lines: 1 571 km against 1 173 to 1 442 km. Both effects come from the same source: the larger aircraft cruises faster and, at a higher Reynolds number, achieves a lower zero-lift drag coefficient and therefore a better lift-to-drag ratio. Nothing in the architecture was changed to obtain this.</w:t>
      </w:r>
    </w:p>
    <w:p>
      <w:pPr>
        <w:spacing w:before="200" w:after="80"/>
      </w:pPr>
      <w:r>
        <w:rPr>
          <w:rFonts w:ascii="Palatino Linotype" w:hAnsi="Palatino Linotype" w:eastAsia="Palatino Linotype"/>
          <w:b/>
          <w:i w:val="0"/>
          <w:sz w:val="22"/>
        </w:rPr>
        <w:t>3.9 Scale behaviour</w:t>
      </w:r>
    </w:p>
    <w:p>
      <w:pPr>
        <w:spacing w:before="0" w:after="80" w:line="240" w:lineRule="auto"/>
        <w:jc w:val="both"/>
      </w:pPr>
      <w:r>
        <w:rPr>
          <w:rFonts w:ascii="Palatino Linotype" w:hAnsi="Palatino Linotype" w:eastAsia="Palatino Linotype"/>
          <w:b w:val="0"/>
          <w:i w:val="0"/>
          <w:sz w:val="20"/>
        </w:rPr>
        <w:t xml:space="preserve">One qualification applies throughout: this is the scaling of the analytical sizing model — of powers, loadings and mass </w:t>
      </w:r>
      <w:r>
        <w:rPr>
          <w:rFonts w:ascii="Palatino Linotype" w:hAnsi="Palatino Linotype" w:eastAsia="Palatino Linotype"/>
          <w:b w:val="0"/>
          <w:i/>
          <w:sz w:val="20"/>
        </w:rPr>
        <w:t>fractions</w:t>
      </w:r>
      <w:r>
        <w:rPr>
          <w:rFonts w:ascii="Palatino Linotype" w:hAnsi="Palatino Linotype" w:eastAsia="Palatino Linotype"/>
          <w:b w:val="0"/>
          <w:i w:val="0"/>
          <w:sz w:val="20"/>
        </w:rPr>
        <w:t>. Whether the heavy design's structure closes depends on how shell areal density grows with size, which was not measured. Figure 10 shows the two designs at a common scale. Four properties are preserved and one is not.</w:t>
      </w:r>
    </w:p>
    <w:p>
      <w:pPr>
        <w:spacing w:after="40"/>
        <w:jc w:val="center"/>
        <w:keepNext/>
      </w:pPr>
      <w:r>
        <w:drawing>
          <wp:inline xmlns:a="http://schemas.openxmlformats.org/drawingml/2006/main" xmlns:pic="http://schemas.openxmlformats.org/drawingml/2006/picture">
            <wp:extent cx="5400000" cy="3429874"/>
            <wp:docPr id="10" name="Picture 10"/>
            <wp:cNvGraphicFramePr>
              <a:graphicFrameLocks noChangeAspect="1"/>
            </wp:cNvGraphicFramePr>
            <a:graphic>
              <a:graphicData uri="http://schemas.openxmlformats.org/drawingml/2006/picture">
                <pic:pic>
                  <pic:nvPicPr>
                    <pic:cNvPr id="0" name="sekil10-iki-olcek.png"/>
                    <pic:cNvPicPr/>
                  </pic:nvPicPr>
                  <pic:blipFill>
                    <a:blip r:embed="rId18"/>
                    <a:stretch>
                      <a:fillRect/>
                    </a:stretch>
                  </pic:blipFill>
                  <pic:spPr>
                    <a:xfrm>
                      <a:off x="0" y="0"/>
                      <a:ext cx="5400000" cy="3429874"/>
                    </a:xfrm>
                    <a:prstGeom prst="rect"/>
                  </pic:spPr>
                </pic:pic>
              </a:graphicData>
            </a:graphic>
          </wp:inline>
        </w:drawing>
      </w:r>
    </w:p>
    <w:p>
      <w:pPr>
        <w:spacing w:after="160"/>
        <w:jc w:val="both"/>
      </w:pPr>
      <w:r>
        <w:rPr>
          <w:rFonts w:ascii="Palatino Linotype" w:hAnsi="Palatino Linotype" w:eastAsia="Palatino Linotype"/>
          <w:b/>
          <w:i w:val="0"/>
          <w:sz w:val="18"/>
        </w:rPr>
        <w:t xml:space="preserve">Figure 10. </w:t>
      </w:r>
      <w:r>
        <w:rPr>
          <w:rFonts w:ascii="Palatino Linotype" w:hAnsi="Palatino Linotype" w:eastAsia="Palatino Linotype"/>
          <w:b w:val="0"/>
          <w:i w:val="0"/>
          <w:sz w:val="18"/>
        </w:rPr>
        <w:t>The two reference designs at a common scale: 50 kg and 1000 kg, twenty times apart in mass and 3.35 times in span. Disc loading, energy-buffer mass fraction and tip-frame drag fraction are preserved across that range; transition time is not, and neither is the ratio of propeller diameter to span, which rises from 0.35 to 0.47 because holding the disc loading makes the propeller grow faster than the airframe.</w:t>
      </w:r>
    </w:p>
    <w:p>
      <w:pPr>
        <w:spacing w:before="0" w:after="80" w:line="240" w:lineRule="auto"/>
        <w:jc w:val="both"/>
      </w:pPr>
      <w:r>
        <w:rPr>
          <w:rFonts w:ascii="Palatino Linotype" w:hAnsi="Palatino Linotype" w:eastAsia="Palatino Linotype"/>
          <w:b/>
          <w:i w:val="0"/>
          <w:sz w:val="20"/>
        </w:rPr>
        <w:t>Disc loading is held constant</w:t>
      </w:r>
      <w:r>
        <w:rPr>
          <w:rFonts w:ascii="Palatino Linotype" w:hAnsi="Palatino Linotype" w:eastAsia="Palatino Linotype"/>
          <w:b w:val="0"/>
          <w:i w:val="0"/>
          <w:sz w:val="20"/>
        </w:rPr>
        <w:t xml:space="preserve"> — 44.2 and 43.7 kg m⁻². This is the rule that governs the sizing rather than a coincidence of it. Hover power per unit weight is √(DL/2ρ), so fixing disc loading fixes specific hover power: hover power rises from 10.9 kW to 216.2 kW, a factor of 19.8 against a mass factor of 20. </w:t>
      </w:r>
      <w:r>
        <w:rPr>
          <w:rFonts w:ascii="Palatino Linotype" w:hAnsi="Palatino Linotype" w:eastAsia="Palatino Linotype"/>
          <w:b/>
          <w:i w:val="0"/>
          <w:sz w:val="20"/>
        </w:rPr>
        <w:t>Hover power grows linearly with mass rather than as the L^3.5 of the classical result</w:t>
      </w:r>
      <w:r>
        <w:rPr>
          <w:rFonts w:ascii="Palatino Linotype" w:hAnsi="Palatino Linotype" w:eastAsia="Palatino Linotype"/>
          <w:b w:val="0"/>
          <w:i w:val="0"/>
          <w:sz w:val="20"/>
        </w:rPr>
        <w:t>, and that is the whole benefit of fixing it. The cost is that disc area must then grow as L³ rather than L², which for a fixed number of propellers is impossible. The architecture has two ways out and uses both: a coaxial pair may be added at no architectural cost, since every pair is torque-balanced on its own; and geometric similarity is not held.</w:t>
      </w:r>
    </w:p>
    <w:p>
      <w:pPr>
        <w:spacing w:before="0" w:after="80" w:line="240" w:lineRule="auto"/>
        <w:jc w:val="both"/>
      </w:pPr>
      <w:r>
        <w:rPr>
          <w:rFonts w:ascii="Palatino Linotype" w:hAnsi="Palatino Linotype" w:eastAsia="Palatino Linotype"/>
          <w:b/>
          <w:i w:val="0"/>
          <w:sz w:val="20"/>
        </w:rPr>
        <w:t>The three bills do not scale together, and Bill 2 scales in the configuration's favour.</w:t>
      </w:r>
      <w:r>
        <w:rPr>
          <w:rFonts w:ascii="Palatino Linotype" w:hAnsi="Palatino Linotype" w:eastAsia="Palatino Linotype"/>
          <w:b w:val="0"/>
          <w:i w:val="0"/>
          <w:sz w:val="20"/>
        </w:rPr>
        <w:t xml:space="preserve"> The free-wheeling charge computed in Sections 3.3 and 3.8 falls from 0.0154 at 50 kg to 0.0051 at 1000 kg while the mass bill rises and the power bill is held flat by construction.</w:t>
      </w:r>
    </w:p>
    <w:p>
      <w:pPr>
        <w:spacing w:before="0" w:after="80" w:line="240" w:lineRule="auto"/>
        <w:jc w:val="both"/>
      </w:pPr>
      <w:r>
        <w:rPr>
          <w:rFonts w:ascii="Palatino Linotype" w:hAnsi="Palatino Linotype" w:eastAsia="Palatino Linotype"/>
          <w:b/>
          <w:i w:val="0"/>
          <w:sz w:val="20"/>
        </w:rPr>
        <w:t>The mechanism is not the obvious one, and an earlier version of this paragraph gave the obvious one and was wrong.</w:t>
      </w:r>
      <w:r>
        <w:rPr>
          <w:rFonts w:ascii="Palatino Linotype" w:hAnsi="Palatino Linotype" w:eastAsia="Palatino Linotype"/>
          <w:b w:val="0"/>
          <w:i w:val="0"/>
          <w:sz w:val="20"/>
        </w:rPr>
        <w:t xml:space="preserve"> That version said the tip discs are referenced to a wing area that grows faster than they do. They are not: the eight discs total 0.251 m² against 1.98 m² of wing at 50 kg and 2.82 m² against 22.24 m² at 1000 kg, which is 0.127 in both cases. </w:t>
      </w:r>
      <w:r>
        <w:rPr>
          <w:rFonts w:ascii="Palatino Linotype" w:hAnsi="Palatino Linotype" w:eastAsia="Palatino Linotype"/>
          <w:b/>
          <w:i w:val="0"/>
          <w:sz w:val="20"/>
        </w:rPr>
        <w:t>The disc-to-wing area ratio is constant to three digits, and contributes nothing.</w:t>
      </w:r>
      <w:r>
        <w:rPr>
          <w:rFonts w:ascii="Palatino Linotype" w:hAnsi="Palatino Linotype" w:eastAsia="Palatino Linotype"/>
          <w:b w:val="0"/>
          <w:i w:val="0"/>
          <w:sz w:val="20"/>
        </w:rPr>
        <w:t xml:space="preserve"> What the charge actually follows is</w:t>
      </w:r>
    </w:p>
    <w:p>
      <w:pPr>
        <w:spacing w:before="0" w:after="80" w:line="240" w:lineRule="auto"/>
        <w:jc w:val="both"/>
      </w:pPr>
      <w:r>
        <w:rPr>
          <w:rFonts w:ascii="Palatino Linotype" w:hAnsi="Palatino Linotype" w:eastAsia="Palatino Linotype"/>
          <w:b w:val="0"/>
          <w:i w:val="0"/>
          <w:sz w:val="20"/>
        </w:rPr>
        <w:t>ΔC_D0  ∝  σ R² / (q S),</w:t>
      </w:r>
    </w:p>
    <w:p>
      <w:pPr>
        <w:spacing w:before="0" w:after="80" w:line="240" w:lineRule="auto"/>
        <w:jc w:val="both"/>
      </w:pPr>
      <w:r>
        <w:rPr>
          <w:rFonts w:ascii="Palatino Linotype" w:hAnsi="Palatino Linotype" w:eastAsia="Palatino Linotype"/>
          <w:b w:val="0"/>
          <w:i w:val="0"/>
          <w:sz w:val="20"/>
        </w:rPr>
        <w:t xml:space="preserve">in which the geometric ratio </w:t>
      </w:r>
      <w:r>
        <w:rPr>
          <w:rFonts w:ascii="Palatino Linotype" w:hAnsi="Palatino Linotype" w:eastAsia="Palatino Linotype"/>
          <w:b w:val="0"/>
          <w:i/>
          <w:sz w:val="20"/>
        </w:rPr>
        <w:t>R²/S</w:t>
      </w:r>
      <w:r>
        <w:rPr>
          <w:rFonts w:ascii="Palatino Linotype" w:hAnsi="Palatino Linotype" w:eastAsia="Palatino Linotype"/>
          <w:b w:val="0"/>
          <w:i w:val="0"/>
          <w:sz w:val="20"/>
        </w:rPr>
        <w:t xml:space="preserve"> is the constant just quoted, so only two terms move: the blade solidity falls from 0.075 to 0.044 as the larger rotor meets its thrust with proportionally less blade, and the cruise dynamic pressure rises by a factor 1.78 between 30 and 40 m s⁻¹. Their product, 1.73 × 1.78 = 3.08, is the predicted ratio; the computed ratio is 3.04. </w:t>
      </w:r>
      <w:r>
        <w:rPr>
          <w:rFonts w:ascii="Palatino Linotype" w:hAnsi="Palatino Linotype" w:eastAsia="Palatino Linotype"/>
          <w:b/>
          <w:i w:val="0"/>
          <w:sz w:val="20"/>
        </w:rPr>
        <w:t>The bill falls because the reference dynamic pressure rises and the blade thins, not because the wing outgrows the disc.</w:t>
      </w:r>
    </w:p>
    <w:p>
      <w:pPr>
        <w:spacing w:before="0" w:after="80" w:line="240" w:lineRule="auto"/>
        <w:jc w:val="both"/>
      </w:pPr>
      <w:r>
        <w:rPr>
          <w:rFonts w:ascii="Palatino Linotype" w:hAnsi="Palatino Linotype" w:eastAsia="Palatino Linotype"/>
          <w:b/>
          <w:i w:val="0"/>
          <w:sz w:val="20"/>
        </w:rPr>
        <w:t>The two halves of this comparison do not have the same standing, and putting them under one heading would suggest they do.</w:t>
      </w:r>
      <w:r>
        <w:rPr>
          <w:rFonts w:ascii="Palatino Linotype" w:hAnsi="Palatino Linotype" w:eastAsia="Palatino Linotype"/>
          <w:b w:val="0"/>
          <w:i w:val="0"/>
          <w:sz w:val="20"/>
        </w:rPr>
        <w:t xml:space="preserve"> Bill 2's scaling is computed: it comes from two blade-element solutions on two sized rotors, it uses solidity and cruise dynamic pressure, and </w:t>
      </w:r>
      <w:r>
        <w:rPr>
          <w:rFonts w:ascii="Palatino Linotype" w:hAnsi="Palatino Linotype" w:eastAsia="Palatino Linotype"/>
          <w:b/>
          <w:i w:val="0"/>
          <w:sz w:val="20"/>
        </w:rPr>
        <w:t>it does not touch the shell-mass exponent at all.</w:t>
      </w:r>
      <w:r>
        <w:rPr>
          <w:rFonts w:ascii="Palatino Linotype" w:hAnsi="Palatino Linotype" w:eastAsia="Palatino Linotype"/>
          <w:b w:val="0"/>
          <w:i w:val="0"/>
          <w:sz w:val="20"/>
        </w:rPr>
        <w:t xml:space="preserve"> It would remain a result even if the heavy airframe were shown not to close. Bill 1's scaling is the opposite case: it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the unmeasured exponent of Supplementary S2, and it is a projection of the sizing model rather than a computed outcome. The first is reported here as a result; the second as a property of the model, conditional on an exponent nobody has measured.</w:t>
      </w:r>
    </w:p>
    <w:p>
      <w:pPr>
        <w:spacing w:before="0" w:after="80" w:line="240" w:lineRule="auto"/>
        <w:jc w:val="both"/>
      </w:pPr>
      <w:r>
        <w:rPr>
          <w:rFonts w:ascii="Palatino Linotype" w:hAnsi="Palatino Linotype" w:eastAsia="Palatino Linotype"/>
          <w:b/>
          <w:i w:val="0"/>
          <w:sz w:val="20"/>
        </w:rPr>
        <w:t>What the pair does and does not establish.</w:t>
      </w:r>
      <w:r>
        <w:rPr>
          <w:rFonts w:ascii="Palatino Linotype" w:hAnsi="Palatino Linotype" w:eastAsia="Palatino Linotype"/>
          <w:b w:val="0"/>
          <w:i w:val="0"/>
          <w:sz w:val="20"/>
        </w:rPr>
        <w:t xml:space="preserve"> The currencies were computed independently at two design points and moved in opposite directions; nothing in the definitions of Section 2 required them to. That is evidence </w:t>
      </w:r>
      <w:r>
        <w:rPr>
          <w:rFonts w:ascii="Palatino Linotype" w:hAnsi="Palatino Linotype" w:eastAsia="Palatino Linotype"/>
          <w:b w:val="0"/>
          <w:i/>
          <w:sz w:val="20"/>
        </w:rPr>
        <w:t>consistent with</w:t>
      </w:r>
      <w:r>
        <w:rPr>
          <w:rFonts w:ascii="Palatino Linotype" w:hAnsi="Palatino Linotype" w:eastAsia="Palatino Linotype"/>
          <w:b w:val="0"/>
          <w:i w:val="0"/>
          <w:sz w:val="20"/>
        </w:rPr>
        <w:t xml:space="preserve"> the separability the framework asserts, demonstrated on one case — not a verification of separability as a general property, which a single instantiation cannot supply. What it does establish for this configuration, and what does not depend on the structural question at all, is a consequence worth stating on its own: </w:t>
      </w:r>
      <w:r>
        <w:rPr>
          <w:rFonts w:ascii="Palatino Linotype" w:hAnsi="Palatino Linotype" w:eastAsia="Palatino Linotype"/>
          <w:b/>
          <w:i w:val="0"/>
          <w:sz w:val="20"/>
        </w:rPr>
        <w:t>the light design is the harder case for Bill 2 and the heavy design the easier</w:t>
      </w:r>
      <w:r>
        <w:rPr>
          <w:rFonts w:ascii="Palatino Linotype" w:hAnsi="Palatino Linotype" w:eastAsia="Palatino Linotype"/>
          <w:b w:val="0"/>
          <w:i w:val="0"/>
          <w:sz w:val="20"/>
        </w:rPr>
        <w:t>, which is the opposite of the usual expectation for a tail-sitter.</w:t>
      </w:r>
    </w:p>
    <w:p>
      <w:pPr>
        <w:spacing w:before="0" w:after="80" w:line="240" w:lineRule="auto"/>
        <w:jc w:val="both"/>
      </w:pPr>
      <w:r>
        <w:rPr>
          <w:rFonts w:ascii="Palatino Linotype" w:hAnsi="Palatino Linotype" w:eastAsia="Palatino Linotype"/>
          <w:b/>
          <w:i w:val="0"/>
          <w:sz w:val="20"/>
        </w:rPr>
        <w:t>The propeller therefore grows faster than the airframe.</w:t>
      </w:r>
      <w:r>
        <w:rPr>
          <w:rFonts w:ascii="Palatino Linotype" w:hAnsi="Palatino Linotype" w:eastAsia="Palatino Linotype"/>
          <w:b w:val="0"/>
          <w:i w:val="0"/>
          <w:sz w:val="20"/>
        </w:rPr>
        <w:t xml:space="preserve"> Wing loading rises from 25.3 to 45.0 kg m⁻², so span grows by 3.35 against the 4.50 by which the main propeller must grow. The ratio of propeller diameter to span rises from 0.35 to 0.47: the heavy design is not the light design photographed from further away, and its propeller occupies almost half its span. Nothing in the argument fails because of this — the propeller is the nose of the aircraft rather than an appendage, and disc loading is what is being held — but the claim that the configuration keeps its proportions applies to the quantities named here and not to every dimension. Much above 1000 kg, a single nose pair can no longer hold the disc loading and a second must be added.</w:t>
      </w:r>
    </w:p>
    <w:p>
      <w:pPr>
        <w:spacing w:before="0" w:after="80" w:line="240" w:lineRule="auto"/>
        <w:jc w:val="both"/>
      </w:pPr>
      <w:r>
        <w:rPr>
          <w:rFonts w:ascii="Palatino Linotype" w:hAnsi="Palatino Linotype" w:eastAsia="Palatino Linotype"/>
          <w:b/>
          <w:i w:val="0"/>
          <w:sz w:val="20"/>
        </w:rPr>
        <w:t>The buffer fraction is preserved</w:t>
      </w:r>
      <w:r>
        <w:rPr>
          <w:rFonts w:ascii="Palatino Linotype" w:hAnsi="Palatino Linotype" w:eastAsia="Palatino Linotype"/>
          <w:b w:val="0"/>
          <w:i w:val="0"/>
          <w:sz w:val="20"/>
        </w:rPr>
        <w:t xml:space="preserve"> (3.6 % of MTOW at 50 kg, 4.0 % at 1000 kg), so the mechanism by which Bill 3 is avoided does not degrade with size, and </w:t>
      </w:r>
      <w:r>
        <w:rPr>
          <w:rFonts w:ascii="Palatino Linotype" w:hAnsi="Palatino Linotype" w:eastAsia="Palatino Linotype"/>
          <w:b/>
          <w:i w:val="0"/>
          <w:sz w:val="20"/>
        </w:rPr>
        <w:t>the frame drag fraction is preserved</w:t>
      </w:r>
      <w:r>
        <w:rPr>
          <w:rFonts w:ascii="Palatino Linotype" w:hAnsi="Palatino Linotype" w:eastAsia="Palatino Linotype"/>
          <w:b w:val="0"/>
          <w:i w:val="0"/>
          <w:sz w:val="20"/>
        </w:rPr>
        <w:t xml:space="preserve"> because frontal and wing area both scale as L².</w:t>
      </w:r>
    </w:p>
    <w:p>
      <w:pPr>
        <w:spacing w:before="0" w:after="80" w:line="240" w:lineRule="auto"/>
        <w:jc w:val="both"/>
      </w:pPr>
      <w:r>
        <w:rPr>
          <w:rFonts w:ascii="Palatino Linotype" w:hAnsi="Palatino Linotype" w:eastAsia="Palatino Linotype"/>
          <w:b/>
          <w:i w:val="0"/>
          <w:sz w:val="20"/>
        </w:rPr>
        <w:t>Transition time does not scale, and this is the exception.</w:t>
      </w:r>
      <w:r>
        <w:rPr>
          <w:rFonts w:ascii="Palatino Linotype" w:hAnsi="Palatino Linotype" w:eastAsia="Palatino Linotype"/>
          <w:b w:val="0"/>
          <w:i w:val="0"/>
          <w:sz w:val="20"/>
        </w:rPr>
        <w:t xml:space="preserve"> The rotating moment follows M = Iα with I ∝ mL², so the moment needed to turn the aircraft in a fixed time grows much faster than the aircraft. Scaling the light design's two-second rotation to 1000 kg would demand 221.5 kW from the tip propellers — 102 % of hover power, which is to say it is not available (Table 15):</w:t>
      </w:r>
    </w:p>
    <w:p>
      <w:pPr>
        <w:spacing w:before="0" w:after="80" w:line="240" w:lineRule="auto"/>
        <w:jc w:val="both"/>
        <w:keepNext/>
      </w:pPr>
      <w:r>
        <w:rPr>
          <w:rFonts w:ascii="Palatino Linotype" w:hAnsi="Palatino Linotype" w:eastAsia="Palatino Linotype"/>
          <w:b/>
          <w:i w:val="0"/>
          <w:sz w:val="20"/>
        </w:rPr>
        <w:t>Table 15.</w:t>
      </w:r>
      <w:r>
        <w:rPr>
          <w:rFonts w:ascii="Palatino Linotype" w:hAnsi="Palatino Linotype" w:eastAsia="Palatino Linotype"/>
          <w:b w:val="0"/>
          <w:i w:val="0"/>
          <w:sz w:val="20"/>
        </w:rPr>
        <w:t xml:space="preserve"> Tip-propeller power required to rotate the heavy reference design.</w:t>
      </w:r>
    </w:p>
    <w:tbl>
      <w:tblPr>
        <w:tblStyle w:val="TableGrid"/>
        <w:tblW w:type="auto" w:w="0"/>
        <w:jc w:val="center"/>
        <w:tblLook w:firstColumn="1" w:firstRow="1" w:lastColumn="0" w:lastRow="0" w:noHBand="0" w:noVBand="1" w:val="04A0"/>
      </w:tblPr>
      <w:tblGrid>
        <w:gridCol w:w="3324"/>
        <w:gridCol w:w="3324"/>
        <w:gridCol w:w="3324"/>
      </w:tblGrid>
      <w:tr>
        <w:trPr>
          <w:cantSplit/>
          <w:tblHeader/>
        </w:trPr>
        <w:tc>
          <w:tcPr>
            <w:tcW w:type="dxa" w:w="3324"/>
          </w:tcPr>
          <w:p>
            <w:pPr>
              <w:spacing w:before="20" w:after="20"/>
            </w:pPr>
            <w:r/>
            <w:r>
              <w:rPr>
                <w:rFonts w:ascii="Palatino Linotype" w:hAnsi="Palatino Linotype" w:eastAsia="Palatino Linotype"/>
                <w:b/>
                <w:i w:val="0"/>
                <w:sz w:val="18"/>
              </w:rPr>
              <w:t>Rotation time</w:t>
            </w:r>
          </w:p>
        </w:tc>
        <w:tc>
          <w:tcPr>
            <w:tcW w:type="dxa" w:w="3324"/>
          </w:tcPr>
          <w:p>
            <w:pPr>
              <w:spacing w:before="20" w:after="20"/>
            </w:pPr>
            <w:r/>
            <w:r>
              <w:rPr>
                <w:rFonts w:ascii="Palatino Linotype" w:hAnsi="Palatino Linotype" w:eastAsia="Palatino Linotype"/>
                <w:b/>
                <w:i w:val="0"/>
                <w:sz w:val="18"/>
              </w:rPr>
              <w:t>Tip-propeller power, 4 total</w:t>
            </w:r>
          </w:p>
        </w:tc>
        <w:tc>
          <w:tcPr>
            <w:tcW w:type="dxa" w:w="3324"/>
          </w:tcPr>
          <w:p>
            <w:pPr>
              <w:spacing w:before="20" w:after="20"/>
            </w:pPr>
            <w:r/>
            <w:r>
              <w:rPr>
                <w:rFonts w:ascii="Palatino Linotype" w:hAnsi="Palatino Linotype" w:eastAsia="Palatino Linotype"/>
                <w:b/>
                <w:i w:val="0"/>
                <w:sz w:val="18"/>
              </w:rPr>
              <w:t>Fraction of hover power</w:t>
            </w:r>
          </w:p>
        </w:tc>
      </w:tr>
      <w:tr>
        <w:trPr>
          <w:cantSplit/>
        </w:trPr>
        <w:tc>
          <w:tcPr>
            <w:tcW w:type="dxa" w:w="3324"/>
          </w:tcPr>
          <w:p>
            <w:pPr>
              <w:spacing w:before="20" w:after="20"/>
            </w:pPr>
            <w:r/>
            <w:r>
              <w:rPr>
                <w:rFonts w:ascii="Palatino Linotype" w:hAnsi="Palatino Linotype" w:eastAsia="Palatino Linotype"/>
                <w:b w:val="0"/>
                <w:i w:val="0"/>
                <w:sz w:val="18"/>
              </w:rPr>
              <w:t>2 s</w:t>
            </w:r>
          </w:p>
        </w:tc>
        <w:tc>
          <w:tcPr>
            <w:tcW w:type="dxa" w:w="3324"/>
          </w:tcPr>
          <w:p>
            <w:pPr>
              <w:spacing w:before="20" w:after="20"/>
            </w:pPr>
            <w:r/>
            <w:r>
              <w:rPr>
                <w:rFonts w:ascii="Palatino Linotype" w:hAnsi="Palatino Linotype" w:eastAsia="Palatino Linotype"/>
                <w:b w:val="0"/>
                <w:i w:val="0"/>
                <w:sz w:val="18"/>
              </w:rPr>
              <w:t>221.5 kW</w:t>
            </w:r>
          </w:p>
        </w:tc>
        <w:tc>
          <w:tcPr>
            <w:tcW w:type="dxa" w:w="3324"/>
          </w:tcPr>
          <w:p>
            <w:pPr>
              <w:spacing w:before="20" w:after="20"/>
            </w:pPr>
            <w:r/>
            <w:r>
              <w:rPr>
                <w:rFonts w:ascii="Palatino Linotype" w:hAnsi="Palatino Linotype" w:eastAsia="Palatino Linotype"/>
                <w:b w:val="0"/>
                <w:i w:val="0"/>
                <w:sz w:val="18"/>
              </w:rPr>
              <w:t>102 %</w:t>
            </w:r>
          </w:p>
        </w:tc>
      </w:tr>
      <w:tr>
        <w:trPr>
          <w:cantSplit/>
        </w:trPr>
        <w:tc>
          <w:tcPr>
            <w:tcW w:type="dxa" w:w="3324"/>
          </w:tcPr>
          <w:p>
            <w:pPr>
              <w:spacing w:before="20" w:after="20"/>
            </w:pPr>
            <w:r/>
            <w:r>
              <w:rPr>
                <w:rFonts w:ascii="Palatino Linotype" w:hAnsi="Palatino Linotype" w:eastAsia="Palatino Linotype"/>
                <w:b w:val="0"/>
                <w:i w:val="0"/>
                <w:sz w:val="18"/>
              </w:rPr>
              <w:t>3 s</w:t>
            </w:r>
          </w:p>
        </w:tc>
        <w:tc>
          <w:tcPr>
            <w:tcW w:type="dxa" w:w="3324"/>
          </w:tcPr>
          <w:p>
            <w:pPr>
              <w:spacing w:before="20" w:after="20"/>
            </w:pPr>
            <w:r/>
            <w:r>
              <w:rPr>
                <w:rFonts w:ascii="Palatino Linotype" w:hAnsi="Palatino Linotype" w:eastAsia="Palatino Linotype"/>
                <w:b w:val="0"/>
                <w:i w:val="0"/>
                <w:sz w:val="18"/>
              </w:rPr>
              <w:t>65.6 kW</w:t>
            </w:r>
          </w:p>
        </w:tc>
        <w:tc>
          <w:tcPr>
            <w:tcW w:type="dxa" w:w="3324"/>
          </w:tcPr>
          <w:p>
            <w:pPr>
              <w:spacing w:before="20" w:after="20"/>
            </w:pPr>
            <w:r/>
            <w:r>
              <w:rPr>
                <w:rFonts w:ascii="Palatino Linotype" w:hAnsi="Palatino Linotype" w:eastAsia="Palatino Linotype"/>
                <w:b w:val="0"/>
                <w:i w:val="0"/>
                <w:sz w:val="18"/>
              </w:rPr>
              <w:t>30 %</w:t>
            </w:r>
          </w:p>
        </w:tc>
      </w:tr>
      <w:tr>
        <w:trPr>
          <w:cantSplit/>
        </w:trPr>
        <w:tc>
          <w:tcPr>
            <w:tcW w:type="dxa" w:w="3324"/>
          </w:tcPr>
          <w:p>
            <w:pPr>
              <w:spacing w:before="20" w:after="20"/>
            </w:pPr>
            <w:r/>
            <w:r>
              <w:rPr>
                <w:rFonts w:ascii="Palatino Linotype" w:hAnsi="Palatino Linotype" w:eastAsia="Palatino Linotype"/>
                <w:b w:val="0"/>
                <w:i w:val="0"/>
                <w:sz w:val="18"/>
              </w:rPr>
              <w:t>4 s</w:t>
            </w:r>
          </w:p>
        </w:tc>
        <w:tc>
          <w:tcPr>
            <w:tcW w:type="dxa" w:w="3324"/>
          </w:tcPr>
          <w:p>
            <w:pPr>
              <w:spacing w:before="20" w:after="20"/>
            </w:pPr>
            <w:r/>
            <w:r>
              <w:rPr>
                <w:rFonts w:ascii="Palatino Linotype" w:hAnsi="Palatino Linotype" w:eastAsia="Palatino Linotype"/>
                <w:b w:val="0"/>
                <w:i w:val="0"/>
                <w:sz w:val="18"/>
              </w:rPr>
              <w:t>27.7 kW</w:t>
            </w:r>
          </w:p>
        </w:tc>
        <w:tc>
          <w:tcPr>
            <w:tcW w:type="dxa" w:w="3324"/>
          </w:tcPr>
          <w:p>
            <w:pPr>
              <w:spacing w:before="20" w:after="20"/>
            </w:pPr>
            <w:r/>
            <w:r>
              <w:rPr>
                <w:rFonts w:ascii="Palatino Linotype" w:hAnsi="Palatino Linotype" w:eastAsia="Palatino Linotype"/>
                <w:b w:val="0"/>
                <w:i w:val="0"/>
                <w:sz w:val="18"/>
              </w:rPr>
              <w:t>13 %</w:t>
            </w:r>
          </w:p>
        </w:tc>
      </w:tr>
      <w:tr>
        <w:trPr>
          <w:cantSplit/>
        </w:trPr>
        <w:tc>
          <w:tcPr>
            <w:tcW w:type="dxa" w:w="3324"/>
          </w:tcPr>
          <w:p>
            <w:pPr>
              <w:spacing w:before="20" w:after="20"/>
            </w:pPr>
            <w:r/>
            <w:r>
              <w:rPr>
                <w:rFonts w:ascii="Palatino Linotype" w:hAnsi="Palatino Linotype" w:eastAsia="Palatino Linotype"/>
                <w:b/>
                <w:i w:val="0"/>
                <w:sz w:val="18"/>
              </w:rPr>
              <w:t>5.1 s</w:t>
            </w:r>
          </w:p>
        </w:tc>
        <w:tc>
          <w:tcPr>
            <w:tcW w:type="dxa" w:w="3324"/>
          </w:tcPr>
          <w:p>
            <w:pPr>
              <w:spacing w:before="20" w:after="20"/>
            </w:pPr>
            <w:r/>
            <w:r>
              <w:rPr>
                <w:rFonts w:ascii="Palatino Linotype" w:hAnsi="Palatino Linotype" w:eastAsia="Palatino Linotype"/>
                <w:b/>
                <w:i w:val="0"/>
                <w:sz w:val="18"/>
              </w:rPr>
              <w:t>13.4 kW</w:t>
            </w:r>
          </w:p>
        </w:tc>
        <w:tc>
          <w:tcPr>
            <w:tcW w:type="dxa" w:w="3324"/>
          </w:tcPr>
          <w:p>
            <w:pPr>
              <w:spacing w:before="20" w:after="20"/>
            </w:pPr>
            <w:r/>
            <w:r>
              <w:rPr>
                <w:rFonts w:ascii="Palatino Linotype" w:hAnsi="Palatino Linotype" w:eastAsia="Palatino Linotype"/>
                <w:b/>
                <w:i w:val="0"/>
                <w:sz w:val="18"/>
              </w:rPr>
              <w:t>6 %</w:t>
            </w:r>
          </w:p>
        </w:tc>
      </w:tr>
    </w:tbl>
    <w:p/>
    <w:p>
      <w:pPr>
        <w:spacing w:before="0" w:after="80" w:line="240" w:lineRule="auto"/>
        <w:jc w:val="both"/>
      </w:pPr>
      <w:r>
        <w:rPr>
          <w:rFonts w:ascii="Palatino Linotype" w:hAnsi="Palatino Linotype" w:eastAsia="Palatino Linotype"/>
          <w:b/>
          <w:i w:val="0"/>
          <w:sz w:val="20"/>
        </w:rPr>
        <w:t>The rule is that a larger aircraft turns more slowly.</w:t>
      </w:r>
      <w:r>
        <w:rPr>
          <w:rFonts w:ascii="Palatino Linotype" w:hAnsi="Palatino Linotype" w:eastAsia="Palatino Linotype"/>
          <w:b w:val="0"/>
          <w:i w:val="0"/>
          <w:sz w:val="20"/>
        </w:rPr>
        <w:t xml:space="preserve"> The heavy design rotates in 5.1 s at six percent of hover power — not a round number but the rotation time at which it holds the same control margin the light design holds at two seconds (Section 3.17). The constraint is less costly than it looks, because Section 3.15 shows a slower rotation loses </w:t>
      </w:r>
      <w:r>
        <w:rPr>
          <w:rFonts w:ascii="Palatino Linotype" w:hAnsi="Palatino Linotype" w:eastAsia="Palatino Linotype"/>
          <w:b w:val="0"/>
          <w:i/>
          <w:sz w:val="20"/>
        </w:rPr>
        <w:t>less</w:t>
      </w:r>
      <w:r>
        <w:rPr>
          <w:rFonts w:ascii="Palatino Linotype" w:hAnsi="Palatino Linotype" w:eastAsia="Palatino Linotype"/>
          <w:b w:val="0"/>
          <w:i w:val="0"/>
          <w:sz w:val="20"/>
        </w:rPr>
        <w:t xml:space="preserve"> altitude: the scaling penalty on transition time works with the penalty on control power rather than against it. The classical objection to scaling a VTOL aircraft — hover power growing as L^3.5 against power available as L³ — is removed on the hover side by fixing disc loading. It is not removed on the transition side, and Table 15 is where it reappears: </w:t>
      </w:r>
      <w:r>
        <w:rPr>
          <w:rFonts w:ascii="Palatino Linotype" w:hAnsi="Palatino Linotype" w:eastAsia="Palatino Linotype"/>
          <w:b/>
          <w:i w:val="0"/>
          <w:sz w:val="20"/>
        </w:rPr>
        <w:t>the rotation is the one place in this aircraft where the square–cube relation is still paid in full.</w:t>
      </w:r>
    </w:p>
    <w:p>
      <w:pPr>
        <w:spacing w:before="200" w:after="80"/>
      </w:pPr>
      <w:r>
        <w:rPr>
          <w:rFonts w:ascii="Palatino Linotype" w:hAnsi="Palatino Linotype" w:eastAsia="Palatino Linotype"/>
          <w:b/>
          <w:i w:val="0"/>
          <w:sz w:val="22"/>
        </w:rPr>
        <w:t>3.10 Independent checks on the two assumed coefficients</w:t>
      </w:r>
    </w:p>
    <w:p>
      <w:pPr>
        <w:spacing w:before="0" w:after="80" w:line="240" w:lineRule="auto"/>
        <w:jc w:val="both"/>
      </w:pPr>
      <w:r>
        <w:rPr>
          <w:rFonts w:ascii="Palatino Linotype" w:hAnsi="Palatino Linotype" w:eastAsia="Palatino Linotype"/>
          <w:b w:val="0"/>
          <w:i w:val="0"/>
          <w:sz w:val="20"/>
        </w:rPr>
        <w:t>Both coefficients carried through Sections 3.7 and 3.8 were assumed. Both have since been computed, and the computations are reported in full in Supplementary S1. Neither replaces its assumption in the figures above — those are quoted on one stated basis throughout — but each bounds it, and the direction of each is stated here.</w:t>
      </w:r>
    </w:p>
    <w:p>
      <w:pPr>
        <w:spacing w:before="0" w:after="80" w:line="240" w:lineRule="auto"/>
        <w:jc w:val="both"/>
      </w:pPr>
      <w:r>
        <w:rPr>
          <w:rFonts w:ascii="Palatino Linotype" w:hAnsi="Palatino Linotype" w:eastAsia="Palatino Linotype"/>
          <w:b/>
          <w:i w:val="0"/>
          <w:sz w:val="20"/>
        </w:rPr>
        <w:t>Zero-lift drag.</w:t>
      </w:r>
      <w:r>
        <w:rPr>
          <w:rFonts w:ascii="Palatino Linotype" w:hAnsi="Palatino Linotype" w:eastAsia="Palatino Linotype"/>
          <w:b w:val="0"/>
          <w:i w:val="0"/>
          <w:sz w:val="20"/>
        </w:rPr>
        <w:t xml:space="preserve"> A Reynolds-averaged solution of the wing and body gives C_D0 between 0.0120 and 0.0148, against the 0.0248 assumed. The spread is the turbulence closure: 0.01475 with Spalart–Allmaras and 0.01201 to 0.01253 with k-ω SST, eighteen percent apart at matched wall resolution. </w:t>
      </w:r>
      <w:r>
        <w:rPr>
          <w:rFonts w:ascii="Palatino Linotype" w:hAnsi="Palatino Linotype" w:eastAsia="Palatino Linotype"/>
          <w:b/>
          <w:i w:val="0"/>
          <w:sz w:val="20"/>
        </w:rPr>
        <w:t>The assumption lies above the whole of that range</w:t>
      </w:r>
      <w:r>
        <w:rPr>
          <w:rFonts w:ascii="Palatino Linotype" w:hAnsi="Palatino Linotype" w:eastAsia="Palatino Linotype"/>
          <w:b w:val="0"/>
          <w:i w:val="0"/>
          <w:sz w:val="20"/>
        </w:rPr>
        <w:t xml:space="preserve">, so against the airframe alone it is conservative rather than optimistic. </w:t>
      </w:r>
      <w:r>
        <w:rPr>
          <w:rFonts w:ascii="Palatino Linotype" w:hAnsi="Palatino Linotype" w:eastAsia="Palatino Linotype"/>
          <w:b/>
          <w:i w:val="0"/>
          <w:sz w:val="20"/>
        </w:rPr>
        <w:t>It is not conservative against the aircraft.</w:t>
      </w:r>
      <w:r>
        <w:rPr>
          <w:rFonts w:ascii="Palatino Linotype" w:hAnsi="Palatino Linotype" w:eastAsia="Palatino Linotype"/>
          <w:b w:val="0"/>
          <w:i w:val="0"/>
          <w:sz w:val="20"/>
        </w:rPr>
        <w:t xml:space="preserve"> That solution resolves the wing and the body and no rotors, and the free-wheeling discs computed in Section 3.3 add at least 0.0154 to whatever it returns. Carried into the build-up of Supplementary S1 the bracket becomes 0.0285 to 0.0381 and the assumed 0.0248 lies below both ends rather than above them — optimistic by as much as fifty-three percent at the upper end. </w:t>
      </w:r>
      <w:r>
        <w:rPr>
          <w:rFonts w:ascii="Palatino Linotype" w:hAnsi="Palatino Linotype" w:eastAsia="Palatino Linotype"/>
          <w:b/>
          <w:i w:val="0"/>
          <w:sz w:val="20"/>
        </w:rPr>
        <w:t>The cruise lift-to-drag ratio, the ranges of Section 3.8 and the comparative sizing of Section 3.6 are all computed on 0.0248 and none of them is re-derived here.</w:t>
      </w:r>
      <w:r>
        <w:rPr>
          <w:rFonts w:ascii="Palatino Linotype" w:hAnsi="Palatino Linotype" w:eastAsia="Palatino Linotype"/>
          <w:b w:val="0"/>
          <w:i w:val="0"/>
          <w:sz w:val="20"/>
        </w:rPr>
        <w:t xml:space="preserve"> Two things S1 does not settle: the solutions are fully turbulent, so the clean-surface figure of 0.0073 from the strip method is untested and the gap between it and 0.0120–0.0148 is now the largest single uncertainty in the zero-lift drag; and the wall-resolved SST case admits more than one stationary solution, two converged starts settling 4.3 percent apart in the pressure component.</w:t>
      </w:r>
    </w:p>
    <w:p>
      <w:pPr>
        <w:spacing w:before="0" w:after="80" w:line="240" w:lineRule="auto"/>
        <w:jc w:val="both"/>
      </w:pPr>
      <w:r>
        <w:rPr>
          <w:rFonts w:ascii="Palatino Linotype" w:hAnsi="Palatino Linotype" w:eastAsia="Palatino Linotype"/>
          <w:b/>
          <w:i w:val="0"/>
          <w:sz w:val="20"/>
        </w:rPr>
        <w:t>Span efficiency.</w:t>
      </w:r>
      <w:r>
        <w:rPr>
          <w:rFonts w:ascii="Palatino Linotype" w:hAnsi="Palatino Linotype" w:eastAsia="Palatino Linotype"/>
          <w:b w:val="0"/>
          <w:i w:val="0"/>
          <w:sz w:val="20"/>
        </w:rPr>
        <w:t xml:space="preserve"> A vortex-lattice solution gives an inviscid span efficiency of 0.990 for the untwisted planform and 0.859 for the wing twisted to trim. Those are not the quantity the drag build-up needs: an Oswald-type efficiency also carries the viscous drag due to lift. An earlier version of this paper converted between them with a borrowed rule of 85 to 90 percent and reported an implied value of 0.735 to 0.78. S1 computes the conversion instead, on this planform, by calling the section solver at </w:t>
      </w:r>
      <w:r>
        <w:rPr>
          <w:rFonts w:ascii="Palatino Linotype" w:hAnsi="Palatino Linotype" w:eastAsia="Palatino Linotype"/>
          <w:b/>
          <w:i w:val="0"/>
          <w:sz w:val="20"/>
        </w:rPr>
        <w:t>each spanwise station's own local lift coefficient</w:t>
      </w:r>
      <w:r>
        <w:rPr>
          <w:rFonts w:ascii="Palatino Linotype" w:hAnsi="Palatino Linotype" w:eastAsia="Palatino Linotype"/>
          <w:b w:val="0"/>
          <w:i w:val="0"/>
          <w:sz w:val="20"/>
        </w:rPr>
        <w:t xml:space="preserve"> rather than at zero lift and integrating the profile drag across the span — the two-dimensional-viscous-coupled-to-three-dimensional-circulation construction of the non-linear vortex-lattice literature [40]. Before any number is taken from it, the strip decomposition is checked against the solver it comes from: the strip loads reproduce the solver's own lift coefficient to six decimal places. Table 16 gives the two efficiencies.</w:t>
      </w:r>
    </w:p>
    <w:p>
      <w:pPr>
        <w:spacing w:before="0" w:after="80" w:line="240" w:lineRule="auto"/>
        <w:jc w:val="both"/>
        <w:keepNext/>
      </w:pPr>
      <w:r>
        <w:rPr>
          <w:rFonts w:ascii="Palatino Linotype" w:hAnsi="Palatino Linotype" w:eastAsia="Palatino Linotype"/>
          <w:b/>
          <w:i w:val="0"/>
          <w:sz w:val="20"/>
        </w:rPr>
        <w:t>Table 16.</w:t>
      </w:r>
      <w:r>
        <w:rPr>
          <w:rFonts w:ascii="Palatino Linotype" w:hAnsi="Palatino Linotype" w:eastAsia="Palatino Linotype"/>
          <w:b w:val="0"/>
          <w:i w:val="0"/>
          <w:sz w:val="20"/>
        </w:rPr>
        <w:t xml:space="preserve"> Inviscid and Oswald span efficiency of the planform, and the ratio between them.</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p>
        </w:tc>
        <w:tc>
          <w:tcPr>
            <w:tcW w:type="dxa" w:w="2493"/>
          </w:tcPr>
          <w:p>
            <w:pPr>
              <w:spacing w:before="20" w:after="20"/>
            </w:pPr>
            <w:r/>
            <w:r>
              <w:rPr>
                <w:rFonts w:ascii="Palatino Linotype" w:hAnsi="Palatino Linotype" w:eastAsia="Palatino Linotype"/>
                <w:b/>
                <w:i w:val="0"/>
                <w:sz w:val="18"/>
              </w:rPr>
              <w:t>Inviscid e</w:t>
            </w:r>
          </w:p>
        </w:tc>
        <w:tc>
          <w:tcPr>
            <w:tcW w:type="dxa" w:w="2493"/>
          </w:tcPr>
          <w:p>
            <w:pPr>
              <w:spacing w:before="20" w:after="20"/>
            </w:pPr>
            <w:r/>
            <w:r>
              <w:rPr>
                <w:rFonts w:ascii="Palatino Linotype" w:hAnsi="Palatino Linotype" w:eastAsia="Palatino Linotype"/>
                <w:b/>
                <w:i w:val="0"/>
                <w:sz w:val="18"/>
              </w:rPr>
              <w:t>Oswald e</w:t>
            </w:r>
          </w:p>
        </w:tc>
        <w:tc>
          <w:tcPr>
            <w:tcW w:type="dxa" w:w="2493"/>
          </w:tcPr>
          <w:p>
            <w:pPr>
              <w:spacing w:before="20" w:after="20"/>
            </w:pPr>
            <w:r/>
            <w:r>
              <w:rPr>
                <w:rFonts w:ascii="Palatino Linotype" w:hAnsi="Palatino Linotype" w:eastAsia="Palatino Linotype"/>
                <w:b/>
                <w:i w:val="0"/>
                <w:sz w:val="18"/>
              </w:rPr>
              <w:t>Ratio</w:t>
            </w:r>
          </w:p>
        </w:tc>
      </w:tr>
      <w:tr>
        <w:trPr>
          <w:cantSplit/>
        </w:trPr>
        <w:tc>
          <w:tcPr>
            <w:tcW w:type="dxa" w:w="2493"/>
          </w:tcPr>
          <w:p>
            <w:pPr>
              <w:spacing w:before="20" w:after="20"/>
            </w:pPr>
            <w:r/>
            <w:r>
              <w:rPr>
                <w:rFonts w:ascii="Palatino Linotype" w:hAnsi="Palatino Linotype" w:eastAsia="Palatino Linotype"/>
                <w:b w:val="0"/>
                <w:i w:val="0"/>
                <w:sz w:val="18"/>
              </w:rPr>
              <w:t>Untwisted planform</w:t>
            </w:r>
          </w:p>
        </w:tc>
        <w:tc>
          <w:tcPr>
            <w:tcW w:type="dxa" w:w="2493"/>
          </w:tcPr>
          <w:p>
            <w:pPr>
              <w:spacing w:before="20" w:after="20"/>
            </w:pPr>
            <w:r/>
            <w:r>
              <w:rPr>
                <w:rFonts w:ascii="Palatino Linotype" w:hAnsi="Palatino Linotype" w:eastAsia="Palatino Linotype"/>
                <w:b w:val="0"/>
                <w:i w:val="0"/>
                <w:sz w:val="18"/>
              </w:rPr>
              <w:t>0.990</w:t>
            </w:r>
          </w:p>
        </w:tc>
        <w:tc>
          <w:tcPr>
            <w:tcW w:type="dxa" w:w="2493"/>
          </w:tcPr>
          <w:p>
            <w:pPr>
              <w:spacing w:before="20" w:after="20"/>
            </w:pPr>
            <w:r/>
            <w:r>
              <w:rPr>
                <w:rFonts w:ascii="Palatino Linotype" w:hAnsi="Palatino Linotype" w:eastAsia="Palatino Linotype"/>
                <w:b w:val="0"/>
                <w:i w:val="0"/>
                <w:sz w:val="18"/>
              </w:rPr>
              <w:t>0.931</w:t>
            </w:r>
          </w:p>
        </w:tc>
        <w:tc>
          <w:tcPr>
            <w:tcW w:type="dxa" w:w="2493"/>
          </w:tcPr>
          <w:p>
            <w:pPr>
              <w:spacing w:before="20" w:after="20"/>
            </w:pPr>
            <w:r/>
            <w:r>
              <w:rPr>
                <w:rFonts w:ascii="Palatino Linotype" w:hAnsi="Palatino Linotype" w:eastAsia="Palatino Linotype"/>
                <w:b w:val="0"/>
                <w:i w:val="0"/>
                <w:sz w:val="18"/>
              </w:rPr>
              <w:t>0.940</w:t>
            </w:r>
          </w:p>
        </w:tc>
      </w:tr>
      <w:tr>
        <w:trPr>
          <w:cantSplit/>
        </w:trPr>
        <w:tc>
          <w:tcPr>
            <w:tcW w:type="dxa" w:w="2493"/>
          </w:tcPr>
          <w:p>
            <w:pPr>
              <w:spacing w:before="20" w:after="20"/>
            </w:pPr>
            <w:r/>
            <w:r>
              <w:rPr>
                <w:rFonts w:ascii="Palatino Linotype" w:hAnsi="Palatino Linotype" w:eastAsia="Palatino Linotype"/>
                <w:b/>
                <w:i w:val="0"/>
                <w:sz w:val="18"/>
              </w:rPr>
              <w:t>Trimmed, −9° washout</w:t>
            </w:r>
          </w:p>
        </w:tc>
        <w:tc>
          <w:tcPr>
            <w:tcW w:type="dxa" w:w="2493"/>
          </w:tcPr>
          <w:p>
            <w:pPr>
              <w:spacing w:before="20" w:after="20"/>
            </w:pPr>
            <w:r/>
            <w:r>
              <w:rPr>
                <w:rFonts w:ascii="Palatino Linotype" w:hAnsi="Palatino Linotype" w:eastAsia="Palatino Linotype"/>
                <w:b/>
                <w:i w:val="0"/>
                <w:sz w:val="18"/>
              </w:rPr>
              <w:t>0.859</w:t>
            </w:r>
          </w:p>
        </w:tc>
        <w:tc>
          <w:tcPr>
            <w:tcW w:type="dxa" w:w="2493"/>
          </w:tcPr>
          <w:p>
            <w:pPr>
              <w:spacing w:before="20" w:after="20"/>
            </w:pPr>
            <w:r/>
            <w:r>
              <w:rPr>
                <w:rFonts w:ascii="Palatino Linotype" w:hAnsi="Palatino Linotype" w:eastAsia="Palatino Linotype"/>
                <w:b/>
                <w:i w:val="0"/>
                <w:sz w:val="18"/>
              </w:rPr>
              <w:t>0.817</w:t>
            </w:r>
          </w:p>
        </w:tc>
        <w:tc>
          <w:tcPr>
            <w:tcW w:type="dxa" w:w="2493"/>
          </w:tcPr>
          <w:p>
            <w:pPr>
              <w:spacing w:before="20" w:after="20"/>
            </w:pPr>
            <w:r/>
            <w:r>
              <w:rPr>
                <w:rFonts w:ascii="Palatino Linotype" w:hAnsi="Palatino Linotype" w:eastAsia="Palatino Linotype"/>
                <w:b/>
                <w:i w:val="0"/>
                <w:sz w:val="18"/>
              </w:rPr>
              <w:t>0.951</w:t>
            </w:r>
          </w:p>
        </w:tc>
      </w:tr>
    </w:tbl>
    <w:p/>
    <w:p>
      <w:pPr>
        <w:spacing w:before="0" w:after="80" w:line="240" w:lineRule="auto"/>
        <w:jc w:val="both"/>
      </w:pPr>
      <w:r>
        <w:rPr>
          <w:rFonts w:ascii="Palatino Linotype" w:hAnsi="Palatino Linotype" w:eastAsia="Palatino Linotype"/>
          <w:b/>
          <w:i w:val="0"/>
          <w:sz w:val="20"/>
        </w:rPr>
        <w:t>The borrowed rule was wrong in the favourable direction and the conclusion is unchanged in the unfavourable one.</w:t>
      </w:r>
      <w:r>
        <w:rPr>
          <w:rFonts w:ascii="Palatino Linotype" w:hAnsi="Palatino Linotype" w:eastAsia="Palatino Linotype"/>
          <w:b w:val="0"/>
          <w:i w:val="0"/>
          <w:sz w:val="20"/>
        </w:rPr>
        <w:t xml:space="preserve"> The viscous penalty is 5 to 6 percent rather than 10 to 15, but the trimmed wing starts from 0.859, so the Oswald efficiency lands at </w:t>
      </w:r>
      <w:r>
        <w:rPr>
          <w:rFonts w:ascii="Palatino Linotype" w:hAnsi="Palatino Linotype" w:eastAsia="Palatino Linotype"/>
          <w:b/>
          <w:i w:val="0"/>
          <w:sz w:val="20"/>
        </w:rPr>
        <w:t>0.817 — below the assumed 0.85 by 3.9 percent</w:t>
      </w:r>
      <w:r>
        <w:rPr>
          <w:rFonts w:ascii="Palatino Linotype" w:hAnsi="Palatino Linotype" w:eastAsia="Palatino Linotype"/>
          <w:b w:val="0"/>
          <w:i w:val="0"/>
          <w:sz w:val="20"/>
        </w:rPr>
        <w:t xml:space="preserve">. At that value the cruise lift-to-drag ratio is </w:t>
      </w:r>
      <w:r>
        <w:rPr>
          <w:rFonts w:ascii="Palatino Linotype" w:hAnsi="Palatino Linotype" w:eastAsia="Palatino Linotype"/>
          <w:b/>
          <w:i w:val="0"/>
          <w:sz w:val="20"/>
        </w:rPr>
        <w:t>11.87 against 12.04</w:t>
      </w:r>
      <w:r>
        <w:rPr>
          <w:rFonts w:ascii="Palatino Linotype" w:hAnsi="Palatino Linotype" w:eastAsia="Palatino Linotype"/>
          <w:b w:val="0"/>
          <w:i w:val="0"/>
          <w:sz w:val="20"/>
        </w:rPr>
        <w:t xml:space="preserve">, and the range figures of Section 3.8 are optimistic by the same 1.4 percent. Two limits belong with the number: the vortex-lattice sections are symmetric, so a cambered section reaching the same local lift coefficient at lower incidence would carry less drag and the figure is a </w:t>
      </w:r>
      <w:r>
        <w:rPr>
          <w:rFonts w:ascii="Palatino Linotype" w:hAnsi="Palatino Linotype" w:eastAsia="Palatino Linotype"/>
          <w:b/>
          <w:i w:val="0"/>
          <w:sz w:val="20"/>
        </w:rPr>
        <w:t>lower bound</w:t>
      </w:r>
      <w:r>
        <w:rPr>
          <w:rFonts w:ascii="Palatino Linotype" w:hAnsi="Palatino Linotype" w:eastAsia="Palatino Linotype"/>
          <w:b w:val="0"/>
          <w:i w:val="0"/>
          <w:sz w:val="20"/>
        </w:rPr>
        <w:t>; and strip integration ignores sweep, which at 45° at the root is not a small omission, though the alternative — simple-sweep theory — halves the profile drag, which is a sign that the transformation does not apply to skin friction rather than a measure of the uncertainty.</w:t>
      </w:r>
    </w:p>
    <w:p>
      <w:pPr>
        <w:spacing w:before="0" w:after="80" w:line="240" w:lineRule="auto"/>
        <w:jc w:val="both"/>
      </w:pPr>
      <w:r>
        <w:rPr>
          <w:rFonts w:ascii="Palatino Linotype" w:hAnsi="Palatino Linotype" w:eastAsia="Palatino Linotype"/>
          <w:b/>
          <w:i w:val="0"/>
          <w:sz w:val="20"/>
        </w:rPr>
        <w:t>What the vortex-lattice method is being asked for, and a bound on it that has no bound.</w:t>
      </w:r>
      <w:r>
        <w:rPr>
          <w:rFonts w:ascii="Palatino Linotype" w:hAnsi="Palatino Linotype" w:eastAsia="Palatino Linotype"/>
          <w:b w:val="0"/>
          <w:i w:val="0"/>
          <w:sz w:val="20"/>
        </w:rPr>
        <w:t xml:space="preserve"> Four results here come from a vortex-lattice solution: the span efficiency, the neutral point, the twist required to trim, and the roll damping. Falkner separates the quantities the method settles quickly — spanwise circulation, local aerodynamic centre — from those it does not, and every quantity taken here is of the first kind [24]. But a published comparison on a blended-wing-body of this class found the vortex-lattice lift coefficient low by </w:t>
      </w:r>
      <w:r>
        <w:rPr>
          <w:rFonts w:ascii="Palatino Linotype" w:hAnsi="Palatino Linotype" w:eastAsia="Palatino Linotype"/>
          <w:b/>
          <w:i w:val="0"/>
          <w:sz w:val="20"/>
        </w:rPr>
        <w:t>thirty to thirty-eight percent</w:t>
      </w:r>
      <w:r>
        <w:rPr>
          <w:rFonts w:ascii="Palatino Linotype" w:hAnsi="Palatino Linotype" w:eastAsia="Palatino Linotype"/>
          <w:b w:val="0"/>
          <w:i w:val="0"/>
          <w:sz w:val="20"/>
        </w:rPr>
        <w:t xml:space="preserve"> against RANS, and excluded the method from its trim analysis on that basis [39]. The deviation there is nearly constant with incidence, which is the signature of a multiplicative error in the magnitude of the loading rather than an error in its distribution — and a factor common to lift and moment cancels in a ratio of derivatives. That argument depends on the moment scaling with the lift, and the pitching-moment comparison in that source is published with its values withheld. *</w:t>
      </w:r>
      <w:r>
        <w:rPr>
          <w:rFonts w:ascii="Palatino Linotype" w:hAnsi="Palatino Linotype" w:eastAsia="Palatino Linotype"/>
          <w:b w:val="0"/>
          <w:i/>
          <w:sz w:val="20"/>
        </w:rPr>
        <w:t xml:space="preserve">The vortex-lattice results here therefore carry an untested magnitude error of unknown size, bounded above by a published comparison on a similar configuration, and every use made of them is of a kind a magnitude error </w:t>
      </w:r>
      <w:r>
        <w:rPr>
          <w:rFonts w:ascii="Palatino Linotype" w:hAnsi="Palatino Linotype" w:eastAsia="Palatino Linotype"/>
          <w:b w:val="0"/>
          <w:i w:val="0"/>
          <w:sz w:val="20"/>
        </w:rPr>
        <w:t>would not</w:t>
      </w:r>
      <w:r>
        <w:rPr>
          <w:rFonts w:ascii="Palatino Linotype" w:hAnsi="Palatino Linotype" w:eastAsia="Palatino Linotype"/>
          <w:b w:val="0"/>
          <w:i/>
          <w:sz w:val="20"/>
        </w:rPr>
        <w:t xml:space="preserve"> disturb — provided the moment scales with the lift by the same factor, which is exactly what cannot be checked.</w:t>
      </w:r>
      <w:r>
        <w:rPr>
          <w:rFonts w:ascii="Palatino Linotype" w:hAnsi="Palatino Linotype" w:eastAsia="Palatino Linotype"/>
          <w:b w:val="0"/>
          <w:i/>
          <w:sz w:val="20"/>
        </w:rPr>
        <w:t xml:space="preserve"> </w:t>
      </w:r>
      <w:r>
        <w:rPr>
          <w:rFonts w:ascii="Palatino Linotype" w:hAnsi="Palatino Linotype" w:eastAsia="Palatino Linotype"/>
          <w:b w:val="0"/>
          <w:i/>
          <w:sz w:val="20"/>
        </w:rPr>
        <w:t>The magnitude question cannot be settled here, but its complement can be, and doing so moves the exposure rather than removing it.</w:t>
      </w:r>
      <w:r>
        <w:rPr>
          <w:rFonts w:ascii="Palatino Linotype" w:hAnsi="Palatino Linotype" w:eastAsia="Palatino Linotype"/>
          <w:b w:val="0"/>
          <w:i/>
          <w:sz w:val="20"/>
        </w:rPr>
        <w:t xml:space="preserve"> Whether the moment scales with the lift is untestable without the withheld data. What is testable is the opposite question: </w:t>
      </w:r>
      <w:r>
        <w:rPr>
          <w:rFonts w:ascii="Palatino Linotype" w:hAnsi="Palatino Linotype" w:eastAsia="Palatino Linotype"/>
          <w:b w:val="0"/>
          <w:i w:val="0"/>
          <w:sz w:val="20"/>
        </w:rPr>
        <w:t>if the true loading differs from the vortex-lattice loading by a redistribution across the span, how far do the quantities taken from the solution move?* The twist distribution is perturbed by a half-sine in the span fraction, which vanishes at root and tip, so root and tip incidence — and therefore tip loading — are untouched and only the distribution between them shifts. The neutral point and the trim twist are then re-solved at each shape. The perturbation is a redistribution and not a rescaling, which is what makes it the complement of the error the source reports: across ±2° the inviscid span efficiency moves by at most 1.6 percent from its 0.859. Table 17 gives the sweep.</w:t>
      </w:r>
    </w:p>
    <w:p>
      <w:pPr>
        <w:spacing w:before="0" w:after="80" w:line="240" w:lineRule="auto"/>
        <w:jc w:val="both"/>
        <w:keepNext/>
      </w:pPr>
      <w:r>
        <w:rPr>
          <w:rFonts w:ascii="Palatino Linotype" w:hAnsi="Palatino Linotype" w:eastAsia="Palatino Linotype"/>
          <w:b/>
          <w:i w:val="0"/>
          <w:sz w:val="20"/>
        </w:rPr>
        <w:t>Table 17.</w:t>
      </w:r>
      <w:r>
        <w:rPr>
          <w:rFonts w:ascii="Palatino Linotype" w:hAnsi="Palatino Linotype" w:eastAsia="Palatino Linotype"/>
          <w:b w:val="0"/>
          <w:i w:val="0"/>
          <w:sz w:val="20"/>
        </w:rPr>
        <w:t xml:space="preserve"> Neutral point and trim twist under a spanwise redistribution of the loading shape.</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Shape perturbation</w:t>
            </w:r>
          </w:p>
        </w:tc>
        <w:tc>
          <w:tcPr>
            <w:tcW w:type="dxa" w:w="1994"/>
          </w:tcPr>
          <w:p>
            <w:pPr>
              <w:spacing w:before="20" w:after="20"/>
            </w:pPr>
            <w:r/>
            <w:r>
              <w:rPr>
                <w:rFonts w:ascii="Palatino Linotype" w:hAnsi="Palatino Linotype" w:eastAsia="Palatino Linotype"/>
                <w:b/>
                <w:i w:val="0"/>
                <w:sz w:val="18"/>
              </w:rPr>
              <w:t>Neutral point</w:t>
            </w:r>
          </w:p>
        </w:tc>
        <w:tc>
          <w:tcPr>
            <w:tcW w:type="dxa" w:w="1994"/>
          </w:tcPr>
          <w:p>
            <w:pPr>
              <w:spacing w:before="20" w:after="20"/>
            </w:pPr>
            <w:r/>
            <w:r>
              <w:rPr>
                <w:rFonts w:ascii="Palatino Linotype" w:hAnsi="Palatino Linotype" w:eastAsia="Palatino Linotype"/>
                <w:b/>
                <w:i w:val="0"/>
                <w:sz w:val="18"/>
              </w:rPr>
              <w:t>Δ from baseline</w:t>
            </w:r>
          </w:p>
        </w:tc>
        <w:tc>
          <w:tcPr>
            <w:tcW w:type="dxa" w:w="1994"/>
          </w:tcPr>
          <w:p>
            <w:pPr>
              <w:spacing w:before="20" w:after="20"/>
            </w:pPr>
            <w:r/>
            <w:r>
              <w:rPr>
                <w:rFonts w:ascii="Palatino Linotype" w:hAnsi="Palatino Linotype" w:eastAsia="Palatino Linotype"/>
                <w:b/>
                <w:i w:val="0"/>
                <w:sz w:val="18"/>
              </w:rPr>
              <w:t>Trim twist</w:t>
            </w:r>
          </w:p>
        </w:tc>
        <w:tc>
          <w:tcPr>
            <w:tcW w:type="dxa" w:w="1994"/>
          </w:tcPr>
          <w:p>
            <w:pPr>
              <w:spacing w:before="20" w:after="20"/>
            </w:pPr>
            <w:r/>
            <w:r>
              <w:rPr>
                <w:rFonts w:ascii="Palatino Linotype" w:hAnsi="Palatino Linotype" w:eastAsia="Palatino Linotype"/>
                <w:b/>
                <w:i w:val="0"/>
                <w:sz w:val="18"/>
              </w:rPr>
              <w:t>Δ from baseline</w:t>
            </w:r>
          </w:p>
        </w:tc>
      </w:tr>
      <w:tr>
        <w:trPr>
          <w:cantSplit/>
        </w:trPr>
        <w:tc>
          <w:tcPr>
            <w:tcW w:type="dxa" w:w="1994"/>
          </w:tcPr>
          <w:p>
            <w:pPr>
              <w:spacing w:before="20" w:after="20"/>
            </w:pPr>
            <w:r/>
            <w:r>
              <w:rPr>
                <w:rFonts w:ascii="Palatino Linotype" w:hAnsi="Palatino Linotype" w:eastAsia="Palatino Linotype"/>
                <w:b w:val="0"/>
                <w:i w:val="0"/>
                <w:sz w:val="18"/>
              </w:rPr>
              <w:t>−2° (loading inboard)</w:t>
            </w:r>
          </w:p>
        </w:tc>
        <w:tc>
          <w:tcPr>
            <w:tcW w:type="dxa" w:w="1994"/>
          </w:tcPr>
          <w:p>
            <w:pPr>
              <w:spacing w:before="20" w:after="20"/>
            </w:pPr>
            <w:r/>
            <w:r>
              <w:rPr>
                <w:rFonts w:ascii="Palatino Linotype" w:hAnsi="Palatino Linotype" w:eastAsia="Palatino Linotype"/>
                <w:b w:val="0"/>
                <w:i w:val="0"/>
                <w:sz w:val="18"/>
              </w:rPr>
              <w:t>0.8646 m</w:t>
            </w:r>
          </w:p>
        </w:tc>
        <w:tc>
          <w:tcPr>
            <w:tcW w:type="dxa" w:w="1994"/>
          </w:tcPr>
          <w:p>
            <w:pPr>
              <w:spacing w:before="20" w:after="20"/>
            </w:pPr>
            <w:r/>
            <w:r>
              <w:rPr>
                <w:rFonts w:ascii="Palatino Linotype" w:hAnsi="Palatino Linotype" w:eastAsia="Palatino Linotype"/>
                <w:b w:val="0"/>
                <w:i w:val="0"/>
                <w:sz w:val="18"/>
              </w:rPr>
              <w:t>−0.34 %MAC</w:t>
            </w:r>
          </w:p>
        </w:tc>
        <w:tc>
          <w:tcPr>
            <w:tcW w:type="dxa" w:w="1994"/>
          </w:tcPr>
          <w:p>
            <w:pPr>
              <w:spacing w:before="20" w:after="20"/>
            </w:pPr>
            <w:r/>
            <w:r>
              <w:rPr>
                <w:rFonts w:ascii="Palatino Linotype" w:hAnsi="Palatino Linotype" w:eastAsia="Palatino Linotype"/>
                <w:b w:val="0"/>
                <w:i w:val="0"/>
                <w:sz w:val="18"/>
              </w:rPr>
              <w:t>−8.42°</w:t>
            </w:r>
          </w:p>
        </w:tc>
        <w:tc>
          <w:tcPr>
            <w:tcW w:type="dxa" w:w="1994"/>
          </w:tcPr>
          <w:p>
            <w:pPr>
              <w:spacing w:before="20" w:after="20"/>
            </w:pPr>
            <w:r/>
            <w:r>
              <w:rPr>
                <w:rFonts w:ascii="Palatino Linotype" w:hAnsi="Palatino Linotype" w:eastAsia="Palatino Linotype"/>
                <w:b w:val="0"/>
                <w:i w:val="0"/>
                <w:sz w:val="18"/>
              </w:rPr>
              <w:t>+0.77°</w:t>
            </w:r>
          </w:p>
        </w:tc>
      </w:tr>
      <w:tr>
        <w:trPr>
          <w:cantSplit/>
        </w:trPr>
        <w:tc>
          <w:tcPr>
            <w:tcW w:type="dxa" w:w="1994"/>
          </w:tcPr>
          <w:p>
            <w:pPr>
              <w:spacing w:before="20" w:after="20"/>
            </w:pPr>
            <w:r/>
            <w:r>
              <w:rPr>
                <w:rFonts w:ascii="Palatino Linotype" w:hAnsi="Palatino Linotype" w:eastAsia="Palatino Linotype"/>
                <w:b w:val="0"/>
                <w:i w:val="0"/>
                <w:sz w:val="18"/>
              </w:rPr>
              <w:t>−1°</w:t>
            </w:r>
          </w:p>
        </w:tc>
        <w:tc>
          <w:tcPr>
            <w:tcW w:type="dxa" w:w="1994"/>
          </w:tcPr>
          <w:p>
            <w:pPr>
              <w:spacing w:before="20" w:after="20"/>
            </w:pPr>
            <w:r/>
            <w:r>
              <w:rPr>
                <w:rFonts w:ascii="Palatino Linotype" w:hAnsi="Palatino Linotype" w:eastAsia="Palatino Linotype"/>
                <w:b w:val="0"/>
                <w:i w:val="0"/>
                <w:sz w:val="18"/>
              </w:rPr>
              <w:t>0.8658 m</w:t>
            </w:r>
          </w:p>
        </w:tc>
        <w:tc>
          <w:tcPr>
            <w:tcW w:type="dxa" w:w="1994"/>
          </w:tcPr>
          <w:p>
            <w:pPr>
              <w:spacing w:before="20" w:after="20"/>
            </w:pPr>
            <w:r/>
            <w:r>
              <w:rPr>
                <w:rFonts w:ascii="Palatino Linotype" w:hAnsi="Palatino Linotype" w:eastAsia="Palatino Linotype"/>
                <w:b w:val="0"/>
                <w:i w:val="0"/>
                <w:sz w:val="18"/>
              </w:rPr>
              <w:t>−0.16 %MAC</w:t>
            </w:r>
          </w:p>
        </w:tc>
        <w:tc>
          <w:tcPr>
            <w:tcW w:type="dxa" w:w="1994"/>
          </w:tcPr>
          <w:p>
            <w:pPr>
              <w:spacing w:before="20" w:after="20"/>
            </w:pPr>
            <w:r/>
            <w:r>
              <w:rPr>
                <w:rFonts w:ascii="Palatino Linotype" w:hAnsi="Palatino Linotype" w:eastAsia="Palatino Linotype"/>
                <w:b w:val="0"/>
                <w:i w:val="0"/>
                <w:sz w:val="18"/>
              </w:rPr>
              <w:t>−8.81°</w:t>
            </w:r>
          </w:p>
        </w:tc>
        <w:tc>
          <w:tcPr>
            <w:tcW w:type="dxa" w:w="1994"/>
          </w:tcPr>
          <w:p>
            <w:pPr>
              <w:spacing w:before="20" w:after="20"/>
            </w:pPr>
            <w:r/>
            <w:r>
              <w:rPr>
                <w:rFonts w:ascii="Palatino Linotype" w:hAnsi="Palatino Linotype" w:eastAsia="Palatino Linotype"/>
                <w:b w:val="0"/>
                <w:i w:val="0"/>
                <w:sz w:val="18"/>
              </w:rPr>
              <w:t>+0.38°</w:t>
            </w:r>
          </w:p>
        </w:tc>
      </w:tr>
      <w:tr>
        <w:trPr>
          <w:cantSplit/>
        </w:trPr>
        <w:tc>
          <w:tcPr>
            <w:tcW w:type="dxa" w:w="1994"/>
          </w:tcPr>
          <w:p>
            <w:pPr>
              <w:spacing w:before="20" w:after="20"/>
            </w:pPr>
            <w:r/>
            <w:r>
              <w:rPr>
                <w:rFonts w:ascii="Palatino Linotype" w:hAnsi="Palatino Linotype" w:eastAsia="Palatino Linotype"/>
                <w:b/>
                <w:i w:val="0"/>
                <w:sz w:val="18"/>
              </w:rPr>
              <w:t>0, baseline</w:t>
            </w:r>
          </w:p>
        </w:tc>
        <w:tc>
          <w:tcPr>
            <w:tcW w:type="dxa" w:w="1994"/>
          </w:tcPr>
          <w:p>
            <w:pPr>
              <w:spacing w:before="20" w:after="20"/>
            </w:pPr>
            <w:r/>
            <w:r>
              <w:rPr>
                <w:rFonts w:ascii="Palatino Linotype" w:hAnsi="Palatino Linotype" w:eastAsia="Palatino Linotype"/>
                <w:b/>
                <w:i w:val="0"/>
                <w:sz w:val="18"/>
              </w:rPr>
              <w:t>0.8668 m</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i w:val="0"/>
                <w:sz w:val="18"/>
              </w:rPr>
              <w:t>−9.19°</w:t>
            </w:r>
          </w:p>
        </w:tc>
        <w:tc>
          <w:tcPr>
            <w:tcW w:type="dxa" w:w="1994"/>
          </w:tcPr>
          <w:p>
            <w:pPr>
              <w:spacing w:before="20" w:after="20"/>
            </w:pPr>
            <w:r/>
            <w:r>
              <w:rPr>
                <w:rFonts w:ascii="Palatino Linotype" w:hAnsi="Palatino Linotype" w:eastAsia="Palatino Linotype"/>
                <w:b w:val="0"/>
                <w:i w:val="0"/>
                <w:sz w:val="18"/>
              </w:rPr>
              <w:t>—</w:t>
            </w:r>
          </w:p>
        </w:tc>
      </w:tr>
      <w:tr>
        <w:trPr>
          <w:cantSplit/>
        </w:trPr>
        <w:tc>
          <w:tcPr>
            <w:tcW w:type="dxa" w:w="1994"/>
          </w:tcPr>
          <w:p>
            <w:pPr>
              <w:spacing w:before="20" w:after="20"/>
            </w:pPr>
            <w:r/>
            <w:r>
              <w:rPr>
                <w:rFonts w:ascii="Palatino Linotype" w:hAnsi="Palatino Linotype" w:eastAsia="Palatino Linotype"/>
                <w:b w:val="0"/>
                <w:i w:val="0"/>
                <w:sz w:val="18"/>
              </w:rPr>
              <w:t>+1°</w:t>
            </w:r>
          </w:p>
        </w:tc>
        <w:tc>
          <w:tcPr>
            <w:tcW w:type="dxa" w:w="1994"/>
          </w:tcPr>
          <w:p>
            <w:pPr>
              <w:spacing w:before="20" w:after="20"/>
            </w:pPr>
            <w:r/>
            <w:r>
              <w:rPr>
                <w:rFonts w:ascii="Palatino Linotype" w:hAnsi="Palatino Linotype" w:eastAsia="Palatino Linotype"/>
                <w:b w:val="0"/>
                <w:i w:val="0"/>
                <w:sz w:val="18"/>
              </w:rPr>
              <w:t>0.8677 m</w:t>
            </w:r>
          </w:p>
        </w:tc>
        <w:tc>
          <w:tcPr>
            <w:tcW w:type="dxa" w:w="1994"/>
          </w:tcPr>
          <w:p>
            <w:pPr>
              <w:spacing w:before="20" w:after="20"/>
            </w:pPr>
            <w:r/>
            <w:r>
              <w:rPr>
                <w:rFonts w:ascii="Palatino Linotype" w:hAnsi="Palatino Linotype" w:eastAsia="Palatino Linotype"/>
                <w:b w:val="0"/>
                <w:i w:val="0"/>
                <w:sz w:val="18"/>
              </w:rPr>
              <w:t>+0.14 %MAC</w:t>
            </w:r>
          </w:p>
        </w:tc>
        <w:tc>
          <w:tcPr>
            <w:tcW w:type="dxa" w:w="1994"/>
          </w:tcPr>
          <w:p>
            <w:pPr>
              <w:spacing w:before="20" w:after="20"/>
            </w:pPr>
            <w:r/>
            <w:r>
              <w:rPr>
                <w:rFonts w:ascii="Palatino Linotype" w:hAnsi="Palatino Linotype" w:eastAsia="Palatino Linotype"/>
                <w:b w:val="0"/>
                <w:i w:val="0"/>
                <w:sz w:val="18"/>
              </w:rPr>
              <w:t>−9.57°</w:t>
            </w:r>
          </w:p>
        </w:tc>
        <w:tc>
          <w:tcPr>
            <w:tcW w:type="dxa" w:w="1994"/>
          </w:tcPr>
          <w:p>
            <w:pPr>
              <w:spacing w:before="20" w:after="20"/>
            </w:pPr>
            <w:r/>
            <w:r>
              <w:rPr>
                <w:rFonts w:ascii="Palatino Linotype" w:hAnsi="Palatino Linotype" w:eastAsia="Palatino Linotype"/>
                <w:b w:val="0"/>
                <w:i w:val="0"/>
                <w:sz w:val="18"/>
              </w:rPr>
              <w:t>−0.37°</w:t>
            </w:r>
          </w:p>
        </w:tc>
      </w:tr>
      <w:tr>
        <w:trPr>
          <w:cantSplit/>
        </w:trPr>
        <w:tc>
          <w:tcPr>
            <w:tcW w:type="dxa" w:w="1994"/>
          </w:tcPr>
          <w:p>
            <w:pPr>
              <w:spacing w:before="20" w:after="20"/>
            </w:pPr>
            <w:r/>
            <w:r>
              <w:rPr>
                <w:rFonts w:ascii="Palatino Linotype" w:hAnsi="Palatino Linotype" w:eastAsia="Palatino Linotype"/>
                <w:b w:val="0"/>
                <w:i w:val="0"/>
                <w:sz w:val="18"/>
              </w:rPr>
              <w:t>+2° (loading outboard)</w:t>
            </w:r>
          </w:p>
        </w:tc>
        <w:tc>
          <w:tcPr>
            <w:tcW w:type="dxa" w:w="1994"/>
          </w:tcPr>
          <w:p>
            <w:pPr>
              <w:spacing w:before="20" w:after="20"/>
            </w:pPr>
            <w:r/>
            <w:r>
              <w:rPr>
                <w:rFonts w:ascii="Palatino Linotype" w:hAnsi="Palatino Linotype" w:eastAsia="Palatino Linotype"/>
                <w:b w:val="0"/>
                <w:i w:val="0"/>
                <w:sz w:val="18"/>
              </w:rPr>
              <w:t>0.8685 m</w:t>
            </w:r>
          </w:p>
        </w:tc>
        <w:tc>
          <w:tcPr>
            <w:tcW w:type="dxa" w:w="1994"/>
          </w:tcPr>
          <w:p>
            <w:pPr>
              <w:spacing w:before="20" w:after="20"/>
            </w:pPr>
            <w:r/>
            <w:r>
              <w:rPr>
                <w:rFonts w:ascii="Palatino Linotype" w:hAnsi="Palatino Linotype" w:eastAsia="Palatino Linotype"/>
                <w:b w:val="0"/>
                <w:i w:val="0"/>
                <w:sz w:val="18"/>
              </w:rPr>
              <w:t>+0.26 %MAC</w:t>
            </w:r>
          </w:p>
        </w:tc>
        <w:tc>
          <w:tcPr>
            <w:tcW w:type="dxa" w:w="1994"/>
          </w:tcPr>
          <w:p>
            <w:pPr>
              <w:spacing w:before="20" w:after="20"/>
            </w:pPr>
            <w:r/>
            <w:r>
              <w:rPr>
                <w:rFonts w:ascii="Palatino Linotype" w:hAnsi="Palatino Linotype" w:eastAsia="Palatino Linotype"/>
                <w:b w:val="0"/>
                <w:i w:val="0"/>
                <w:sz w:val="18"/>
              </w:rPr>
              <w:t>−9.93°</w:t>
            </w:r>
          </w:p>
        </w:tc>
        <w:tc>
          <w:tcPr>
            <w:tcW w:type="dxa" w:w="1994"/>
          </w:tcPr>
          <w:p>
            <w:pPr>
              <w:spacing w:before="20" w:after="20"/>
            </w:pPr>
            <w:r/>
            <w:r>
              <w:rPr>
                <w:rFonts w:ascii="Palatino Linotype" w:hAnsi="Palatino Linotype" w:eastAsia="Palatino Linotype"/>
                <w:b w:val="0"/>
                <w:i w:val="0"/>
                <w:sz w:val="18"/>
              </w:rPr>
              <w:t>−0.74°</w:t>
            </w:r>
          </w:p>
        </w:tc>
      </w:tr>
    </w:tbl>
    <w:p/>
    <w:p>
      <w:pPr>
        <w:spacing w:before="0" w:after="80" w:line="240" w:lineRule="auto"/>
        <w:jc w:val="both"/>
      </w:pPr>
      <w:r>
        <w:rPr>
          <w:rFonts w:ascii="Palatino Linotype" w:hAnsi="Palatino Linotype" w:eastAsia="Palatino Linotype"/>
          <w:b w:val="0"/>
          <w:i w:val="0"/>
          <w:sz w:val="20"/>
        </w:rPr>
        <w:t xml:space="preserve">The baseline reproduces the chain it is testing: the trim twist of </w:t>
      </w:r>
      <w:r>
        <w:rPr>
          <w:rFonts w:ascii="Palatino Linotype" w:hAnsi="Palatino Linotype" w:eastAsia="Palatino Linotype"/>
          <w:b/>
          <w:i w:val="0"/>
          <w:sz w:val="20"/>
        </w:rPr>
        <w:t>−9.19°</w:t>
      </w:r>
      <w:r>
        <w:rPr>
          <w:rFonts w:ascii="Palatino Linotype" w:hAnsi="Palatino Linotype" w:eastAsia="Palatino Linotype"/>
          <w:b w:val="0"/>
          <w:i w:val="0"/>
          <w:sz w:val="20"/>
        </w:rPr>
        <w:t xml:space="preserve"> at </w:t>
      </w:r>
      <w:r>
        <w:rPr>
          <w:rFonts w:ascii="Palatino Linotype" w:hAnsi="Palatino Linotype" w:eastAsia="Palatino Linotype"/>
          <w:b/>
          <w:i w:val="0"/>
          <w:sz w:val="20"/>
        </w:rPr>
        <w:t>10.24°</w:t>
      </w:r>
      <w:r>
        <w:rPr>
          <w:rFonts w:ascii="Palatino Linotype" w:hAnsi="Palatino Linotype" w:eastAsia="Palatino Linotype"/>
          <w:b w:val="0"/>
          <w:i w:val="0"/>
          <w:sz w:val="20"/>
        </w:rPr>
        <w:t xml:space="preserve"> of incidence is the nine degrees of washout reported above, and an independent solver in the repository — bisecting incidence rather than solving the linearised system — returns the same incidence to 0.01° with a residual pitching moment of 3 × 10⁻⁵.</w:t>
      </w:r>
    </w:p>
    <w:p>
      <w:pPr>
        <w:spacing w:before="0" w:after="80" w:line="240" w:lineRule="auto"/>
        <w:jc w:val="both"/>
      </w:pPr>
      <w:r>
        <w:rPr>
          <w:rFonts w:ascii="Palatino Linotype" w:hAnsi="Palatino Linotype" w:eastAsia="Palatino Linotype"/>
          <w:b/>
          <w:i w:val="0"/>
          <w:sz w:val="20"/>
        </w:rPr>
        <w:t>Two things follow, and the second was not expected.</w:t>
      </w:r>
      <w:r>
        <w:rPr>
          <w:rFonts w:ascii="Palatino Linotype" w:hAnsi="Palatino Linotype" w:eastAsia="Palatino Linotype"/>
          <w:b w:val="0"/>
          <w:i w:val="0"/>
          <w:sz w:val="20"/>
        </w:rPr>
        <w:t xml:space="preserve"> Per degree of mid-span redistribution the neutral point moves </w:t>
      </w:r>
      <w:r>
        <w:rPr>
          <w:rFonts w:ascii="Palatino Linotype" w:hAnsi="Palatino Linotype" w:eastAsia="Palatino Linotype"/>
          <w:b/>
          <w:i w:val="0"/>
          <w:sz w:val="20"/>
        </w:rPr>
        <w:t>0.15 %MAC</w:t>
      </w:r>
      <w:r>
        <w:rPr>
          <w:rFonts w:ascii="Palatino Linotype" w:hAnsi="Palatino Linotype" w:eastAsia="Palatino Linotype"/>
          <w:b w:val="0"/>
          <w:i w:val="0"/>
          <w:sz w:val="20"/>
        </w:rPr>
        <w:t xml:space="preserve"> and the trim twist moves </w:t>
      </w:r>
      <w:r>
        <w:rPr>
          <w:rFonts w:ascii="Palatino Linotype" w:hAnsi="Palatino Linotype" w:eastAsia="Palatino Linotype"/>
          <w:b/>
          <w:i w:val="0"/>
          <w:sz w:val="20"/>
        </w:rPr>
        <w:t>0.38°</w:t>
      </w:r>
      <w:r>
        <w:rPr>
          <w:rFonts w:ascii="Palatino Linotype" w:hAnsi="Palatino Linotype" w:eastAsia="Palatino Linotype"/>
          <w:b w:val="0"/>
          <w:i w:val="0"/>
          <w:sz w:val="20"/>
        </w:rPr>
        <w:t xml:space="preserve">. The first of those two numbers has to be read against the method's own scatter: the neutral point is not determined to better than about 1.3 %MAC across equally defensible solver choices, which is the equivalent of nine degrees of redistribution. </w:t>
      </w:r>
      <w:r>
        <w:rPr>
          <w:rFonts w:ascii="Palatino Linotype" w:hAnsi="Palatino Linotype" w:eastAsia="Palatino Linotype"/>
          <w:b/>
          <w:i w:val="0"/>
          <w:sz w:val="20"/>
        </w:rPr>
        <w:t>The neutral-point column of the table above therefore sits inside the noise floor of the method that produced it</w:t>
      </w:r>
      <w:r>
        <w:rPr>
          <w:rFonts w:ascii="Palatino Linotype" w:hAnsi="Palatino Linotype" w:eastAsia="Palatino Linotype"/>
          <w:b w:val="0"/>
          <w:i w:val="0"/>
          <w:sz w:val="20"/>
        </w:rPr>
        <w:t xml:space="preserve">, and its entries should be read as showing an absence of movement rather than measuring one. The trim twist carries no such problem: it is solved to a residual of 10⁻⁶ at every shape, and its movement is an order of magnitude larger than anything the solver choices introduce. Against the thresholds that would force the trim chain to be recomputed — 5 %MAC and one degree — the neutral point would need a redistribution of </w:t>
      </w:r>
      <w:r>
        <w:rPr>
          <w:rFonts w:ascii="Palatino Linotype" w:hAnsi="Palatino Linotype" w:eastAsia="Palatino Linotype"/>
          <w:b/>
          <w:i w:val="0"/>
          <w:sz w:val="20"/>
        </w:rPr>
        <w:t>33 degrees</w:t>
      </w:r>
      <w:r>
        <w:rPr>
          <w:rFonts w:ascii="Palatino Linotype" w:hAnsi="Palatino Linotype" w:eastAsia="Palatino Linotype"/>
          <w:b w:val="0"/>
          <w:i w:val="0"/>
          <w:sz w:val="20"/>
        </w:rPr>
        <w:t xml:space="preserve"> and the trim twist one of </w:t>
      </w:r>
      <w:r>
        <w:rPr>
          <w:rFonts w:ascii="Palatino Linotype" w:hAnsi="Palatino Linotype" w:eastAsia="Palatino Linotype"/>
          <w:b/>
          <w:i w:val="0"/>
          <w:sz w:val="20"/>
        </w:rPr>
        <w:t>2.6 degrees</w:t>
      </w:r>
      <w:r>
        <w:rPr>
          <w:rFonts w:ascii="Palatino Linotype" w:hAnsi="Palatino Linotype" w:eastAsia="Palatino Linotype"/>
          <w:b w:val="0"/>
          <w:i w:val="0"/>
          <w:sz w:val="20"/>
        </w:rPr>
        <w:t xml:space="preserve">. </w:t>
      </w:r>
      <w:r>
        <w:rPr>
          <w:rFonts w:ascii="Palatino Linotype" w:hAnsi="Palatino Linotype" w:eastAsia="Palatino Linotype"/>
          <w:b/>
          <w:i w:val="0"/>
          <w:sz w:val="20"/>
        </w:rPr>
        <w:t>The binding constraint is the trim twist and not the neutral point, by a factor of thirteen.</w:t>
      </w:r>
      <w:r>
        <w:rPr>
          <w:rFonts w:ascii="Palatino Linotype" w:hAnsi="Palatino Linotype" w:eastAsia="Palatino Linotype"/>
          <w:b w:val="0"/>
          <w:i w:val="0"/>
          <w:sz w:val="20"/>
        </w:rPr>
        <w:t xml:space="preserve"> The static margin, which is the quantity the cancellation argument above was constructed to defend, is the robust half of the chain; the trim twist, which that argument never addressed, is what a redistribution disturbs first.</w:t>
      </w:r>
    </w:p>
    <w:p>
      <w:pPr>
        <w:spacing w:before="0" w:after="80" w:line="240" w:lineRule="auto"/>
        <w:jc w:val="both"/>
      </w:pPr>
      <w:r>
        <w:rPr>
          <w:rFonts w:ascii="Palatino Linotype" w:hAnsi="Palatino Linotype" w:eastAsia="Palatino Linotype"/>
          <w:b w:val="0"/>
          <w:i w:val="0"/>
          <w:sz w:val="20"/>
        </w:rPr>
        <w:t>This does not measure the redistribution a RANS solution would find. It converts an exposure that had no bound into a transfer coefficient: a reader holding an estimate of the redistribution can multiply.</w:t>
      </w:r>
    </w:p>
    <w:p>
      <w:pPr>
        <w:spacing w:before="0" w:after="80" w:line="240" w:lineRule="auto"/>
        <w:jc w:val="both"/>
      </w:pPr>
      <w:r>
        <w:rPr>
          <w:rFonts w:ascii="Palatino Linotype" w:hAnsi="Palatino Linotype" w:eastAsia="Palatino Linotype"/>
          <w:b/>
          <w:i w:val="0"/>
          <w:sz w:val="20"/>
        </w:rPr>
        <w:t>A Reynolds-averaged solution of this planform now supplies that estimate, and the answer falls across the threshold rather than cleanly on one side of it.</w:t>
      </w:r>
      <w:r>
        <w:rPr>
          <w:rFonts w:ascii="Palatino Linotype" w:hAnsi="Palatino Linotype" w:eastAsia="Palatino Linotype"/>
          <w:b w:val="0"/>
          <w:i w:val="0"/>
          <w:sz w:val="20"/>
        </w:rPr>
        <w:t xml:space="preserve"> The untwisted planform was solved at the incidence where the vortex-lattice method returns the cruise lift coefficient, 6.69°, on a 192 000-cell wall-function mesh, and the spanwise loading was extracted from the wall pressures. The face sum reproduces the case's own integrated lift coefficient exactly, which is the check that the extraction is not itself the result. Table 18 gives the result.</w:t>
      </w:r>
    </w:p>
    <w:p>
      <w:pPr>
        <w:spacing w:before="0" w:after="80" w:line="240" w:lineRule="auto"/>
        <w:jc w:val="both"/>
        <w:keepNext/>
      </w:pPr>
      <w:r>
        <w:rPr>
          <w:rFonts w:ascii="Palatino Linotype" w:hAnsi="Palatino Linotype" w:eastAsia="Palatino Linotype"/>
          <w:b/>
          <w:i w:val="0"/>
          <w:sz w:val="20"/>
        </w:rPr>
        <w:t>Table 18.</w:t>
      </w:r>
      <w:r>
        <w:rPr>
          <w:rFonts w:ascii="Palatino Linotype" w:hAnsi="Palatino Linotype" w:eastAsia="Palatino Linotype"/>
          <w:b w:val="0"/>
          <w:i w:val="0"/>
          <w:sz w:val="20"/>
        </w:rPr>
        <w:t xml:space="preserve"> Reynolds-averaged solution of the untwisted planform at the vortex-lattice cruise incidence, on the </w:t>
      </w:r>
      <w:r>
        <w:rPr>
          <w:rFonts w:ascii="Palatino Linotype" w:hAnsi="Palatino Linotype" w:eastAsia="Palatino Linotype"/>
          <w:b/>
          <w:i w:val="0"/>
          <w:sz w:val="20"/>
        </w:rPr>
        <w:t>initial 192 000-cell mesh</w:t>
      </w:r>
      <w:r>
        <w:rPr>
          <w:rFonts w:ascii="Palatino Linotype" w:hAnsi="Palatino Linotype" w:eastAsia="Palatino Linotype"/>
          <w:b w:val="0"/>
          <w:i w:val="0"/>
          <w:sz w:val="20"/>
        </w:rPr>
        <w:t>. Table 19 refines it twice; the converged ratio is 0.796, not the 0.787 below.</w:t>
      </w:r>
    </w:p>
    <w:tbl>
      <w:tblPr>
        <w:tblStyle w:val="TableGrid"/>
        <w:tblW w:type="auto" w:w="0"/>
        <w:jc w:val="center"/>
        <w:tblLook w:firstColumn="1" w:firstRow="1" w:lastColumn="0" w:lastRow="0" w:noHBand="0" w:noVBand="1" w:val="04A0"/>
      </w:tblPr>
      <w:tblGrid>
        <w:gridCol w:w="4986"/>
        <w:gridCol w:w="4986"/>
      </w:tblGrid>
      <w:tr>
        <w:trPr>
          <w:cantSplit/>
          <w:tblHeader/>
        </w:trPr>
        <w:tc>
          <w:tcPr>
            <w:tcW w:type="dxa" w:w="4986"/>
          </w:tcPr>
          <w:p>
            <w:pPr>
              <w:spacing w:before="20" w:after="20"/>
            </w:pPr>
            <w:r/>
          </w:p>
        </w:tc>
        <w:tc>
          <w:tcPr>
            <w:tcW w:type="dxa" w:w="4986"/>
          </w:tcPr>
          <w:p>
            <w:pPr>
              <w:spacing w:before="20" w:after="20"/>
            </w:pPr>
            <w:r/>
            <w:r>
              <w:rPr>
                <w:rFonts w:ascii="Palatino Linotype" w:hAnsi="Palatino Linotype" w:eastAsia="Palatino Linotype"/>
                <w:b/>
                <w:i w:val="0"/>
                <w:sz w:val="18"/>
              </w:rPr>
              <w:t>Value</w:t>
            </w:r>
          </w:p>
        </w:tc>
      </w:tr>
      <w:tr>
        <w:trPr>
          <w:cantSplit/>
        </w:trPr>
        <w:tc>
          <w:tcPr>
            <w:tcW w:type="dxa" w:w="4986"/>
          </w:tcPr>
          <w:p>
            <w:pPr>
              <w:spacing w:before="20" w:after="20"/>
            </w:pPr>
            <w:r/>
            <w:r>
              <w:rPr>
                <w:rFonts w:ascii="Palatino Linotype" w:hAnsi="Palatino Linotype" w:eastAsia="Palatino Linotype"/>
                <w:b w:val="0"/>
                <w:i w:val="0"/>
                <w:sz w:val="18"/>
              </w:rPr>
              <w:t>RANS lift coefficient</w:t>
            </w:r>
          </w:p>
        </w:tc>
        <w:tc>
          <w:tcPr>
            <w:tcW w:type="dxa" w:w="4986"/>
          </w:tcPr>
          <w:p>
            <w:pPr>
              <w:spacing w:before="20" w:after="20"/>
            </w:pPr>
            <w:r/>
            <w:r>
              <w:rPr>
                <w:rFonts w:ascii="Palatino Linotype" w:hAnsi="Palatino Linotype" w:eastAsia="Palatino Linotype"/>
                <w:b w:val="0"/>
                <w:i w:val="0"/>
                <w:sz w:val="18"/>
              </w:rPr>
              <w:t>0.354</w:t>
            </w:r>
          </w:p>
        </w:tc>
      </w:tr>
      <w:tr>
        <w:trPr>
          <w:cantSplit/>
        </w:trPr>
        <w:tc>
          <w:tcPr>
            <w:tcW w:type="dxa" w:w="4986"/>
          </w:tcPr>
          <w:p>
            <w:pPr>
              <w:spacing w:before="20" w:after="20"/>
            </w:pPr>
            <w:r/>
            <w:r>
              <w:rPr>
                <w:rFonts w:ascii="Palatino Linotype" w:hAnsi="Palatino Linotype" w:eastAsia="Palatino Linotype"/>
                <w:b w:val="0"/>
                <w:i w:val="0"/>
                <w:sz w:val="18"/>
              </w:rPr>
              <w:t>Vortex-lattice lift coefficient</w:t>
            </w:r>
          </w:p>
        </w:tc>
        <w:tc>
          <w:tcPr>
            <w:tcW w:type="dxa" w:w="4986"/>
          </w:tcPr>
          <w:p>
            <w:pPr>
              <w:spacing w:before="20" w:after="20"/>
            </w:pPr>
            <w:r/>
            <w:r>
              <w:rPr>
                <w:rFonts w:ascii="Palatino Linotype" w:hAnsi="Palatino Linotype" w:eastAsia="Palatino Linotype"/>
                <w:b w:val="0"/>
                <w:i w:val="0"/>
                <w:sz w:val="18"/>
              </w:rPr>
              <w:t>0.450</w:t>
            </w:r>
          </w:p>
        </w:tc>
      </w:tr>
      <w:tr>
        <w:trPr>
          <w:cantSplit/>
        </w:trPr>
        <w:tc>
          <w:tcPr>
            <w:tcW w:type="dxa" w:w="4986"/>
          </w:tcPr>
          <w:p>
            <w:pPr>
              <w:spacing w:before="20" w:after="20"/>
            </w:pPr>
            <w:r/>
            <w:r>
              <w:rPr>
                <w:rFonts w:ascii="Palatino Linotype" w:hAnsi="Palatino Linotype" w:eastAsia="Palatino Linotype"/>
                <w:b w:val="0"/>
                <w:i w:val="0"/>
                <w:sz w:val="18"/>
              </w:rPr>
              <w:t xml:space="preserve">Ratio </w:t>
            </w:r>
            <w:r>
              <w:rPr>
                <w:rFonts w:ascii="Palatino Linotype" w:hAnsi="Palatino Linotype" w:eastAsia="Palatino Linotype"/>
                <w:b w:val="0"/>
                <w:i/>
                <w:sz w:val="18"/>
              </w:rPr>
              <w:t>K_L</w:t>
            </w:r>
          </w:p>
        </w:tc>
        <w:tc>
          <w:tcPr>
            <w:tcW w:type="dxa" w:w="4986"/>
          </w:tcPr>
          <w:p>
            <w:pPr>
              <w:spacing w:before="20" w:after="20"/>
            </w:pPr>
            <w:r/>
            <w:r>
              <w:rPr>
                <w:rFonts w:ascii="Palatino Linotype" w:hAnsi="Palatino Linotype" w:eastAsia="Palatino Linotype"/>
                <w:b/>
                <w:i w:val="0"/>
                <w:sz w:val="18"/>
              </w:rPr>
              <w:t>0.787</w:t>
            </w:r>
          </w:p>
        </w:tc>
      </w:tr>
      <w:tr>
        <w:trPr>
          <w:cantSplit/>
        </w:trPr>
        <w:tc>
          <w:tcPr>
            <w:tcW w:type="dxa" w:w="4986"/>
          </w:tcPr>
          <w:p>
            <w:pPr>
              <w:spacing w:before="20" w:after="20"/>
            </w:pPr>
            <w:r/>
            <w:r>
              <w:rPr>
                <w:rFonts w:ascii="Palatino Linotype" w:hAnsi="Palatino Linotype" w:eastAsia="Palatino Linotype"/>
                <w:b w:val="0"/>
                <w:i w:val="0"/>
                <w:sz w:val="18"/>
              </w:rPr>
              <w:t xml:space="preserve">Local ratio </w:t>
            </w:r>
            <w:r>
              <w:rPr>
                <w:rFonts w:ascii="Palatino Linotype" w:hAnsi="Palatino Linotype" w:eastAsia="Palatino Linotype"/>
                <w:b w:val="0"/>
                <w:i/>
                <w:sz w:val="18"/>
              </w:rPr>
              <w:t>K(y)</w:t>
            </w:r>
            <w:r>
              <w:rPr>
                <w:rFonts w:ascii="Palatino Linotype" w:hAnsi="Palatino Linotype" w:eastAsia="Palatino Linotype"/>
                <w:b w:val="0"/>
                <w:i w:val="0"/>
                <w:sz w:val="18"/>
              </w:rPr>
              <w:t>, η = 0.05 to 0.91</w:t>
            </w:r>
          </w:p>
        </w:tc>
        <w:tc>
          <w:tcPr>
            <w:tcW w:type="dxa" w:w="4986"/>
          </w:tcPr>
          <w:p>
            <w:pPr>
              <w:spacing w:before="20" w:after="20"/>
            </w:pPr>
            <w:r/>
            <w:r>
              <w:rPr>
                <w:rFonts w:ascii="Palatino Linotype" w:hAnsi="Palatino Linotype" w:eastAsia="Palatino Linotype"/>
                <w:b w:val="0"/>
                <w:i w:val="0"/>
                <w:sz w:val="18"/>
              </w:rPr>
              <w:t>0.740 – 0.816</w:t>
            </w:r>
          </w:p>
        </w:tc>
      </w:tr>
      <w:tr>
        <w:trPr>
          <w:cantSplit/>
        </w:trPr>
        <w:tc>
          <w:tcPr>
            <w:tcW w:type="dxa" w:w="4986"/>
          </w:tcPr>
          <w:p>
            <w:pPr>
              <w:spacing w:before="20" w:after="20"/>
            </w:pPr>
            <w:r/>
            <w:r>
              <w:rPr>
                <w:rFonts w:ascii="Palatino Linotype" w:hAnsi="Palatino Linotype" w:eastAsia="Palatino Linotype"/>
                <w:b w:val="0"/>
                <w:i/>
                <w:sz w:val="18"/>
              </w:rPr>
              <w:t>K(y)/K_L</w:t>
            </w:r>
            <w:r>
              <w:rPr>
                <w:rFonts w:ascii="Palatino Linotype" w:hAnsi="Palatino Linotype" w:eastAsia="Palatino Linotype"/>
                <w:b w:val="0"/>
                <w:i w:val="0"/>
                <w:sz w:val="18"/>
              </w:rPr>
              <w:t xml:space="preserve"> over the same range</w:t>
            </w:r>
          </w:p>
        </w:tc>
        <w:tc>
          <w:tcPr>
            <w:tcW w:type="dxa" w:w="4986"/>
          </w:tcPr>
          <w:p>
            <w:pPr>
              <w:spacing w:before="20" w:after="20"/>
            </w:pPr>
            <w:r/>
            <w:r>
              <w:rPr>
                <w:rFonts w:ascii="Palatino Linotype" w:hAnsi="Palatino Linotype" w:eastAsia="Palatino Linotype"/>
                <w:b/>
                <w:i w:val="0"/>
                <w:sz w:val="18"/>
              </w:rPr>
              <w:t>0.940 – 1.037</w:t>
            </w:r>
          </w:p>
        </w:tc>
      </w:tr>
    </w:tbl>
    <w:p/>
    <w:p>
      <w:pPr>
        <w:spacing w:before="0" w:after="80" w:line="240" w:lineRule="auto"/>
        <w:jc w:val="both"/>
      </w:pPr>
      <w:r>
        <w:rPr>
          <w:rFonts w:ascii="Palatino Linotype" w:hAnsi="Palatino Linotype" w:eastAsia="Palatino Linotype"/>
          <w:b/>
          <w:i w:val="0"/>
          <w:sz w:val="20"/>
        </w:rPr>
        <w:t>Two things follow and they point in different directions.</w:t>
      </w:r>
      <w:r>
        <w:rPr>
          <w:rFonts w:ascii="Palatino Linotype" w:hAnsi="Palatino Linotype" w:eastAsia="Palatino Linotype"/>
          <w:b w:val="0"/>
          <w:i w:val="0"/>
          <w:sz w:val="20"/>
        </w:rPr>
        <w:t xml:space="preserve"> The first is that the error is very nearly multiplicative: once the overall ratio is divided out, the local ratio holds to within five percent of unity across nine tenths of the span. That is the condition the cancellation argument of this section requires, and it is the first direct evidence for it rather than an assumption about it. The second is that </w:t>
      </w:r>
      <w:r>
        <w:rPr>
          <w:rFonts w:ascii="Palatino Linotype" w:hAnsi="Palatino Linotype" w:eastAsia="Palatino Linotype"/>
          <w:b/>
          <w:i w:val="0"/>
          <w:sz w:val="20"/>
        </w:rPr>
        <w:t>the overall ratio runs the other way from the published comparison this paper cites</w:t>
      </w:r>
      <w:r>
        <w:rPr>
          <w:rFonts w:ascii="Palatino Linotype" w:hAnsi="Palatino Linotype" w:eastAsia="Palatino Linotype"/>
          <w:b w:val="0"/>
          <w:i w:val="0"/>
          <w:sz w:val="20"/>
        </w:rPr>
        <w:t>: that source reports the vortex-lattice lift coefficient low by thirty to thirty-eight percent against RANS, whereas here it is high by twenty-seven percent. The two are different geometries solved at different fidelities and neither refutes the other, but the direction assumed in the earlier argument is not the direction found here.</w:t>
      </w:r>
    </w:p>
    <w:p>
      <w:pPr>
        <w:spacing w:before="0" w:after="80" w:line="240" w:lineRule="auto"/>
        <w:jc w:val="both"/>
      </w:pPr>
      <w:r>
        <w:rPr>
          <w:rFonts w:ascii="Palatino Linotype" w:hAnsi="Palatino Linotype" w:eastAsia="Palatino Linotype"/>
          <w:b/>
          <w:i w:val="0"/>
          <w:sz w:val="20"/>
        </w:rPr>
        <w:t>The solution was refined twice and the refinement changed the answer</w:t>
      </w:r>
      <w:r>
        <w:rPr>
          <w:rFonts w:ascii="Palatino Linotype" w:hAnsi="Palatino Linotype" w:eastAsia="Palatino Linotype"/>
          <w:b w:val="0"/>
          <w:i w:val="0"/>
          <w:sz w:val="20"/>
        </w:rPr>
        <w:t>, so what follows is the converged reading rather than the first one. Three meshes were run at identical settings (Table 19):</w:t>
      </w:r>
    </w:p>
    <w:p>
      <w:pPr>
        <w:spacing w:before="0" w:after="80" w:line="240" w:lineRule="auto"/>
        <w:jc w:val="both"/>
        <w:keepNext/>
      </w:pPr>
      <w:r>
        <w:rPr>
          <w:rFonts w:ascii="Palatino Linotype" w:hAnsi="Palatino Linotype" w:eastAsia="Palatino Linotype"/>
          <w:b/>
          <w:i w:val="0"/>
          <w:sz w:val="20"/>
        </w:rPr>
        <w:t>Table 19.</w:t>
      </w:r>
      <w:r>
        <w:rPr>
          <w:rFonts w:ascii="Palatino Linotype" w:hAnsi="Palatino Linotype" w:eastAsia="Palatino Linotype"/>
          <w:b w:val="0"/>
          <w:i w:val="0"/>
          <w:sz w:val="20"/>
        </w:rPr>
        <w:t xml:space="preserve"> Grid refinement of the Reynolds-averaged solution: three meshes at identical settings.</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Mesh</w:t>
            </w:r>
          </w:p>
        </w:tc>
        <w:tc>
          <w:tcPr>
            <w:tcW w:type="dxa" w:w="1994"/>
          </w:tcPr>
          <w:p>
            <w:pPr>
              <w:spacing w:before="20" w:after="20"/>
            </w:pPr>
            <w:r/>
            <w:r>
              <w:rPr>
                <w:rFonts w:ascii="Palatino Linotype" w:hAnsi="Palatino Linotype" w:eastAsia="Palatino Linotype"/>
                <w:b/>
                <w:i w:val="0"/>
                <w:sz w:val="18"/>
              </w:rPr>
              <w:t>Cells</w:t>
            </w:r>
          </w:p>
        </w:tc>
        <w:tc>
          <w:tcPr>
            <w:tcW w:type="dxa" w:w="1994"/>
          </w:tcPr>
          <w:p>
            <w:pPr>
              <w:spacing w:before="20" w:after="20"/>
            </w:pPr>
            <w:r/>
            <w:r>
              <w:rPr>
                <w:rFonts w:ascii="Palatino Linotype" w:hAnsi="Palatino Linotype" w:eastAsia="Palatino Linotype"/>
                <w:b/>
                <w:i/>
                <w:sz w:val="18"/>
              </w:rPr>
              <w:t>K_L</w:t>
            </w:r>
          </w:p>
        </w:tc>
        <w:tc>
          <w:tcPr>
            <w:tcW w:type="dxa" w:w="1994"/>
          </w:tcPr>
          <w:p>
            <w:pPr>
              <w:spacing w:before="20" w:after="20"/>
            </w:pPr>
            <w:r/>
            <w:r>
              <w:rPr>
                <w:rFonts w:ascii="Palatino Linotype" w:hAnsi="Palatino Linotype" w:eastAsia="Palatino Linotype"/>
                <w:b/>
                <w:i w:val="0"/>
                <w:sz w:val="18"/>
              </w:rPr>
              <w:t>Inner-region residual</w:t>
            </w:r>
          </w:p>
        </w:tc>
        <w:tc>
          <w:tcPr>
            <w:tcW w:type="dxa" w:w="1994"/>
          </w:tcPr>
          <w:p>
            <w:pPr>
              <w:spacing w:before="20" w:after="20"/>
            </w:pPr>
            <w:r/>
            <w:r>
              <w:rPr>
                <w:rFonts w:ascii="Palatino Linotype" w:hAnsi="Palatino Linotype" w:eastAsia="Palatino Linotype"/>
                <w:b/>
                <w:i w:val="0"/>
                <w:sz w:val="18"/>
              </w:rPr>
              <w:t>Tip-region residual</w:t>
            </w:r>
          </w:p>
        </w:tc>
      </w:tr>
      <w:tr>
        <w:trPr>
          <w:cantSplit/>
        </w:trPr>
        <w:tc>
          <w:tcPr>
            <w:tcW w:type="dxa" w:w="1994"/>
          </w:tcPr>
          <w:p>
            <w:pPr>
              <w:spacing w:before="20" w:after="20"/>
            </w:pPr>
            <w:r/>
            <w:r>
              <w:rPr>
                <w:rFonts w:ascii="Palatino Linotype" w:hAnsi="Palatino Linotype" w:eastAsia="Palatino Linotype"/>
                <w:b w:val="0"/>
                <w:i w:val="0"/>
                <w:sz w:val="18"/>
              </w:rPr>
              <w:t>Coarse</w:t>
            </w:r>
          </w:p>
        </w:tc>
        <w:tc>
          <w:tcPr>
            <w:tcW w:type="dxa" w:w="1994"/>
          </w:tcPr>
          <w:p>
            <w:pPr>
              <w:spacing w:before="20" w:after="20"/>
            </w:pPr>
            <w:r/>
            <w:r>
              <w:rPr>
                <w:rFonts w:ascii="Palatino Linotype" w:hAnsi="Palatino Linotype" w:eastAsia="Palatino Linotype"/>
                <w:b w:val="0"/>
                <w:i w:val="0"/>
                <w:sz w:val="18"/>
              </w:rPr>
              <w:t>192 000</w:t>
            </w:r>
          </w:p>
        </w:tc>
        <w:tc>
          <w:tcPr>
            <w:tcW w:type="dxa" w:w="1994"/>
          </w:tcPr>
          <w:p>
            <w:pPr>
              <w:spacing w:before="20" w:after="20"/>
            </w:pPr>
            <w:r/>
            <w:r>
              <w:rPr>
                <w:rFonts w:ascii="Palatino Linotype" w:hAnsi="Palatino Linotype" w:eastAsia="Palatino Linotype"/>
                <w:b w:val="0"/>
                <w:i w:val="0"/>
                <w:sz w:val="18"/>
              </w:rPr>
              <w:t>0.787</w:t>
            </w:r>
          </w:p>
        </w:tc>
        <w:tc>
          <w:tcPr>
            <w:tcW w:type="dxa" w:w="1994"/>
          </w:tcPr>
          <w:p>
            <w:pPr>
              <w:spacing w:before="20" w:after="20"/>
            </w:pPr>
            <w:r/>
            <w:r>
              <w:rPr>
                <w:rFonts w:ascii="Palatino Linotype" w:hAnsi="Palatino Linotype" w:eastAsia="Palatino Linotype"/>
                <w:b w:val="0"/>
                <w:i w:val="0"/>
                <w:sz w:val="18"/>
              </w:rPr>
              <w:t>0.029</w:t>
            </w:r>
          </w:p>
        </w:tc>
        <w:tc>
          <w:tcPr>
            <w:tcW w:type="dxa" w:w="1994"/>
          </w:tcPr>
          <w:p>
            <w:pPr>
              <w:spacing w:before="20" w:after="20"/>
            </w:pPr>
            <w:r/>
            <w:r>
              <w:rPr>
                <w:rFonts w:ascii="Palatino Linotype" w:hAnsi="Palatino Linotype" w:eastAsia="Palatino Linotype"/>
                <w:b w:val="0"/>
                <w:i w:val="0"/>
                <w:sz w:val="18"/>
              </w:rPr>
              <w:t>0.133</w:t>
            </w:r>
          </w:p>
        </w:tc>
      </w:tr>
      <w:tr>
        <w:trPr>
          <w:cantSplit/>
        </w:trPr>
        <w:tc>
          <w:tcPr>
            <w:tcW w:type="dxa" w:w="1994"/>
          </w:tcPr>
          <w:p>
            <w:pPr>
              <w:spacing w:before="20" w:after="20"/>
            </w:pPr>
            <w:r/>
            <w:r>
              <w:rPr>
                <w:rFonts w:ascii="Palatino Linotype" w:hAnsi="Palatino Linotype" w:eastAsia="Palatino Linotype"/>
                <w:b w:val="0"/>
                <w:i w:val="0"/>
                <w:sz w:val="18"/>
              </w:rPr>
              <w:t>Medium</w:t>
            </w:r>
          </w:p>
        </w:tc>
        <w:tc>
          <w:tcPr>
            <w:tcW w:type="dxa" w:w="1994"/>
          </w:tcPr>
          <w:p>
            <w:pPr>
              <w:spacing w:before="20" w:after="20"/>
            </w:pPr>
            <w:r/>
            <w:r>
              <w:rPr>
                <w:rFonts w:ascii="Palatino Linotype" w:hAnsi="Palatino Linotype" w:eastAsia="Palatino Linotype"/>
                <w:b w:val="0"/>
                <w:i w:val="0"/>
                <w:sz w:val="18"/>
              </w:rPr>
              <w:t>444 000</w:t>
            </w:r>
          </w:p>
        </w:tc>
        <w:tc>
          <w:tcPr>
            <w:tcW w:type="dxa" w:w="1994"/>
          </w:tcPr>
          <w:p>
            <w:pPr>
              <w:spacing w:before="20" w:after="20"/>
            </w:pPr>
            <w:r/>
            <w:r>
              <w:rPr>
                <w:rFonts w:ascii="Palatino Linotype" w:hAnsi="Palatino Linotype" w:eastAsia="Palatino Linotype"/>
                <w:b w:val="0"/>
                <w:i w:val="0"/>
                <w:sz w:val="18"/>
              </w:rPr>
              <w:t>0.793</w:t>
            </w:r>
          </w:p>
        </w:tc>
        <w:tc>
          <w:tcPr>
            <w:tcW w:type="dxa" w:w="1994"/>
          </w:tcPr>
          <w:p>
            <w:pPr>
              <w:spacing w:before="20" w:after="20"/>
            </w:pPr>
            <w:r/>
            <w:r>
              <w:rPr>
                <w:rFonts w:ascii="Palatino Linotype" w:hAnsi="Palatino Linotype" w:eastAsia="Palatino Linotype"/>
                <w:b w:val="0"/>
                <w:i w:val="0"/>
                <w:sz w:val="18"/>
              </w:rPr>
              <w:t>0.046</w:t>
            </w:r>
          </w:p>
        </w:tc>
        <w:tc>
          <w:tcPr>
            <w:tcW w:type="dxa" w:w="1994"/>
          </w:tcPr>
          <w:p>
            <w:pPr>
              <w:spacing w:before="20" w:after="20"/>
            </w:pPr>
            <w:r/>
            <w:r>
              <w:rPr>
                <w:rFonts w:ascii="Palatino Linotype" w:hAnsi="Palatino Linotype" w:eastAsia="Palatino Linotype"/>
                <w:b w:val="0"/>
                <w:i w:val="0"/>
                <w:sz w:val="18"/>
              </w:rPr>
              <w:t>0.130</w:t>
            </w:r>
          </w:p>
        </w:tc>
      </w:tr>
      <w:tr>
        <w:trPr>
          <w:cantSplit/>
        </w:trPr>
        <w:tc>
          <w:tcPr>
            <w:tcW w:type="dxa" w:w="1994"/>
          </w:tcPr>
          <w:p>
            <w:pPr>
              <w:spacing w:before="20" w:after="20"/>
            </w:pPr>
            <w:r/>
            <w:r>
              <w:rPr>
                <w:rFonts w:ascii="Palatino Linotype" w:hAnsi="Palatino Linotype" w:eastAsia="Palatino Linotype"/>
                <w:b w:val="0"/>
                <w:i w:val="0"/>
                <w:sz w:val="18"/>
              </w:rPr>
              <w:t>Fine</w:t>
            </w:r>
          </w:p>
        </w:tc>
        <w:tc>
          <w:tcPr>
            <w:tcW w:type="dxa" w:w="1994"/>
          </w:tcPr>
          <w:p>
            <w:pPr>
              <w:spacing w:before="20" w:after="20"/>
            </w:pPr>
            <w:r/>
            <w:r>
              <w:rPr>
                <w:rFonts w:ascii="Palatino Linotype" w:hAnsi="Palatino Linotype" w:eastAsia="Palatino Linotype"/>
                <w:b w:val="0"/>
                <w:i w:val="0"/>
                <w:sz w:val="18"/>
              </w:rPr>
              <w:t>682 000</w:t>
            </w:r>
          </w:p>
        </w:tc>
        <w:tc>
          <w:tcPr>
            <w:tcW w:type="dxa" w:w="1994"/>
          </w:tcPr>
          <w:p>
            <w:pPr>
              <w:spacing w:before="20" w:after="20"/>
            </w:pPr>
            <w:r/>
            <w:r>
              <w:rPr>
                <w:rFonts w:ascii="Palatino Linotype" w:hAnsi="Palatino Linotype" w:eastAsia="Palatino Linotype"/>
                <w:b/>
                <w:i w:val="0"/>
                <w:sz w:val="18"/>
              </w:rPr>
              <w:t>0.796</w:t>
            </w:r>
          </w:p>
        </w:tc>
        <w:tc>
          <w:tcPr>
            <w:tcW w:type="dxa" w:w="1994"/>
          </w:tcPr>
          <w:p>
            <w:pPr>
              <w:spacing w:before="20" w:after="20"/>
            </w:pPr>
            <w:r/>
            <w:r>
              <w:rPr>
                <w:rFonts w:ascii="Palatino Linotype" w:hAnsi="Palatino Linotype" w:eastAsia="Palatino Linotype"/>
                <w:b/>
                <w:i w:val="0"/>
                <w:sz w:val="18"/>
              </w:rPr>
              <w:t>0.048</w:t>
            </w:r>
          </w:p>
        </w:tc>
        <w:tc>
          <w:tcPr>
            <w:tcW w:type="dxa" w:w="1994"/>
          </w:tcPr>
          <w:p>
            <w:pPr>
              <w:spacing w:before="20" w:after="20"/>
            </w:pPr>
            <w:r/>
            <w:r>
              <w:rPr>
                <w:rFonts w:ascii="Palatino Linotype" w:hAnsi="Palatino Linotype" w:eastAsia="Palatino Linotype"/>
                <w:b/>
                <w:i w:val="0"/>
                <w:sz w:val="18"/>
              </w:rPr>
              <w:t>0.122</w:t>
            </w:r>
          </w:p>
        </w:tc>
      </w:tr>
    </w:tbl>
    <w:p/>
    <w:p>
      <w:pPr>
        <w:spacing w:before="0" w:after="80" w:line="240" w:lineRule="auto"/>
        <w:jc w:val="both"/>
      </w:pPr>
      <w:r>
        <w:rPr>
          <w:rFonts w:ascii="Palatino Linotype" w:hAnsi="Palatino Linotype" w:eastAsia="Palatino Linotype"/>
          <w:b w:val="0"/>
          <w:i w:val="0"/>
          <w:sz w:val="20"/>
        </w:rPr>
        <w:t xml:space="preserve">The overall ratio converges — 0.787, 0.793, 0.796, the last step being four tenths of a percent. The </w:t>
      </w:r>
      <w:r>
        <w:rPr>
          <w:rFonts w:ascii="Palatino Linotype" w:hAnsi="Palatino Linotype" w:eastAsia="Palatino Linotype"/>
          <w:b/>
          <w:i w:val="0"/>
          <w:sz w:val="20"/>
        </w:rPr>
        <w:t>inner-region residual does not shrink with refinement; it grows and then settles</w:t>
      </w:r>
      <w:r>
        <w:rPr>
          <w:rFonts w:ascii="Palatino Linotype" w:hAnsi="Palatino Linotype" w:eastAsia="Palatino Linotype"/>
          <w:b w:val="0"/>
          <w:i w:val="0"/>
          <w:sz w:val="20"/>
        </w:rPr>
        <w:t>, which means the coarse mesh was smoothing the loading and making the agreement look better than it is. The tip-region residual barely moves across a threefold change in cell count, which is the signature of a real disagreement rather than a discretisation error.</w:t>
      </w:r>
    </w:p>
    <w:p>
      <w:pPr>
        <w:spacing w:before="0" w:after="80" w:line="240" w:lineRule="auto"/>
        <w:jc w:val="both"/>
      </w:pPr>
      <w:r>
        <w:rPr>
          <w:rFonts w:ascii="Palatino Linotype" w:hAnsi="Palatino Linotype" w:eastAsia="Palatino Linotype"/>
          <w:b/>
          <w:i w:val="0"/>
          <w:sz w:val="20"/>
        </w:rPr>
        <w:t>Converted into the units of the sensitivity above, the converged residual is 2.75 degrees of equivalent redistribution over the inner nine tenths of the span.</w:t>
      </w:r>
      <w:r>
        <w:rPr>
          <w:rFonts w:ascii="Palatino Linotype" w:hAnsi="Palatino Linotype" w:eastAsia="Palatino Linotype"/>
          <w:b w:val="0"/>
          <w:i w:val="0"/>
          <w:sz w:val="20"/>
        </w:rPr>
        <w:t xml:space="preserve"> The conversion is measured rather than asserted — the same half-sine perturbation was applied to the vortex-lattice solution and its effect on the normalised loading ratio recorded — and both sides are measured as standard deviations rather than as extremes, because the two solutions carry different numbers of spanwise stations and an extreme-value measure would reward whichever had more. That choice is not cosmetic: on the same converged solution the extreme-value measure gives 2.80 degrees and a coarser common sampling gives 1.87, and the two sit on opposite sides of the one-degree trim-twist mark, so the measurement rather than the physics would have decided what the paper reported.</w:t>
      </w:r>
    </w:p>
    <w:p>
      <w:pPr>
        <w:spacing w:before="0" w:after="80" w:line="240" w:lineRule="auto"/>
        <w:jc w:val="both"/>
      </w:pPr>
      <w:r>
        <w:rPr>
          <w:rFonts w:ascii="Palatino Linotype" w:hAnsi="Palatino Linotype" w:eastAsia="Palatino Linotype"/>
          <w:b/>
          <w:i w:val="0"/>
          <w:sz w:val="20"/>
        </w:rPr>
        <w:t>What that number is, and what it is not.</w:t>
      </w:r>
      <w:r>
        <w:rPr>
          <w:rFonts w:ascii="Palatino Linotype" w:hAnsi="Palatino Linotype" w:eastAsia="Palatino Linotype"/>
          <w:b w:val="0"/>
          <w:i w:val="0"/>
          <w:sz w:val="20"/>
        </w:rPr>
        <w:t xml:space="preserve"> The 2.6 degrees is not an acceptance criterion the solution has failed; it is a unit conversion — the redistribution that corresponds to one degree of trim twist through the measured sensitivity of 0.38 degrees per degree. Read as a criterion it invites the reply that the paper exceeded its own gate and then argued the gate did not matter. Read as what it is, the calculation is a calibration: </w:t>
      </w:r>
      <w:r>
        <w:rPr>
          <w:rFonts w:ascii="Palatino Linotype" w:hAnsi="Palatino Linotype" w:eastAsia="Palatino Linotype"/>
          <w:b/>
          <w:i w:val="0"/>
          <w:sz w:val="20"/>
        </w:rPr>
        <w:t>a measured redistribution of 2.75 degrees converts to 1.04 degrees of trim twist, a 2.1 percent change in span efficiency from 0.817 to 0.799, and 0.8 percent on the cruise lift-to-drag ratio and on every range computed from it.</w:t>
      </w:r>
      <w:r>
        <w:rPr>
          <w:rFonts w:ascii="Palatino Linotype" w:hAnsi="Palatino Linotype" w:eastAsia="Palatino Linotype"/>
          <w:b w:val="0"/>
          <w:i w:val="0"/>
          <w:sz w:val="20"/>
        </w:rPr>
        <w:t xml:space="preserve"> That is an order of magnitude inside the drag bracket the same section already applies, which moves range by nine to twenty-six percent. </w:t>
      </w:r>
      <w:r>
        <w:rPr>
          <w:rFonts w:ascii="Palatino Linotype" w:hAnsi="Palatino Linotype" w:eastAsia="Palatino Linotype"/>
          <w:b/>
          <w:i w:val="0"/>
          <w:sz w:val="20"/>
        </w:rPr>
        <w:t>The vortex-lattice trim chain is therefore not overturned by this comparison; it is displaced by less than the uncertainty already carried around it</w:t>
      </w:r>
      <w:r>
        <w:rPr>
          <w:rFonts w:ascii="Palatino Linotype" w:hAnsi="Palatino Linotype" w:eastAsia="Palatino Linotype"/>
          <w:b w:val="0"/>
          <w:i w:val="0"/>
          <w:sz w:val="20"/>
        </w:rPr>
        <w:t>, and the paper reports the exceedance rather than rounding it away.</w:t>
      </w:r>
    </w:p>
    <w:p>
      <w:pPr>
        <w:spacing w:before="0" w:after="80" w:line="240" w:lineRule="auto"/>
        <w:jc w:val="both"/>
      </w:pPr>
      <w:r>
        <w:rPr>
          <w:rFonts w:ascii="Palatino Linotype" w:hAnsi="Palatino Linotype" w:eastAsia="Palatino Linotype"/>
          <w:b w:val="0"/>
          <w:i w:val="0"/>
          <w:sz w:val="20"/>
        </w:rPr>
        <w:t>What the comparison does establish against the configuration is the tip. The disagreement outboard of η = 0.90 survives refinement undiminished, and the vortex-lattice method is where it would be expected to fail — at the tip vortex, on a section of finite thickness modelled as a sheet.</w:t>
      </w:r>
    </w:p>
    <w:p>
      <w:pPr>
        <w:spacing w:before="0" w:after="80" w:line="240" w:lineRule="auto"/>
        <w:jc w:val="both"/>
      </w:pPr>
      <w:r>
        <w:rPr>
          <w:rFonts w:ascii="Palatino Linotype" w:hAnsi="Palatino Linotype" w:eastAsia="Palatino Linotype"/>
          <w:b/>
          <w:i w:val="0"/>
          <w:sz w:val="20"/>
        </w:rPr>
        <w:t>No quantity here is taken from the outboard tenth alone, but three are integrals over the span that include it, and saying "nothing depends on the tip" would be too quick.</w:t>
      </w:r>
      <w:r>
        <w:rPr>
          <w:rFonts w:ascii="Palatino Linotype" w:hAnsi="Palatino Linotype" w:eastAsia="Palatino Linotype"/>
          <w:b w:val="0"/>
          <w:i w:val="0"/>
          <w:sz w:val="20"/>
        </w:rPr>
        <w:t xml:space="preserve"> The span efficiency, the roll damping and the neutral point all integrate the loading, so the tip enters them weighted by its share of the load. That share is about a tenth, and the local disagreement there is about a quarter, so the integrated quantities carry roughly 2.5 percent from this source — inside the drag bracket applied to the same numbers and of the same order as the trim displacement above. A strip-based estimate drawn from the tip region by itself would not be safe; none is made.</w:t>
      </w:r>
    </w:p>
    <w:p>
      <w:pPr>
        <w:spacing w:before="0" w:after="80" w:line="240" w:lineRule="auto"/>
        <w:jc w:val="both"/>
      </w:pPr>
      <w:r>
        <w:rPr>
          <w:rFonts w:ascii="Palatino Linotype" w:hAnsi="Palatino Linotype" w:eastAsia="Palatino Linotype"/>
          <w:b/>
          <w:i w:val="0"/>
          <w:sz w:val="20"/>
        </w:rPr>
        <w:t>Three limits belong with all of this.</w:t>
      </w:r>
      <w:r>
        <w:rPr>
          <w:rFonts w:ascii="Palatino Linotype" w:hAnsi="Palatino Linotype" w:eastAsia="Palatino Linotype"/>
          <w:b w:val="0"/>
          <w:i w:val="0"/>
          <w:sz w:val="20"/>
        </w:rPr>
        <w:t xml:space="preserve"> No viscous drag is taken from these runs, which use wall functions. The twisted geometry is not solved at all, because the mesh generator accepts stations as span, leading edge, chord and thickness and has no field for twist. And the overall ratio runs opposite to the published comparison cited above, which the paper reports rather than reconciles.</w:t>
      </w:r>
    </w:p>
    <w:p>
      <w:pPr>
        <w:spacing w:before="200" w:after="80"/>
      </w:pPr>
      <w:r>
        <w:rPr>
          <w:rFonts w:ascii="Palatino Linotype" w:hAnsi="Palatino Linotype" w:eastAsia="Palatino Linotype"/>
          <w:b/>
          <w:i w:val="0"/>
          <w:sz w:val="22"/>
        </w:rPr>
        <w:t>3.11 A component build-up of the mass budget</w:t>
      </w:r>
    </w:p>
    <w:p>
      <w:pPr>
        <w:spacing w:before="0" w:after="80" w:line="240" w:lineRule="auto"/>
        <w:jc w:val="both"/>
      </w:pPr>
      <w:r>
        <w:rPr>
          <w:rFonts w:ascii="Palatino Linotype" w:hAnsi="Palatino Linotype" w:eastAsia="Palatino Linotype"/>
          <w:b w:val="0"/>
          <w:i w:val="0"/>
          <w:sz w:val="20"/>
        </w:rPr>
        <w:t>The sizing above assumes an empty-mass fraction rather than deriving one. Supplementary S2 builds the 50 kg design's mass item by item — structure from wetted area and an assumed shell areal density, tip frames sized by a vertical landing case, propulsion, energy, avionics and systems — and reports the break-even value of every assumption in it.</w:t>
      </w:r>
    </w:p>
    <w:p>
      <w:pPr>
        <w:spacing w:before="0" w:after="80" w:line="240" w:lineRule="auto"/>
        <w:jc w:val="both"/>
      </w:pPr>
      <w:r>
        <w:rPr>
          <w:rFonts w:ascii="Palatino Linotype" w:hAnsi="Palatino Linotype" w:eastAsia="Palatino Linotype"/>
          <w:b/>
          <w:i w:val="0"/>
          <w:sz w:val="20"/>
        </w:rPr>
        <w:t>The build-up closes, and it closes on one number.</w:t>
      </w:r>
      <w:r>
        <w:rPr>
          <w:rFonts w:ascii="Palatino Linotype" w:hAnsi="Palatino Linotype" w:eastAsia="Palatino Linotype"/>
          <w:b w:val="0"/>
          <w:i w:val="0"/>
          <w:sz w:val="20"/>
        </w:rPr>
        <w:t xml:space="preserve"> The total is 11.88 kg against a 14.08 kg allowance, leaving 2.2 kg unallocated. It closes on the condition that the average structural areal density does not exceed </w:t>
      </w:r>
      <w:r>
        <w:rPr>
          <w:rFonts w:ascii="Palatino Linotype" w:hAnsi="Palatino Linotype" w:eastAsia="Palatino Linotype"/>
          <w:b/>
          <w:i w:val="0"/>
          <w:sz w:val="20"/>
        </w:rPr>
        <w:t>1.78 kg m⁻²</w:t>
      </w:r>
      <w:r>
        <w:rPr>
          <w:rFonts w:ascii="Palatino Linotype" w:hAnsi="Palatino Linotype" w:eastAsia="Palatino Linotype"/>
          <w:b w:val="0"/>
          <w:i w:val="0"/>
          <w:sz w:val="20"/>
        </w:rPr>
        <w:t>, against the 1.5 assumed; at 1.78 the payload is gone. A doctoral study of unmanned-aircraft sizing reports 1.05 kg m⁻² for a small UAV's monolithic composite fuselage shell supported by an internal structure [50], which places the assumption inside the range small composite airframes are built to without establishing that this airframe reaches it — that shell is carried by an internal structure, while this one is the wing and carries flight loads directly.</w:t>
      </w:r>
    </w:p>
    <w:p>
      <w:pPr>
        <w:spacing w:before="0" w:after="80" w:line="240" w:lineRule="auto"/>
        <w:jc w:val="both"/>
      </w:pPr>
      <w:r>
        <w:rPr>
          <w:rFonts w:ascii="Palatino Linotype" w:hAnsi="Palatino Linotype" w:eastAsia="Palatino Linotype"/>
          <w:b/>
          <w:i w:val="0"/>
          <w:sz w:val="20"/>
        </w:rPr>
        <w:t>The build-up came in lighter than the target, and that is a warning rather than a result.</w:t>
      </w:r>
      <w:r>
        <w:rPr>
          <w:rFonts w:ascii="Palatino Linotype" w:hAnsi="Palatino Linotype" w:eastAsia="Palatino Linotype"/>
          <w:b w:val="0"/>
          <w:i w:val="0"/>
          <w:sz w:val="20"/>
        </w:rPr>
        <w:t xml:space="preserve"> Paper aircraft are habitually lighter than the aircraft that get built. What S2 does not contain is buckling, torsion, local load introduction, aeroelastic sizing, fasteners, adhesive, paint, or the mass of anything the design has not yet specified — and the 2.2 kg of margin is what all of those must fit into. Section 4.4 states the item as bounded from below rather than demonstrated.</w:t>
      </w:r>
    </w:p>
    <w:p>
      <w:pPr>
        <w:spacing w:before="0" w:after="80" w:line="240" w:lineRule="auto"/>
        <w:jc w:val="both"/>
      </w:pPr>
      <w:r>
        <w:rPr>
          <w:rFonts w:ascii="Palatino Linotype" w:hAnsi="Palatino Linotype" w:eastAsia="Palatino Linotype"/>
          <w:b w:val="0"/>
          <w:i w:val="0"/>
          <w:sz w:val="20"/>
        </w:rPr>
        <w:t>The transition between vertical and horizontal flight is the manoeuvre on which tail-sitters have historically been judged, and it is the part of this configuration that most deserves scrutiny. This section describes the flight profile, states the equations that govern the transition, and reports a simulation of it. One result contradicts a widely-assumed relationship and is presented as such.</w:t>
      </w:r>
    </w:p>
    <w:p>
      <w:pPr>
        <w:spacing w:before="200" w:after="80"/>
      </w:pPr>
      <w:r>
        <w:rPr>
          <w:rFonts w:ascii="Palatino Linotype" w:hAnsi="Palatino Linotype" w:eastAsia="Palatino Linotype"/>
          <w:b/>
          <w:i w:val="0"/>
          <w:sz w:val="22"/>
        </w:rPr>
        <w:t>3.12 The five phases</w:t>
      </w:r>
    </w:p>
    <w:p>
      <w:pPr>
        <w:spacing w:before="0" w:after="80" w:line="240" w:lineRule="auto"/>
        <w:jc w:val="both"/>
      </w:pPr>
      <w:r>
        <w:rPr>
          <w:rFonts w:ascii="Palatino Linotype" w:hAnsi="Palatino Linotype" w:eastAsia="Palatino Linotype"/>
          <w:b/>
          <w:i w:val="0"/>
          <w:sz w:val="20"/>
        </w:rPr>
        <w:t>Why the next six subsections are here.</w:t>
      </w:r>
      <w:r>
        <w:rPr>
          <w:rFonts w:ascii="Palatino Linotype" w:hAnsi="Palatino Linotype" w:eastAsia="Palatino Linotype"/>
          <w:b w:val="0"/>
          <w:i w:val="0"/>
          <w:sz w:val="20"/>
        </w:rPr>
        <w:t xml:space="preserve"> Everything so far has audited the three bills and the sizing that follows from them, which is what the framework of Section 2 asks of a case. None of it establishes that the configuration can perform the manoeuvre that makes it a tail-sitter rather than a fixed-wing aircraft that cannot take off. </w:t>
      </w:r>
      <w:r>
        <w:rPr>
          <w:rFonts w:ascii="Palatino Linotype" w:hAnsi="Palatino Linotype" w:eastAsia="Palatino Linotype"/>
          <w:b/>
          <w:i w:val="0"/>
          <w:sz w:val="20"/>
        </w:rPr>
        <w:t>The bills are only owed by an aircraft that rotates</w:t>
      </w:r>
      <w:r>
        <w:rPr>
          <w:rFonts w:ascii="Palatino Linotype" w:hAnsi="Palatino Linotype" w:eastAsia="Palatino Linotype"/>
          <w:b w:val="0"/>
          <w:i w:val="0"/>
          <w:sz w:val="20"/>
        </w:rPr>
        <w:t>, and whether this one can is a separate question from what its architecture costs. The subsections below ask it, and the answer decides whether the case study is of an aircraft or of a configuration that has never left the ground. It is also where this paper's largest unresolved item lives.</w:t>
      </w:r>
    </w:p>
    <w:p>
      <w:pPr>
        <w:spacing w:before="0" w:after="80" w:line="240" w:lineRule="auto"/>
        <w:jc w:val="both"/>
      </w:pPr>
      <w:r>
        <w:rPr>
          <w:rFonts w:ascii="Palatino Linotype" w:hAnsi="Palatino Linotype" w:eastAsia="Palatino Linotype"/>
          <w:b/>
          <w:i w:val="0"/>
          <w:sz w:val="20"/>
        </w:rPr>
        <w:t>Stance.</w:t>
      </w:r>
      <w:r>
        <w:rPr>
          <w:rFonts w:ascii="Palatino Linotype" w:hAnsi="Palatino Linotype" w:eastAsia="Palatino Linotype"/>
          <w:b w:val="0"/>
          <w:i w:val="0"/>
          <w:sz w:val="20"/>
        </w:rPr>
        <w:t xml:space="preserve"> The aircraft rests on five points — the four lower ends of the tip frames and the aft end of the centre keel — with its longitudinal axis vertical. No launch equipment is present, and the aircraft is in its own storage attitude.</w:t>
      </w:r>
    </w:p>
    <w:p>
      <w:pPr>
        <w:spacing w:before="0" w:after="80" w:line="240" w:lineRule="auto"/>
        <w:jc w:val="both"/>
      </w:pPr>
      <w:r>
        <w:rPr>
          <w:rFonts w:ascii="Palatino Linotype" w:hAnsi="Palatino Linotype" w:eastAsia="Palatino Linotype"/>
          <w:b/>
          <w:i w:val="0"/>
          <w:sz w:val="20"/>
        </w:rPr>
        <w:t>Vertical take-off.</w:t>
      </w:r>
      <w:r>
        <w:rPr>
          <w:rFonts w:ascii="Palatino Linotype" w:hAnsi="Palatino Linotype" w:eastAsia="Palatino Linotype"/>
          <w:b w:val="0"/>
          <w:i w:val="0"/>
          <w:sz w:val="20"/>
        </w:rPr>
        <w:t xml:space="preserve"> The nose pair spools to a thrust exceeding weight and the aircraft rises vertically. Attitude is held by the four tip pairs. This is the highest-power phase of the flight and the shortest.</w:t>
      </w:r>
    </w:p>
    <w:p>
      <w:pPr>
        <w:spacing w:before="0" w:after="80" w:line="240" w:lineRule="auto"/>
        <w:jc w:val="both"/>
      </w:pPr>
      <w:r>
        <w:rPr>
          <w:rFonts w:ascii="Palatino Linotype" w:hAnsi="Palatino Linotype" w:eastAsia="Palatino Linotype"/>
          <w:b/>
          <w:i w:val="0"/>
          <w:sz w:val="20"/>
        </w:rPr>
        <w:t>Transition.</w:t>
      </w:r>
      <w:r>
        <w:rPr>
          <w:rFonts w:ascii="Palatino Linotype" w:hAnsi="Palatino Linotype" w:eastAsia="Palatino Linotype"/>
          <w:b w:val="0"/>
          <w:i w:val="0"/>
          <w:sz w:val="20"/>
        </w:rPr>
        <w:t xml:space="preserve"> The aircraft rotates from vertical to horizontal while accelerating, until the wing carries the weight. Treated in detail below.</w:t>
      </w:r>
    </w:p>
    <w:p>
      <w:pPr>
        <w:spacing w:before="0" w:after="80" w:line="240" w:lineRule="auto"/>
        <w:jc w:val="both"/>
      </w:pPr>
      <w:r>
        <w:rPr>
          <w:rFonts w:ascii="Palatino Linotype" w:hAnsi="Palatino Linotype" w:eastAsia="Palatino Linotype"/>
          <w:b/>
          <w:i w:val="0"/>
          <w:sz w:val="20"/>
        </w:rPr>
        <w:t>Cruise.</w:t>
      </w:r>
      <w:r>
        <w:rPr>
          <w:rFonts w:ascii="Palatino Linotype" w:hAnsi="Palatino Linotype" w:eastAsia="Palatino Linotype"/>
          <w:b w:val="0"/>
          <w:i w:val="0"/>
          <w:sz w:val="20"/>
        </w:rPr>
        <w:t xml:space="preserve"> The aircraft flies as a tailless blended-wing body. The nose pair is now the cruise propulsor at its design point. The tip pairs provide pitch and yaw, and the lower-surface strip provides roll.</w:t>
      </w:r>
    </w:p>
    <w:p>
      <w:pPr>
        <w:spacing w:before="0" w:after="80" w:line="240" w:lineRule="auto"/>
        <w:jc w:val="both"/>
      </w:pPr>
      <w:r>
        <w:rPr>
          <w:rFonts w:ascii="Palatino Linotype" w:hAnsi="Palatino Linotype" w:eastAsia="Palatino Linotype"/>
          <w:b/>
          <w:i w:val="0"/>
          <w:sz w:val="20"/>
        </w:rPr>
        <w:t>Landing.</w:t>
      </w:r>
      <w:r>
        <w:rPr>
          <w:rFonts w:ascii="Palatino Linotype" w:hAnsi="Palatino Linotype" w:eastAsia="Palatino Linotype"/>
          <w:b w:val="0"/>
          <w:i w:val="0"/>
          <w:sz w:val="20"/>
        </w:rPr>
        <w:t xml:space="preserve"> The reverse of transition, followed by a vertical descent onto the five contact points. Section 3.16 notes what is and is not analysed here.</w:t>
      </w:r>
    </w:p>
    <w:p>
      <w:pPr>
        <w:spacing w:before="0" w:after="80" w:line="240" w:lineRule="auto"/>
        <w:jc w:val="both"/>
      </w:pPr>
      <w:r>
        <w:rPr>
          <w:rFonts w:ascii="Palatino Linotype" w:hAnsi="Palatino Linotype" w:eastAsia="Palatino Linotype"/>
          <w:b w:val="0"/>
          <w:i w:val="0"/>
          <w:sz w:val="20"/>
        </w:rPr>
        <w:t>Figure 11 shows the five phases in sequence. Nothing on the aircraft rotates relative to the aircraft at any point in it.</w:t>
      </w:r>
    </w:p>
    <w:p>
      <w:pPr>
        <w:spacing w:after="40"/>
        <w:jc w:val="center"/>
        <w:keepNext/>
      </w:pPr>
      <w:r>
        <w:drawing>
          <wp:inline xmlns:a="http://schemas.openxmlformats.org/drawingml/2006/main" xmlns:pic="http://schemas.openxmlformats.org/drawingml/2006/picture">
            <wp:extent cx="5400000" cy="2615625"/>
            <wp:docPr id="11" name="Picture 11"/>
            <wp:cNvGraphicFramePr>
              <a:graphicFrameLocks noChangeAspect="1"/>
            </wp:cNvGraphicFramePr>
            <a:graphic>
              <a:graphicData uri="http://schemas.openxmlformats.org/drawingml/2006/picture">
                <pic:pic>
                  <pic:nvPicPr>
                    <pic:cNvPr id="0" name="sekil11-ucus-profili.png"/>
                    <pic:cNvPicPr/>
                  </pic:nvPicPr>
                  <pic:blipFill>
                    <a:blip r:embed="rId19"/>
                    <a:stretch>
                      <a:fillRect/>
                    </a:stretch>
                  </pic:blipFill>
                  <pic:spPr>
                    <a:xfrm>
                      <a:off x="0" y="0"/>
                      <a:ext cx="5400000" cy="2615625"/>
                    </a:xfrm>
                    <a:prstGeom prst="rect"/>
                  </pic:spPr>
                </pic:pic>
              </a:graphicData>
            </a:graphic>
          </wp:inline>
        </w:drawing>
      </w:r>
    </w:p>
    <w:p>
      <w:pPr>
        <w:spacing w:after="160"/>
        <w:jc w:val="both"/>
      </w:pPr>
      <w:r>
        <w:rPr>
          <w:rFonts w:ascii="Palatino Linotype" w:hAnsi="Palatino Linotype" w:eastAsia="Palatino Linotype"/>
          <w:b/>
          <w:i w:val="0"/>
          <w:sz w:val="18"/>
        </w:rPr>
        <w:t xml:space="preserve">Figure 11. </w:t>
      </w:r>
      <w:r>
        <w:rPr>
          <w:rFonts w:ascii="Palatino Linotype" w:hAnsi="Palatino Linotype" w:eastAsia="Palatino Linotype"/>
          <w:b w:val="0"/>
          <w:i w:val="0"/>
          <w:sz w:val="18"/>
        </w:rPr>
        <w:t>The five phases of the flight profile, drawn from the parametric geometry model. The rotation in phase 3 is treated in Sections 3.14 and 3.15.</w:t>
      </w:r>
    </w:p>
    <w:p>
      <w:pPr>
        <w:spacing w:before="200" w:after="80"/>
      </w:pPr>
      <w:r>
        <w:rPr>
          <w:rFonts w:ascii="Palatino Linotype" w:hAnsi="Palatino Linotype" w:eastAsia="Palatino Linotype"/>
          <w:b/>
          <w:i w:val="0"/>
          <w:sz w:val="22"/>
        </w:rPr>
        <w:t>3.13 Why the transition begins in the easiest condition</w:t>
      </w:r>
    </w:p>
    <w:p>
      <w:pPr>
        <w:spacing w:before="0" w:after="80" w:line="240" w:lineRule="auto"/>
        <w:jc w:val="both"/>
      </w:pPr>
      <w:r>
        <w:rPr>
          <w:rFonts w:ascii="Palatino Linotype" w:hAnsi="Palatino Linotype" w:eastAsia="Palatino Linotype"/>
          <w:b w:val="0"/>
          <w:i w:val="0"/>
          <w:sz w:val="20"/>
        </w:rPr>
        <w:t>A common objection to tail-sitter transition is that the aircraft must fight the airflow while rotating. For a transition that begins in hover, it does not. At the start of the manoeuvre the airspeed is zero, so the free-stream dynamic pressure</w:t>
      </w:r>
    </w:p>
    <w:p>
      <w:pPr>
        <w:spacing w:before="0" w:after="80" w:line="240" w:lineRule="auto"/>
        <w:jc w:val="both"/>
      </w:pPr>
      <w:r>
        <w:rPr>
          <w:rFonts w:ascii="Palatino Linotype" w:hAnsi="Palatino Linotype" w:eastAsia="Palatino Linotype"/>
          <w:b w:val="0"/>
          <w:i w:val="0"/>
          <w:sz w:val="20"/>
        </w:rPr>
        <w:t>q = ½ρV²</w:t>
      </w:r>
    </w:p>
    <w:p>
      <w:pPr>
        <w:spacing w:before="0" w:after="80" w:line="240" w:lineRule="auto"/>
        <w:jc w:val="both"/>
      </w:pPr>
      <w:r>
        <w:rPr>
          <w:rFonts w:ascii="Palatino Linotype" w:hAnsi="Palatino Linotype" w:eastAsia="Palatino Linotype"/>
          <w:b w:val="0"/>
          <w:i w:val="0"/>
          <w:sz w:val="20"/>
        </w:rPr>
        <w:t>is zero, and with it every aerodynamic moment that would resist the rotation. The aircraft is not turning against the air; it is turning in still air and then meeting the air as it accelerates.</w:t>
      </w:r>
    </w:p>
    <w:p>
      <w:pPr>
        <w:spacing w:before="0" w:after="80" w:line="240" w:lineRule="auto"/>
        <w:jc w:val="both"/>
      </w:pPr>
      <w:r>
        <w:rPr>
          <w:rFonts w:ascii="Palatino Linotype" w:hAnsi="Palatino Linotype" w:eastAsia="Palatino Linotype"/>
          <w:b w:val="0"/>
          <w:i w:val="0"/>
          <w:sz w:val="20"/>
        </w:rPr>
        <w:t>The consequence is that the difficult part of the transition is not its beginning but its middle, where the airspeed has grown enough for aerodynamic moments to matter but the wing is not yet carrying the weight. The control authority requirement is set there, not at the start.</w:t>
      </w:r>
    </w:p>
    <w:p>
      <w:pPr>
        <w:spacing w:before="200" w:after="80"/>
      </w:pPr>
      <w:r>
        <w:rPr>
          <w:rFonts w:ascii="Palatino Linotype" w:hAnsi="Palatino Linotype" w:eastAsia="Palatino Linotype"/>
          <w:b/>
          <w:i w:val="0"/>
          <w:sz w:val="22"/>
        </w:rPr>
        <w:t>3.14 The thrust singularity that is never reached</w:t>
      </w:r>
    </w:p>
    <w:p>
      <w:pPr>
        <w:spacing w:before="0" w:after="80" w:line="240" w:lineRule="auto"/>
        <w:jc w:val="both"/>
      </w:pPr>
      <w:r>
        <w:rPr>
          <w:rFonts w:ascii="Palatino Linotype" w:hAnsi="Palatino Linotype" w:eastAsia="Palatino Linotype"/>
          <w:b w:val="0"/>
          <w:i w:val="0"/>
          <w:sz w:val="20"/>
        </w:rPr>
        <w:t>Consider the aircraft at an angle θ from the vertical, and suppose for a moment that it must hold altitude with thrust alone. Vertical equilibrium then requires</w:t>
      </w:r>
    </w:p>
    <w:p>
      <w:pPr>
        <w:spacing w:before="0" w:after="80" w:line="240" w:lineRule="auto"/>
        <w:jc w:val="both"/>
      </w:pPr>
      <w:r>
        <w:rPr>
          <w:rFonts w:ascii="Palatino Linotype" w:hAnsi="Palatino Linotype" w:eastAsia="Palatino Linotype"/>
          <w:b w:val="0"/>
          <w:i w:val="0"/>
          <w:sz w:val="20"/>
        </w:rPr>
        <w:t>T cos θ = W        →        T = W / cos θ</w:t>
      </w:r>
    </w:p>
    <w:p>
      <w:pPr>
        <w:spacing w:before="0" w:after="80" w:line="240" w:lineRule="auto"/>
        <w:jc w:val="both"/>
      </w:pPr>
      <w:r>
        <w:rPr>
          <w:rFonts w:ascii="Palatino Linotype" w:hAnsi="Palatino Linotype" w:eastAsia="Palatino Linotype"/>
          <w:b w:val="0"/>
          <w:i w:val="0"/>
          <w:sz w:val="20"/>
        </w:rPr>
        <w:t>which diverges as θ approaches ninety degrees. Read literally, this says a tail-sitter cannot complete a transition, and the expression is sometimes quoted to that effect.</w:t>
      </w:r>
    </w:p>
    <w:p>
      <w:pPr>
        <w:spacing w:before="0" w:after="80" w:line="240" w:lineRule="auto"/>
        <w:jc w:val="both"/>
      </w:pPr>
      <w:r>
        <w:rPr>
          <w:rFonts w:ascii="Palatino Linotype" w:hAnsi="Palatino Linotype" w:eastAsia="Palatino Linotype"/>
          <w:b w:val="0"/>
          <w:i w:val="0"/>
          <w:sz w:val="20"/>
        </w:rPr>
        <w:t>The expression is correct and the conclusion drawn from it is not, because the premise is false. The aircraft does not hold altitude with thrust alone. Vertical support is</w:t>
      </w:r>
    </w:p>
    <w:p>
      <w:pPr>
        <w:spacing w:before="0" w:after="80" w:line="240" w:lineRule="auto"/>
        <w:jc w:val="both"/>
      </w:pPr>
      <w:r>
        <w:rPr>
          <w:rFonts w:ascii="Palatino Linotype" w:hAnsi="Palatino Linotype" w:eastAsia="Palatino Linotype"/>
          <w:b w:val="0"/>
          <w:i w:val="0"/>
          <w:sz w:val="20"/>
        </w:rPr>
        <w:t>T cos θ + L = W,        L = ½ρV²S C_L</w:t>
      </w:r>
    </w:p>
    <w:p>
      <w:pPr>
        <w:spacing w:before="0" w:after="80" w:line="240" w:lineRule="auto"/>
        <w:jc w:val="both"/>
      </w:pPr>
      <w:r>
        <w:rPr>
          <w:rFonts w:ascii="Palatino Linotype" w:hAnsi="Palatino Linotype" w:eastAsia="Palatino Linotype"/>
          <w:b w:val="0"/>
          <w:i w:val="0"/>
          <w:sz w:val="20"/>
        </w:rPr>
        <w:t>and V is not zero during the rotation — it is growing, because the horizontal component T sin θ is accelerating the aircraft. The horizontal acceleration, in the same idealisation, is</w:t>
      </w:r>
    </w:p>
    <w:p>
      <w:pPr>
        <w:spacing w:before="0" w:after="80" w:line="240" w:lineRule="auto"/>
        <w:jc w:val="both"/>
      </w:pPr>
      <w:r>
        <w:rPr>
          <w:rFonts w:ascii="Palatino Linotype" w:hAnsi="Palatino Linotype" w:eastAsia="Palatino Linotype"/>
          <w:b w:val="0"/>
          <w:i w:val="0"/>
          <w:sz w:val="20"/>
        </w:rPr>
        <w:t>a = g tan θ</w:t>
      </w:r>
    </w:p>
    <w:p>
      <w:pPr>
        <w:spacing w:before="0" w:after="80" w:line="240" w:lineRule="auto"/>
        <w:jc w:val="both"/>
      </w:pPr>
      <w:r>
        <w:rPr>
          <w:rFonts w:ascii="Palatino Linotype" w:hAnsi="Palatino Linotype" w:eastAsia="Palatino Linotype"/>
          <w:b w:val="0"/>
          <w:i w:val="0"/>
          <w:sz w:val="20"/>
        </w:rPr>
        <w:t>so the very rotation that reduces the vertical component of thrust is what generates the airspeed that replaces it. The singularity is never approached because the wing arrives first.</w:t>
      </w:r>
    </w:p>
    <w:p>
      <w:pPr>
        <w:spacing w:before="0" w:after="80" w:line="240" w:lineRule="auto"/>
        <w:jc w:val="both"/>
      </w:pPr>
      <w:r>
        <w:rPr>
          <w:rFonts w:ascii="Palatino Linotype" w:hAnsi="Palatino Linotype" w:eastAsia="Palatino Linotype"/>
          <w:b w:val="0"/>
          <w:i w:val="0"/>
          <w:sz w:val="20"/>
        </w:rPr>
        <w:t>This is the central mechanism of the manoeuvre, and it also explains the result of the next subsection.</w:t>
      </w:r>
    </w:p>
    <w:p>
      <w:pPr>
        <w:spacing w:before="200" w:after="80"/>
      </w:pPr>
      <w:r>
        <w:rPr>
          <w:rFonts w:ascii="Palatino Linotype" w:hAnsi="Palatino Linotype" w:eastAsia="Palatino Linotype"/>
          <w:b/>
          <w:i w:val="0"/>
          <w:sz w:val="22"/>
        </w:rPr>
        <w:t>3.15 Transition time: slower is better</w:t>
      </w:r>
    </w:p>
    <w:p>
      <w:pPr>
        <w:spacing w:before="0" w:after="80" w:line="240" w:lineRule="auto"/>
        <w:jc w:val="both"/>
      </w:pPr>
      <w:r>
        <w:rPr>
          <w:rFonts w:ascii="Palatino Linotype" w:hAnsi="Palatino Linotype" w:eastAsia="Palatino Linotype"/>
          <w:b w:val="0"/>
          <w:i w:val="0"/>
          <w:sz w:val="20"/>
        </w:rPr>
        <w:t>The transition was simulated as a two-degree-of-freedom point mass. The body angle is driven from zero to ninety degrees over a rotation time t_r; thrust acts along the body axis, lift perpendicular to the velocity vector and drag opposite to it; the lift curve is linear to stall and a flat-plate relation beyond it. Altitude loss is the lowest point of the trajectory relative to the entry altitude. Figure 12a plots both reference designs against rotation time, each at the two thrust-to-weight ratios its own installed power supplies.</w:t>
      </w:r>
    </w:p>
    <w:p>
      <w:pPr>
        <w:spacing w:after="40"/>
        <w:jc w:val="center"/>
        <w:keepNext/>
      </w:pPr>
      <w:r>
        <w:drawing>
          <wp:inline xmlns:a="http://schemas.openxmlformats.org/drawingml/2006/main" xmlns:pic="http://schemas.openxmlformats.org/drawingml/2006/picture">
            <wp:extent cx="4320000" cy="1831304"/>
            <wp:docPr id="12" name="Picture 12"/>
            <wp:cNvGraphicFramePr>
              <a:graphicFrameLocks noChangeAspect="1"/>
            </wp:cNvGraphicFramePr>
            <a:graphic>
              <a:graphicData uri="http://schemas.openxmlformats.org/drawingml/2006/picture">
                <pic:pic>
                  <pic:nvPicPr>
                    <pic:cNvPr id="0" name="sekil12a-gecis-donus-suresi.png"/>
                    <pic:cNvPicPr/>
                  </pic:nvPicPr>
                  <pic:blipFill>
                    <a:blip r:embed="rId20"/>
                    <a:stretch>
                      <a:fillRect/>
                    </a:stretch>
                  </pic:blipFill>
                  <pic:spPr>
                    <a:xfrm>
                      <a:off x="0" y="0"/>
                      <a:ext cx="4320000" cy="1831304"/>
                    </a:xfrm>
                    <a:prstGeom prst="rect"/>
                  </pic:spPr>
                </pic:pic>
              </a:graphicData>
            </a:graphic>
          </wp:inline>
        </w:drawing>
      </w:r>
    </w:p>
    <w:p>
      <w:pPr>
        <w:spacing w:after="40"/>
        <w:jc w:val="center"/>
        <w:keepNext/>
      </w:pPr>
      <w:r>
        <w:drawing>
          <wp:inline xmlns:a="http://schemas.openxmlformats.org/drawingml/2006/main" xmlns:pic="http://schemas.openxmlformats.org/drawingml/2006/picture">
            <wp:extent cx="4320000" cy="3065806"/>
            <wp:docPr id="13" name="Picture 13"/>
            <wp:cNvGraphicFramePr>
              <a:graphicFrameLocks noChangeAspect="1"/>
            </wp:cNvGraphicFramePr>
            <a:graphic>
              <a:graphicData uri="http://schemas.openxmlformats.org/drawingml/2006/picture">
                <pic:pic>
                  <pic:nvPicPr>
                    <pic:cNvPr id="0" name="sekil12b-tirmanarak-giris.png"/>
                    <pic:cNvPicPr/>
                  </pic:nvPicPr>
                  <pic:blipFill>
                    <a:blip r:embed="rId21"/>
                    <a:stretch>
                      <a:fillRect/>
                    </a:stretch>
                  </pic:blipFill>
                  <pic:spPr>
                    <a:xfrm>
                      <a:off x="0" y="0"/>
                      <a:ext cx="4320000" cy="3065806"/>
                    </a:xfrm>
                    <a:prstGeom prst="rect"/>
                  </pic:spPr>
                </pic:pic>
              </a:graphicData>
            </a:graphic>
          </wp:inline>
        </w:drawing>
      </w:r>
    </w:p>
    <w:p>
      <w:pPr>
        <w:spacing w:after="160"/>
        <w:jc w:val="both"/>
      </w:pPr>
      <w:r>
        <w:rPr>
          <w:rFonts w:ascii="Palatino Linotype" w:hAnsi="Palatino Linotype" w:eastAsia="Palatino Linotype"/>
          <w:b/>
          <w:i w:val="0"/>
          <w:sz w:val="18"/>
        </w:rPr>
        <w:t xml:space="preserve">Figure 12. </w:t>
      </w:r>
      <w:r>
        <w:rPr>
          <w:rFonts w:ascii="Palatino Linotype" w:hAnsi="Palatino Linotype" w:eastAsia="Palatino Linotype"/>
          <w:b w:val="0"/>
          <w:i w:val="0"/>
          <w:sz w:val="18"/>
        </w:rPr>
        <w:t>Transition altitude loss. (a) Both reference designs against rotation time, each at the two thrust-to-weight ratios its own installed power supplies — the lower value with full rotation authority retained, the upper with none — showing that a slower rotation loses less altitude, not more. (b) The light design at T/W = 1.066, its ratio with full authority retained, entering the rotation with an upward velocity w₀; an entry climb of 5 m s⁻¹ removes the loss at every rotation time considered.</w:t>
      </w:r>
    </w:p>
    <w:p>
      <w:pPr>
        <w:spacing w:before="0" w:after="80" w:line="240" w:lineRule="auto"/>
        <w:jc w:val="both"/>
      </w:pPr>
      <w:r>
        <w:rPr>
          <w:rFonts w:ascii="Palatino Linotype" w:hAnsi="Palatino Linotype" w:eastAsia="Palatino Linotype"/>
          <w:b/>
          <w:i w:val="0"/>
          <w:sz w:val="20"/>
        </w:rPr>
        <w:t>The ratio the aircraft actually has must be established first, and it is not a free choice.</w:t>
      </w:r>
      <w:r>
        <w:rPr>
          <w:rFonts w:ascii="Palatino Linotype" w:hAnsi="Palatino Linotype" w:eastAsia="Palatino Linotype"/>
          <w:b w:val="0"/>
          <w:i w:val="0"/>
          <w:sz w:val="20"/>
        </w:rPr>
        <w:t xml:space="preserve"> Section 2.12 sizes hover power at thrust equal to weight, so the 10.9 kW of Section 3.7 buys T/W = 1.00 and nothing more; the same is true of the 216.2 kW of Section 3.8. The only other source of vertical thrust on this aircraft is the tip pairs, and during the rotation they are occupied producing the rotation itself. On the bang-bang profile the upper pairs run at full thrust and the lower pairs at zero, which is the M = 2TL of Section 2.9 — and the two upper pairs still push upward. That fixes the ratio available </w:t>
      </w:r>
      <w:r>
        <w:rPr>
          <w:rFonts w:ascii="Palatino Linotype" w:hAnsi="Palatino Linotype" w:eastAsia="Palatino Linotype"/>
          <w:b w:val="0"/>
          <w:i/>
          <w:sz w:val="20"/>
        </w:rPr>
        <w:t>during</w:t>
      </w:r>
      <w:r>
        <w:rPr>
          <w:rFonts w:ascii="Palatino Linotype" w:hAnsi="Palatino Linotype" w:eastAsia="Palatino Linotype"/>
          <w:b w:val="0"/>
          <w:i w:val="0"/>
          <w:sz w:val="20"/>
        </w:rPr>
        <w:t xml:space="preserve"> a full-authority rotation at </w:t>
      </w:r>
      <w:r>
        <w:rPr>
          <w:rFonts w:ascii="Palatino Linotype" w:hAnsi="Palatino Linotype" w:eastAsia="Palatino Linotype"/>
          <w:b/>
          <w:i w:val="0"/>
          <w:sz w:val="20"/>
        </w:rPr>
        <w:t>1.066 for the light design and 1.041 for the heavy one</w:t>
      </w:r>
      <w:r>
        <w:rPr>
          <w:rFonts w:ascii="Palatino Linotype" w:hAnsi="Palatino Linotype" w:eastAsia="Palatino Linotype"/>
          <w:b w:val="0"/>
          <w:i w:val="0"/>
          <w:sz w:val="20"/>
        </w:rPr>
        <w:t>, and it is the ratio the tables below use. Giving up rotation authority buys a little more, to 1.132 and 1.082 with none retained; Supplementary S2 gives the trade. An earlier version of this section assumed T/W = 1.2, which the installed power does not supply at any setting, and the tables have been recomputed. Table 20 gives the recomputed losses.</w:t>
      </w:r>
    </w:p>
    <w:p>
      <w:pPr>
        <w:spacing w:before="0" w:after="80" w:line="240" w:lineRule="auto"/>
        <w:jc w:val="both"/>
        <w:keepNext/>
      </w:pPr>
      <w:r>
        <w:rPr>
          <w:rFonts w:ascii="Palatino Linotype" w:hAnsi="Palatino Linotype" w:eastAsia="Palatino Linotype"/>
          <w:b/>
          <w:i w:val="0"/>
          <w:sz w:val="20"/>
        </w:rPr>
        <w:t>Table 20.</w:t>
      </w:r>
      <w:r>
        <w:rPr>
          <w:rFonts w:ascii="Palatino Linotype" w:hAnsi="Palatino Linotype" w:eastAsia="Palatino Linotype"/>
          <w:b w:val="0"/>
          <w:i w:val="0"/>
          <w:sz w:val="20"/>
        </w:rPr>
        <w:t xml:space="preserve"> Transition altitude loss against rotation time, at the thrust-to-weight ratio each design's installed power supplies with full rotation authority retained.</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t_r, light</w:t>
            </w:r>
          </w:p>
        </w:tc>
        <w:tc>
          <w:tcPr>
            <w:tcW w:type="dxa" w:w="2493"/>
          </w:tcPr>
          <w:p>
            <w:pPr>
              <w:spacing w:before="20" w:after="20"/>
            </w:pPr>
            <w:r/>
            <w:r>
              <w:rPr>
                <w:rFonts w:ascii="Palatino Linotype" w:hAnsi="Palatino Linotype" w:eastAsia="Palatino Linotype"/>
                <w:b/>
                <w:i w:val="0"/>
                <w:sz w:val="18"/>
              </w:rPr>
              <w:t>Altitude loss, 50 kg</w:t>
            </w:r>
          </w:p>
        </w:tc>
        <w:tc>
          <w:tcPr>
            <w:tcW w:type="dxa" w:w="2493"/>
          </w:tcPr>
          <w:p>
            <w:pPr>
              <w:spacing w:before="20" w:after="20"/>
            </w:pPr>
            <w:r/>
            <w:r>
              <w:rPr>
                <w:rFonts w:ascii="Palatino Linotype" w:hAnsi="Palatino Linotype" w:eastAsia="Palatino Linotype"/>
                <w:b/>
                <w:i w:val="0"/>
                <w:sz w:val="18"/>
              </w:rPr>
              <w:t>t_r, heavy</w:t>
            </w:r>
          </w:p>
        </w:tc>
        <w:tc>
          <w:tcPr>
            <w:tcW w:type="dxa" w:w="2493"/>
          </w:tcPr>
          <w:p>
            <w:pPr>
              <w:spacing w:before="20" w:after="20"/>
            </w:pPr>
            <w:r/>
            <w:r>
              <w:rPr>
                <w:rFonts w:ascii="Palatino Linotype" w:hAnsi="Palatino Linotype" w:eastAsia="Palatino Linotype"/>
                <w:b/>
                <w:i w:val="0"/>
                <w:sz w:val="18"/>
              </w:rPr>
              <w:t>Altitude loss, 1000 kg</w:t>
            </w:r>
          </w:p>
        </w:tc>
      </w:tr>
      <w:tr>
        <w:trPr>
          <w:cantSplit/>
        </w:trPr>
        <w:tc>
          <w:tcPr>
            <w:tcW w:type="dxa" w:w="2493"/>
          </w:tcPr>
          <w:p>
            <w:pPr>
              <w:spacing w:before="20" w:after="20"/>
            </w:pPr>
            <w:r/>
            <w:r>
              <w:rPr>
                <w:rFonts w:ascii="Palatino Linotype" w:hAnsi="Palatino Linotype" w:eastAsia="Palatino Linotype"/>
                <w:b w:val="0"/>
                <w:i w:val="0"/>
                <w:sz w:val="18"/>
              </w:rPr>
              <w:t>1 s</w:t>
            </w:r>
          </w:p>
        </w:tc>
        <w:tc>
          <w:tcPr>
            <w:tcW w:type="dxa" w:w="2493"/>
          </w:tcPr>
          <w:p>
            <w:pPr>
              <w:spacing w:before="20" w:after="20"/>
            </w:pPr>
            <w:r/>
            <w:r>
              <w:rPr>
                <w:rFonts w:ascii="Palatino Linotype" w:hAnsi="Palatino Linotype" w:eastAsia="Palatino Linotype"/>
                <w:b w:val="0"/>
                <w:i w:val="0"/>
                <w:sz w:val="18"/>
              </w:rPr>
              <w:t>−18.2 m</w:t>
            </w:r>
          </w:p>
        </w:tc>
        <w:tc>
          <w:tcPr>
            <w:tcW w:type="dxa" w:w="2493"/>
          </w:tcPr>
          <w:p>
            <w:pPr>
              <w:spacing w:before="20" w:after="20"/>
            </w:pPr>
            <w:r/>
            <w:r>
              <w:rPr>
                <w:rFonts w:ascii="Palatino Linotype" w:hAnsi="Palatino Linotype" w:eastAsia="Palatino Linotype"/>
                <w:b w:val="0"/>
                <w:i w:val="0"/>
                <w:sz w:val="18"/>
              </w:rPr>
              <w:t>2 s</w:t>
            </w:r>
          </w:p>
        </w:tc>
        <w:tc>
          <w:tcPr>
            <w:tcW w:type="dxa" w:w="2493"/>
          </w:tcPr>
          <w:p>
            <w:pPr>
              <w:spacing w:before="20" w:after="20"/>
            </w:pPr>
            <w:r/>
            <w:r>
              <w:rPr>
                <w:rFonts w:ascii="Palatino Linotype" w:hAnsi="Palatino Linotype" w:eastAsia="Palatino Linotype"/>
                <w:b w:val="0"/>
                <w:i w:val="0"/>
                <w:sz w:val="18"/>
              </w:rPr>
              <w:t>−31.0 m</w:t>
            </w:r>
          </w:p>
        </w:tc>
      </w:tr>
      <w:tr>
        <w:trPr>
          <w:cantSplit/>
        </w:trPr>
        <w:tc>
          <w:tcPr>
            <w:tcW w:type="dxa" w:w="2493"/>
          </w:tcPr>
          <w:p>
            <w:pPr>
              <w:spacing w:before="20" w:after="20"/>
            </w:pPr>
            <w:r/>
            <w:r>
              <w:rPr>
                <w:rFonts w:ascii="Palatino Linotype" w:hAnsi="Palatino Linotype" w:eastAsia="Palatino Linotype"/>
                <w:b w:val="0"/>
                <w:i w:val="0"/>
                <w:sz w:val="18"/>
              </w:rPr>
              <w:t>2 s</w:t>
            </w:r>
          </w:p>
        </w:tc>
        <w:tc>
          <w:tcPr>
            <w:tcW w:type="dxa" w:w="2493"/>
          </w:tcPr>
          <w:p>
            <w:pPr>
              <w:spacing w:before="20" w:after="20"/>
            </w:pPr>
            <w:r/>
            <w:r>
              <w:rPr>
                <w:rFonts w:ascii="Palatino Linotype" w:hAnsi="Palatino Linotype" w:eastAsia="Palatino Linotype"/>
                <w:b w:val="0"/>
                <w:i w:val="0"/>
                <w:sz w:val="18"/>
              </w:rPr>
              <w:t>−14.7 m</w:t>
            </w:r>
          </w:p>
        </w:tc>
        <w:tc>
          <w:tcPr>
            <w:tcW w:type="dxa" w:w="2493"/>
          </w:tcPr>
          <w:p>
            <w:pPr>
              <w:spacing w:before="20" w:after="20"/>
            </w:pPr>
            <w:r/>
            <w:r>
              <w:rPr>
                <w:rFonts w:ascii="Palatino Linotype" w:hAnsi="Palatino Linotype" w:eastAsia="Palatino Linotype"/>
                <w:b w:val="0"/>
                <w:i w:val="0"/>
                <w:sz w:val="18"/>
              </w:rPr>
              <w:t>3 s</w:t>
            </w:r>
          </w:p>
        </w:tc>
        <w:tc>
          <w:tcPr>
            <w:tcW w:type="dxa" w:w="2493"/>
          </w:tcPr>
          <w:p>
            <w:pPr>
              <w:spacing w:before="20" w:after="20"/>
            </w:pPr>
            <w:r/>
            <w:r>
              <w:rPr>
                <w:rFonts w:ascii="Palatino Linotype" w:hAnsi="Palatino Linotype" w:eastAsia="Palatino Linotype"/>
                <w:b w:val="0"/>
                <w:i w:val="0"/>
                <w:sz w:val="18"/>
              </w:rPr>
              <w:t>−26.9 m</w:t>
            </w:r>
          </w:p>
        </w:tc>
      </w:tr>
      <w:tr>
        <w:trPr>
          <w:cantSplit/>
        </w:trPr>
        <w:tc>
          <w:tcPr>
            <w:tcW w:type="dxa" w:w="2493"/>
          </w:tcPr>
          <w:p>
            <w:pPr>
              <w:spacing w:before="20" w:after="20"/>
            </w:pPr>
            <w:r/>
            <w:r>
              <w:rPr>
                <w:rFonts w:ascii="Palatino Linotype" w:hAnsi="Palatino Linotype" w:eastAsia="Palatino Linotype"/>
                <w:b w:val="0"/>
                <w:i w:val="0"/>
                <w:sz w:val="18"/>
              </w:rPr>
              <w:t>3 s</w:t>
            </w:r>
          </w:p>
        </w:tc>
        <w:tc>
          <w:tcPr>
            <w:tcW w:type="dxa" w:w="2493"/>
          </w:tcPr>
          <w:p>
            <w:pPr>
              <w:spacing w:before="20" w:after="20"/>
            </w:pPr>
            <w:r/>
            <w:r>
              <w:rPr>
                <w:rFonts w:ascii="Palatino Linotype" w:hAnsi="Palatino Linotype" w:eastAsia="Palatino Linotype"/>
                <w:b w:val="0"/>
                <w:i w:val="0"/>
                <w:sz w:val="18"/>
              </w:rPr>
              <w:t>−11.2 m</w:t>
            </w:r>
          </w:p>
        </w:tc>
        <w:tc>
          <w:tcPr>
            <w:tcW w:type="dxa" w:w="2493"/>
          </w:tcPr>
          <w:p>
            <w:pPr>
              <w:spacing w:before="20" w:after="20"/>
            </w:pPr>
            <w:r/>
            <w:r>
              <w:rPr>
                <w:rFonts w:ascii="Palatino Linotype" w:hAnsi="Palatino Linotype" w:eastAsia="Palatino Linotype"/>
                <w:b w:val="0"/>
                <w:i w:val="0"/>
                <w:sz w:val="18"/>
              </w:rPr>
              <w:t>4 s</w:t>
            </w:r>
          </w:p>
        </w:tc>
        <w:tc>
          <w:tcPr>
            <w:tcW w:type="dxa" w:w="2493"/>
          </w:tcPr>
          <w:p>
            <w:pPr>
              <w:spacing w:before="20" w:after="20"/>
            </w:pPr>
            <w:r/>
            <w:r>
              <w:rPr>
                <w:rFonts w:ascii="Palatino Linotype" w:hAnsi="Palatino Linotype" w:eastAsia="Palatino Linotype"/>
                <w:b w:val="0"/>
                <w:i w:val="0"/>
                <w:sz w:val="18"/>
              </w:rPr>
              <w:t>−22.7 m</w:t>
            </w:r>
          </w:p>
        </w:tc>
      </w:tr>
      <w:tr>
        <w:trPr>
          <w:cantSplit/>
        </w:trPr>
        <w:tc>
          <w:tcPr>
            <w:tcW w:type="dxa" w:w="2493"/>
          </w:tcPr>
          <w:p>
            <w:pPr>
              <w:spacing w:before="20" w:after="20"/>
            </w:pPr>
            <w:r/>
            <w:r>
              <w:rPr>
                <w:rFonts w:ascii="Palatino Linotype" w:hAnsi="Palatino Linotype" w:eastAsia="Palatino Linotype"/>
                <w:b w:val="0"/>
                <w:i w:val="0"/>
                <w:sz w:val="18"/>
              </w:rPr>
              <w:t>4 s</w:t>
            </w:r>
          </w:p>
        </w:tc>
        <w:tc>
          <w:tcPr>
            <w:tcW w:type="dxa" w:w="2493"/>
          </w:tcPr>
          <w:p>
            <w:pPr>
              <w:spacing w:before="20" w:after="20"/>
            </w:pPr>
            <w:r/>
            <w:r>
              <w:rPr>
                <w:rFonts w:ascii="Palatino Linotype" w:hAnsi="Palatino Linotype" w:eastAsia="Palatino Linotype"/>
                <w:b w:val="0"/>
                <w:i w:val="0"/>
                <w:sz w:val="18"/>
              </w:rPr>
              <w:t>−4.9 m</w:t>
            </w:r>
          </w:p>
        </w:tc>
        <w:tc>
          <w:tcPr>
            <w:tcW w:type="dxa" w:w="2493"/>
          </w:tcPr>
          <w:p>
            <w:pPr>
              <w:spacing w:before="20" w:after="20"/>
            </w:pPr>
            <w:r/>
            <w:r>
              <w:rPr>
                <w:rFonts w:ascii="Palatino Linotype" w:hAnsi="Palatino Linotype" w:eastAsia="Palatino Linotype"/>
                <w:b w:val="0"/>
                <w:i w:val="0"/>
                <w:sz w:val="18"/>
              </w:rPr>
              <w:t>5.1 s</w:t>
            </w:r>
          </w:p>
        </w:tc>
        <w:tc>
          <w:tcPr>
            <w:tcW w:type="dxa" w:w="2493"/>
          </w:tcPr>
          <w:p>
            <w:pPr>
              <w:spacing w:before="20" w:after="20"/>
            </w:pPr>
            <w:r/>
            <w:r>
              <w:rPr>
                <w:rFonts w:ascii="Palatino Linotype" w:hAnsi="Palatino Linotype" w:eastAsia="Palatino Linotype"/>
                <w:b w:val="0"/>
                <w:i w:val="0"/>
                <w:sz w:val="18"/>
              </w:rPr>
              <w:t>−13.1 m</w:t>
            </w:r>
          </w:p>
        </w:tc>
      </w:tr>
    </w:tbl>
    <w:p/>
    <w:p>
      <w:pPr>
        <w:spacing w:before="0" w:after="80" w:line="240" w:lineRule="auto"/>
        <w:jc w:val="both"/>
      </w:pPr>
      <w:r>
        <w:rPr>
          <w:rFonts w:ascii="Palatino Linotype" w:hAnsi="Palatino Linotype" w:eastAsia="Palatino Linotype"/>
          <w:b/>
          <w:i w:val="0"/>
          <w:sz w:val="20"/>
        </w:rPr>
        <w:t>The relationship is monotonic in the direction opposite to the one usually assumed.</w:t>
      </w:r>
      <w:r>
        <w:rPr>
          <w:rFonts w:ascii="Palatino Linotype" w:hAnsi="Palatino Linotype" w:eastAsia="Palatino Linotype"/>
          <w:b w:val="0"/>
          <w:i w:val="0"/>
          <w:sz w:val="20"/>
        </w:rPr>
        <w:t xml:space="preserve"> It is frequently supposed that a tail-sitter should rotate as fast as possible, on the reasoning that it is unsupported during the rotation and therefore falls for a time t_r, giving a loss proportional to t_r². </w:t>
      </w:r>
      <w:r>
        <w:rPr>
          <w:rFonts w:ascii="Palatino Linotype" w:hAnsi="Palatino Linotype" w:eastAsia="Palatino Linotype"/>
          <w:b/>
          <w:i w:val="0"/>
          <w:sz w:val="20"/>
        </w:rPr>
        <w:t>That reasoning is wrong, and the error is in its premise:</w:t>
      </w:r>
      <w:r>
        <w:rPr>
          <w:rFonts w:ascii="Palatino Linotype" w:hAnsi="Palatino Linotype" w:eastAsia="Palatino Linotype"/>
          <w:b w:val="0"/>
          <w:i w:val="0"/>
          <w:sz w:val="20"/>
        </w:rPr>
        <w:t xml:space="preserve"> the aircraft is not unsupported. Vertical support is T cos θ + L, and a slow rotation keeps cos θ large during exactly the interval in which speed, and therefore lift, is being built. A fast rotation collapses cos θ before there is any lift to replace it, and the aircraft falls precisely because it hurried.</w:t>
      </w:r>
    </w:p>
    <w:p>
      <w:pPr>
        <w:spacing w:before="0" w:after="80" w:line="240" w:lineRule="auto"/>
        <w:jc w:val="both"/>
      </w:pPr>
      <w:r>
        <w:rPr>
          <w:rFonts w:ascii="Palatino Linotype" w:hAnsi="Palatino Linotype" w:eastAsia="Palatino Linotype"/>
          <w:b w:val="0"/>
          <w:i w:val="0"/>
          <w:sz w:val="20"/>
        </w:rPr>
        <w:t xml:space="preserve">The practical consequence is a simplification rather than a trade. The control </w:t>
      </w:r>
      <w:r>
        <w:rPr>
          <w:rFonts w:ascii="Palatino Linotype" w:hAnsi="Palatino Linotype" w:eastAsia="Palatino Linotype"/>
          <w:b w:val="0"/>
          <w:i/>
          <w:sz w:val="20"/>
        </w:rPr>
        <w:t>moment</w:t>
      </w:r>
      <w:r>
        <w:rPr>
          <w:rFonts w:ascii="Palatino Linotype" w:hAnsi="Palatino Linotype" w:eastAsia="Palatino Linotype"/>
          <w:b w:val="0"/>
          <w:i w:val="0"/>
          <w:sz w:val="20"/>
        </w:rPr>
        <w:t xml:space="preserve"> required to rotate in time t_r scales as 1/t_r² and the control </w:t>
      </w:r>
      <w:r>
        <w:rPr>
          <w:rFonts w:ascii="Palatino Linotype" w:hAnsi="Palatino Linotype" w:eastAsia="Palatino Linotype"/>
          <w:b w:val="0"/>
          <w:i/>
          <w:sz w:val="20"/>
        </w:rPr>
        <w:t>power</w:t>
      </w:r>
      <w:r>
        <w:rPr>
          <w:rFonts w:ascii="Palatino Linotype" w:hAnsi="Palatino Linotype" w:eastAsia="Palatino Linotype"/>
          <w:b w:val="0"/>
          <w:i w:val="0"/>
          <w:sz w:val="20"/>
        </w:rPr>
        <w:t xml:space="preserve"> as 1/t_r³ — Table 15 of Section 3.9 is the second of these, and its entries are constant to within a third of a percent when multiplied by t_r³ — so a slow rotation is cheap in authority and cheaper still in power; and altitude loss also falls with t_r. </w:t>
      </w:r>
      <w:r>
        <w:rPr>
          <w:rFonts w:ascii="Palatino Linotype" w:hAnsi="Palatino Linotype" w:eastAsia="Palatino Linotype"/>
          <w:b/>
          <w:i w:val="0"/>
          <w:sz w:val="20"/>
        </w:rPr>
        <w:t>All of these point the same way</w:t>
      </w:r>
      <w:r>
        <w:rPr>
          <w:rFonts w:ascii="Palatino Linotype" w:hAnsi="Palatino Linotype" w:eastAsia="Palatino Linotype"/>
          <w:b w:val="0"/>
          <w:i w:val="0"/>
          <w:sz w:val="20"/>
        </w:rPr>
        <w:t>, so there is no optimum transition time to be found between competing penalties — the rotation time is set by what the actuator can do, not by a balance, and Section 3.17 shows that is where both reference times come from.</w:t>
      </w:r>
    </w:p>
    <w:p>
      <w:pPr>
        <w:spacing w:before="0" w:after="80" w:line="240" w:lineRule="auto"/>
        <w:jc w:val="both"/>
      </w:pPr>
      <w:r>
        <w:rPr>
          <w:rFonts w:ascii="Palatino Linotype" w:hAnsi="Palatino Linotype" w:eastAsia="Palatino Linotype"/>
          <w:b/>
          <w:i w:val="0"/>
          <w:sz w:val="20"/>
        </w:rPr>
        <w:t>Entering the rotation while still climbing removes the penalty entirely in this model</w:t>
      </w:r>
      <w:r>
        <w:rPr>
          <w:rFonts w:ascii="Palatino Linotype" w:hAnsi="Palatino Linotype" w:eastAsia="Palatino Linotype"/>
          <w:b w:val="0"/>
          <w:i w:val="0"/>
          <w:sz w:val="20"/>
        </w:rPr>
        <w:t>, and that survives the correction to thrust-to-weight above. At an entry climb of 5 m s⁻¹ the altitude loss is zero at both reference rotation times — 2 s light and 5.1 s heavy — and remains zero at every ratio from 1.066 down to 1.00, which is to say the result does not depend on the tip pairs contributing any lift at all once the climb has been acquired.</w:t>
      </w:r>
    </w:p>
    <w:p>
      <w:pPr>
        <w:spacing w:before="0" w:after="80" w:line="240" w:lineRule="auto"/>
        <w:jc w:val="both"/>
      </w:pPr>
      <w:r>
        <w:rPr>
          <w:rFonts w:ascii="Palatino Linotype" w:hAnsi="Palatino Linotype" w:eastAsia="Palatino Linotype"/>
          <w:b/>
          <w:i w:val="0"/>
          <w:sz w:val="20"/>
        </w:rPr>
        <w:t>It does not survive the addition of rotational dynamics, and that is the sharpest limitation of this result.</w:t>
      </w:r>
      <w:r>
        <w:rPr>
          <w:rFonts w:ascii="Palatino Linotype" w:hAnsi="Palatino Linotype" w:eastAsia="Palatino Linotype"/>
          <w:b w:val="0"/>
          <w:i w:val="0"/>
          <w:sz w:val="20"/>
        </w:rPr>
        <w:t xml:space="preserve"> The simulation above drives the body angle kinematically: the aircraft is assumed to rotate, and the moment producing the rotation does not appear. Section 3.17 asks separately whether the moment is available. The two have now been solved together — three degrees of freedom, a finite control moment, and the same trajectory model otherwise — and with </w:t>
      </w:r>
      <w:r>
        <w:rPr>
          <w:rFonts w:ascii="Palatino Linotype" w:hAnsi="Palatino Linotype" w:eastAsia="Palatino Linotype"/>
          <w:b/>
          <w:i w:val="0"/>
          <w:sz w:val="20"/>
        </w:rPr>
        <w:t>zero aerodynamic pitching moment</w:t>
      </w:r>
      <w:r>
        <w:rPr>
          <w:rFonts w:ascii="Palatino Linotype" w:hAnsi="Palatino Linotype" w:eastAsia="Palatino Linotype"/>
          <w:b w:val="0"/>
          <w:i w:val="0"/>
          <w:sz w:val="20"/>
        </w:rPr>
        <w:t xml:space="preserve">, which isolates the rotational dynamics alone, the light design loses </w:t>
      </w:r>
      <w:r>
        <w:rPr>
          <w:rFonts w:ascii="Palatino Linotype" w:hAnsi="Palatino Linotype" w:eastAsia="Palatino Linotype"/>
          <w:b/>
          <w:i w:val="0"/>
          <w:sz w:val="20"/>
        </w:rPr>
        <w:t>5.4 m</w:t>
      </w:r>
      <w:r>
        <w:rPr>
          <w:rFonts w:ascii="Palatino Linotype" w:hAnsi="Palatino Linotype" w:eastAsia="Palatino Linotype"/>
          <w:b w:val="0"/>
          <w:i w:val="0"/>
          <w:sz w:val="20"/>
        </w:rPr>
        <w:t xml:space="preserve"> at its reference condition where the kinematic model reports zero. The loss is not a tracking artefact: it is unchanged across the linear, bang-bang and smooth reference profiles, it appears without the control moment ever saturating, and it grows rather than vanishes as the controller gains are raised, reaching 17 m at gains high enough to track the reference almost exactly. What the kinematic model omits is not the difficulty of turning the aircraft but the trajectory the aircraft flies while it is being turned.</w:t>
      </w:r>
    </w:p>
    <w:p>
      <w:pPr>
        <w:spacing w:before="0" w:after="80" w:line="240" w:lineRule="auto"/>
        <w:jc w:val="both"/>
      </w:pPr>
      <w:r>
        <w:rPr>
          <w:rFonts w:ascii="Palatino Linotype" w:hAnsi="Palatino Linotype" w:eastAsia="Palatino Linotype"/>
          <w:b w:val="0"/>
          <w:i w:val="0"/>
          <w:sz w:val="20"/>
        </w:rPr>
        <w:t xml:space="preserve">With a borrowed pitching moment the outcome depends on which moment is borrowed, and the spread is wide enough that no number from it is reportable: some models complete the rotation, others saturate the tip pairs, and others tumble. That spread is itself the finding, and it is the same finding Section 4 states from the other direction — the transition rests on a coefficient no current method predicts reliably. Supplementary S4 gives the sweep. </w:t>
      </w:r>
      <w:r>
        <w:rPr>
          <w:rFonts w:ascii="Palatino Linotype" w:hAnsi="Palatino Linotype" w:eastAsia="Palatino Linotype"/>
          <w:b/>
          <w:i w:val="0"/>
          <w:sz w:val="20"/>
        </w:rPr>
        <w:t>Two cautions belong with it: the model carries no aerodynamic pitch damping, and its controller is a fixed-gain regulator rather than a designed one, so the borrowed-moment rows bound nothing.</w:t>
      </w:r>
      <w:r>
        <w:rPr>
          <w:rFonts w:ascii="Palatino Linotype" w:hAnsi="Palatino Linotype" w:eastAsia="Palatino Linotype"/>
          <w:b w:val="0"/>
          <w:i w:val="0"/>
          <w:sz w:val="20"/>
        </w:rPr>
        <w:t xml:space="preserve"> The zero-moment row does not depend on either and is the result carried forward.</w:t>
      </w:r>
    </w:p>
    <w:p>
      <w:pPr>
        <w:spacing w:before="0" w:after="80" w:line="240" w:lineRule="auto"/>
        <w:jc w:val="both"/>
      </w:pPr>
      <w:r>
        <w:rPr>
          <w:rFonts w:ascii="Palatino Linotype" w:hAnsi="Palatino Linotype" w:eastAsia="Palatino Linotype"/>
          <w:b/>
          <w:i w:val="0"/>
          <w:sz w:val="20"/>
        </w:rPr>
        <w:t>Acquiring the climb is where the correction is paid.</w:t>
      </w:r>
      <w:r>
        <w:rPr>
          <w:rFonts w:ascii="Palatino Linotype" w:hAnsi="Palatino Linotype" w:eastAsia="Palatino Linotype"/>
          <w:b w:val="0"/>
          <w:i w:val="0"/>
          <w:sz w:val="20"/>
        </w:rPr>
        <w:t xml:space="preserve"> The aircraft reaches transition altitude by climbing, so it need not stop and hover first, but the excess thrust available to build that climb is now 0.132 g rather than the 0.2 g an earlier version claimed, and only if no rotation authority is held in reserve; with full authority retained it is 0.066 g. Five metres per second is therefore reached in 3.9 s over 9.6 m at best, and 7.7 s over 19.3 m at worst, against the 2.6 s and 6.4 m previously stated. The energy involved is unchanged and remains negligible — 625 J against a fuel energy of 103 kWh — so what the correction costs is time and height, not range. </w:t>
      </w:r>
      <w:r>
        <w:rPr>
          <w:rFonts w:ascii="Palatino Linotype" w:hAnsi="Palatino Linotype" w:eastAsia="Palatino Linotype"/>
          <w:b/>
          <w:i w:val="0"/>
          <w:sz w:val="20"/>
        </w:rPr>
        <w:t>The reference profile is therefore still to enter the rotation at 5 m s⁻¹ of climb</w:t>
      </w:r>
      <w:r>
        <w:rPr>
          <w:rFonts w:ascii="Palatino Linotype" w:hAnsi="Palatino Linotype" w:eastAsia="Palatino Linotype"/>
          <w:b w:val="0"/>
          <w:i w:val="0"/>
          <w:sz w:val="20"/>
        </w:rPr>
        <w:t>, with the acquisition charged at the achievable rate.</w:t>
      </w:r>
    </w:p>
    <w:p>
      <w:pPr>
        <w:spacing w:before="0" w:after="80" w:line="240" w:lineRule="auto"/>
        <w:jc w:val="both"/>
      </w:pPr>
      <w:r>
        <w:rPr>
          <w:rFonts w:ascii="Palatino Linotype" w:hAnsi="Palatino Linotype" w:eastAsia="Palatino Linotype"/>
          <w:b w:val="0"/>
          <w:i w:val="0"/>
          <w:sz w:val="20"/>
        </w:rPr>
        <w:t>Two consequences follow that the earlier tables hid. Starting the rotation from rest is worse than reported — the light design loses 14.7 m at its own two seconds rather than 9.1 m, and the heavy design 13.1 m at 5.1 s rather than none — so the climb entry is not a convenience but a requirement. And the tip pairs, introduced in Section 2.9 as moment producers and charged in Section 3.5 for their mass and drag, turn out to carry the take-off thrust margin as well: an aircraft whose primary propulsor is sized at thrust equal to weight leaves the ground on them. That is a second duty for hardware bought for the first, which is the kind of economy this configuration is built on — but it is also a dependency, and it is a harder one than it looks, because the margin and the attitude authority are drawn from the same four propellers and cannot both be had in full. Section 4 records it as an open item.</w:t>
      </w:r>
    </w:p>
    <w:p>
      <w:pPr>
        <w:spacing w:before="0" w:after="80" w:line="240" w:lineRule="auto"/>
        <w:jc w:val="both"/>
      </w:pPr>
      <w:r>
        <w:rPr>
          <w:rFonts w:ascii="Palatino Linotype" w:hAnsi="Palatino Linotype" w:eastAsia="Palatino Linotype"/>
          <w:b/>
          <w:i w:val="0"/>
          <w:sz w:val="20"/>
        </w:rPr>
        <w:t>The test is a lower bound.</w:t>
      </w:r>
      <w:r>
        <w:rPr>
          <w:rFonts w:ascii="Palatino Linotype" w:hAnsi="Palatino Linotype" w:eastAsia="Palatino Linotype"/>
          <w:b w:val="0"/>
          <w:i w:val="0"/>
          <w:sz w:val="20"/>
        </w:rPr>
        <w:t xml:space="preserve"> A point mass carries no rotational dynamics, no aerodynamic pitching moment and no control-power limit; Section 3.17 supplies the rotational budget that this model omits, and Section 4 states what neither supplies.</w:t>
      </w:r>
    </w:p>
    <w:p>
      <w:pPr>
        <w:spacing w:before="200" w:after="80"/>
      </w:pPr>
      <w:r>
        <w:rPr>
          <w:rFonts w:ascii="Palatino Linotype" w:hAnsi="Palatino Linotype" w:eastAsia="Palatino Linotype"/>
          <w:b/>
          <w:i w:val="0"/>
          <w:sz w:val="22"/>
        </w:rPr>
        <w:t>3.16 Landing</w:t>
      </w:r>
    </w:p>
    <w:p>
      <w:pPr>
        <w:spacing w:before="0" w:after="80" w:line="240" w:lineRule="auto"/>
        <w:jc w:val="both"/>
      </w:pPr>
      <w:r>
        <w:rPr>
          <w:rFonts w:ascii="Palatino Linotype" w:hAnsi="Palatino Linotype" w:eastAsia="Palatino Linotype"/>
          <w:b w:val="0"/>
          <w:i w:val="0"/>
          <w:sz w:val="20"/>
        </w:rPr>
        <w:t>Landing reverses the sequence: the aircraft decelerates, rotates nose-up, and descends vertically onto its five contact points. Two things should be said about it plainly.</w:t>
      </w:r>
    </w:p>
    <w:p>
      <w:pPr>
        <w:spacing w:before="0" w:after="80" w:line="240" w:lineRule="auto"/>
        <w:jc w:val="both"/>
      </w:pPr>
      <w:r>
        <w:rPr>
          <w:rFonts w:ascii="Palatino Linotype" w:hAnsi="Palatino Linotype" w:eastAsia="Palatino Linotype"/>
          <w:b w:val="0"/>
          <w:i w:val="0"/>
          <w:sz w:val="20"/>
        </w:rPr>
        <w:t>The first is that the historical objection to this manoeuvre does not apply. The XFY-1 was cancelled because its pilot had to judge a backwards vertical descent by looking over his shoulder. There is no pilot here, and height above ground is a sensor measurement rather than a human estimate.</w:t>
      </w:r>
    </w:p>
    <w:p>
      <w:pPr>
        <w:spacing w:before="0" w:after="80" w:line="240" w:lineRule="auto"/>
        <w:jc w:val="both"/>
      </w:pPr>
      <w:r>
        <w:rPr>
          <w:rFonts w:ascii="Palatino Linotype" w:hAnsi="Palatino Linotype" w:eastAsia="Palatino Linotype"/>
          <w:b w:val="0"/>
          <w:i w:val="0"/>
          <w:sz w:val="20"/>
        </w:rPr>
        <w:t>The second is that the vertical descent itself has not been analysed in this study. A rotor descending into its own wake can enter the vortex ring state, in which thrust becomes erratic and increasing power makes matters worse. Whether the descent profile of this configuration enters that region, and at what rate of descent, is an open question. It is listed in Section 4 rather than answered here.</w:t>
      </w:r>
    </w:p>
    <w:p>
      <w:pPr>
        <w:spacing w:before="0" w:after="80" w:line="240" w:lineRule="auto"/>
        <w:jc w:val="both"/>
      </w:pPr>
      <w:r>
        <w:rPr>
          <w:rFonts w:ascii="Palatino Linotype" w:hAnsi="Palatino Linotype" w:eastAsia="Palatino Linotype"/>
          <w:b/>
          <w:i w:val="0"/>
          <w:sz w:val="20"/>
        </w:rPr>
        <w:t>The third belongs with them and has not been said at all until now: the deceleration and nose-up rotation are not analysed either.</w:t>
      </w:r>
      <w:r>
        <w:rPr>
          <w:rFonts w:ascii="Palatino Linotype" w:hAnsi="Palatino Linotype" w:eastAsia="Palatino Linotype"/>
          <w:b w:val="0"/>
          <w:i w:val="0"/>
          <w:sz w:val="20"/>
        </w:rPr>
        <w:t xml:space="preserve"> Sections 3.12 to 3.15 treat the forward transition in six subsections and the reverse in this clause. The two are not symmetric and should not be assumed to be: the forward rotation builds dynamic pressure while it turns, so lift arrives to replace the vertical component of thrust as that component falls, and Section 3.15 shows the result turns on exactly that race. The reverse runs the race backwards — dynamic pressure falls while the aircraft is being turned, so lift is leaving at the moment the thrust vector has not yet returned to vertical — and a model built for the first case cannot be read for the second by changing a sign. </w:t>
      </w:r>
      <w:r>
        <w:rPr>
          <w:rFonts w:ascii="Palatino Linotype" w:hAnsi="Palatino Linotype" w:eastAsia="Palatino Linotype"/>
          <w:b/>
          <w:i w:val="0"/>
          <w:sz w:val="20"/>
        </w:rPr>
        <w:t>No figure in this paper describes the landing transition, and none should be inferred from the take-off one.</w:t>
      </w:r>
      <w:r>
        <w:rPr>
          <w:rFonts w:ascii="Palatino Linotype" w:hAnsi="Palatino Linotype" w:eastAsia="Palatino Linotype"/>
          <w:b w:val="0"/>
          <w:i w:val="0"/>
          <w:sz w:val="20"/>
        </w:rPr>
        <w:t xml:space="preserve"> Section 4 records it.</w:t>
      </w:r>
    </w:p>
    <w:p>
      <w:pPr>
        <w:spacing w:before="200" w:after="80"/>
      </w:pPr>
      <w:r>
        <w:rPr>
          <w:rFonts w:ascii="Palatino Linotype" w:hAnsi="Palatino Linotype" w:eastAsia="Palatino Linotype"/>
          <w:b/>
          <w:i w:val="0"/>
          <w:sz w:val="22"/>
        </w:rPr>
        <w:t>3.17 Whether there is enough authority to rotate, and whether it trims</w:t>
      </w:r>
    </w:p>
    <w:p>
      <w:pPr>
        <w:spacing w:before="0" w:after="80" w:line="240" w:lineRule="auto"/>
        <w:jc w:val="both"/>
      </w:pPr>
      <w:r>
        <w:rPr>
          <w:rFonts w:ascii="Palatino Linotype" w:hAnsi="Palatino Linotype" w:eastAsia="Palatino Linotype"/>
          <w:b w:val="0"/>
          <w:i w:val="0"/>
          <w:sz w:val="20"/>
        </w:rPr>
        <w:t>Rotating the airframe through ninety degrees is the manoeuvre this configuration must perform with four small propellers and no control surfaces. Supplementary S4 carries the full budget — inertia derivation, rotation profiles, centre-of-gravity window, twist sweep and the measured section evidence. This section states what it returns.</w:t>
      </w:r>
    </w:p>
    <w:p>
      <w:pPr>
        <w:spacing w:before="0" w:after="80" w:line="240" w:lineRule="auto"/>
        <w:jc w:val="both"/>
      </w:pPr>
      <w:r>
        <w:rPr>
          <w:rFonts w:ascii="Palatino Linotype" w:hAnsi="Palatino Linotype" w:eastAsia="Palatino Linotype"/>
          <w:b/>
          <w:i w:val="0"/>
          <w:sz w:val="20"/>
        </w:rPr>
        <w:t>The rotation closes at the actuator limit rather than clear of it.</w:t>
      </w:r>
      <w:r>
        <w:rPr>
          <w:rFonts w:ascii="Palatino Linotype" w:hAnsi="Palatino Linotype" w:eastAsia="Palatino Linotype"/>
          <w:b w:val="0"/>
          <w:i w:val="0"/>
          <w:sz w:val="20"/>
        </w:rPr>
        <w:t xml:space="preserve"> The pitch inertia derived from the component build-up is 9.81 kg·m² for the light design and 2 503 kg·m² for the heavy one. On the cheapest rotation profile the tip propellers carry the manoeuvre with a margin of </w:t>
      </w:r>
      <w:r>
        <w:rPr>
          <w:rFonts w:ascii="Palatino Linotype" w:hAnsi="Palatino Linotype" w:eastAsia="Palatino Linotype"/>
          <w:b/>
          <w:i w:val="0"/>
          <w:sz w:val="20"/>
        </w:rPr>
        <w:t>1.49</w:t>
      </w:r>
      <w:r>
        <w:rPr>
          <w:rFonts w:ascii="Palatino Linotype" w:hAnsi="Palatino Linotype" w:eastAsia="Palatino Linotype"/>
          <w:b w:val="0"/>
          <w:i w:val="0"/>
          <w:sz w:val="20"/>
        </w:rPr>
        <w:t xml:space="preserve"> at the light design point and </w:t>
      </w:r>
      <w:r>
        <w:rPr>
          <w:rFonts w:ascii="Palatino Linotype" w:hAnsi="Palatino Linotype" w:eastAsia="Palatino Linotype"/>
          <w:b/>
          <w:i w:val="0"/>
          <w:sz w:val="20"/>
        </w:rPr>
        <w:t>1.57</w:t>
      </w:r>
      <w:r>
        <w:rPr>
          <w:rFonts w:ascii="Palatino Linotype" w:hAnsi="Palatino Linotype" w:eastAsia="Palatino Linotype"/>
          <w:b w:val="0"/>
          <w:i w:val="0"/>
          <w:sz w:val="20"/>
        </w:rPr>
        <w:t xml:space="preserve"> at the heavy one; on a smoothly commanded profile the margins fall to 0.99 and 1.05. The reference rotation times — two seconds light, 5.1 seconds heavy — are therefore lower bounds set by the actuator, not comfortable choices, and the margin narrows with size.</w:t>
      </w:r>
    </w:p>
    <w:p>
      <w:pPr>
        <w:spacing w:before="0" w:after="80" w:line="240" w:lineRule="auto"/>
        <w:jc w:val="both"/>
      </w:pPr>
      <w:r>
        <w:rPr>
          <w:rFonts w:ascii="Palatino Linotype" w:hAnsi="Palatino Linotype" w:eastAsia="Palatino Linotype"/>
          <w:b/>
          <w:i w:val="0"/>
          <w:sz w:val="20"/>
        </w:rPr>
        <w:t>The light figure rests on a tip thrust the design tables assert rather than derive, and on the conservative basis it is thinner still.</w:t>
      </w:r>
      <w:r>
        <w:rPr>
          <w:rFonts w:ascii="Palatino Linotype" w:hAnsi="Palatino Linotype" w:eastAsia="Palatino Linotype"/>
          <w:b w:val="0"/>
          <w:i w:val="0"/>
          <w:sz w:val="20"/>
        </w:rPr>
        <w:t xml:space="preserve"> The 16.2 N quoted per pair implies a figure of merit of 0.702, against the 0.599 used for hover everywhere else. Recomputing at 0.599 with a fifteen percent coaxial interference loss gives 12.4 N, an available moment of 17.6 N·m, and margins of </w:t>
      </w:r>
      <w:r>
        <w:rPr>
          <w:rFonts w:ascii="Palatino Linotype" w:hAnsi="Palatino Linotype" w:eastAsia="Palatino Linotype"/>
          <w:b/>
          <w:i w:val="0"/>
          <w:sz w:val="20"/>
        </w:rPr>
        <w:t>1.14 bang-bang and 0.76 smooth</w:t>
      </w:r>
      <w:r>
        <w:rPr>
          <w:rFonts w:ascii="Palatino Linotype" w:hAnsi="Palatino Linotype" w:eastAsia="Palatino Linotype"/>
          <w:b w:val="0"/>
          <w:i w:val="0"/>
          <w:sz w:val="20"/>
        </w:rPr>
        <w:t xml:space="preserve"> — which is to say the light design closes on the cheapest profile and does not close on a smooth one at two seconds. The heavy design was computed on the conservative basis from the outset. Supplementary S4 gives both, and the honest reading is that the rotation is sized by the actuator under either basis and has no margin to give under the stricter one.</w:t>
      </w:r>
    </w:p>
    <w:p>
      <w:pPr>
        <w:spacing w:before="0" w:after="80" w:line="240" w:lineRule="auto"/>
        <w:jc w:val="both"/>
      </w:pPr>
      <w:r>
        <w:rPr>
          <w:rFonts w:ascii="Palatino Linotype" w:hAnsi="Palatino Linotype" w:eastAsia="Palatino Linotype"/>
          <w:b/>
          <w:i w:val="0"/>
          <w:sz w:val="20"/>
        </w:rPr>
        <w:t>Resolving the requirement along the trajectory changed the question rather than merely quantifying it.</w:t>
      </w:r>
      <w:r>
        <w:rPr>
          <w:rFonts w:ascii="Palatino Linotype" w:hAnsi="Palatino Linotype" w:eastAsia="Palatino Linotype"/>
          <w:b w:val="0"/>
          <w:i w:val="0"/>
          <w:sz w:val="20"/>
        </w:rPr>
        <w:t xml:space="preserve"> The aircraft does not reach ninety degrees of incidence: the body rotates through ninety, but the relative wind rotates with it, and </w:t>
      </w:r>
      <w:r>
        <w:rPr>
          <w:rFonts w:ascii="Palatino Linotype" w:hAnsi="Palatino Linotype" w:eastAsia="Palatino Linotype"/>
          <w:b/>
          <w:i w:val="0"/>
          <w:sz w:val="20"/>
        </w:rPr>
        <w:t>peak incidence is 17.5° for the light design entering in a 5 m s⁻¹ climb and 21.6° entering from level hover</w:t>
      </w:r>
      <w:r>
        <w:rPr>
          <w:rFonts w:ascii="Palatino Linotype" w:hAnsi="Palatino Linotype" w:eastAsia="Palatino Linotype"/>
          <w:b w:val="0"/>
          <w:i w:val="0"/>
          <w:sz w:val="20"/>
        </w:rPr>
        <w:t xml:space="preserve">. The high-incidence part happens at low dynamic pressure, where the margin tolerates a pitching-moment coefficient of 0.205; the tight part is the </w:t>
      </w:r>
      <w:r>
        <w:rPr>
          <w:rFonts w:ascii="Palatino Linotype" w:hAnsi="Palatino Linotype" w:eastAsia="Palatino Linotype"/>
          <w:b w:val="0"/>
          <w:i/>
          <w:sz w:val="20"/>
        </w:rPr>
        <w:t>end</w:t>
      </w:r>
      <w:r>
        <w:rPr>
          <w:rFonts w:ascii="Palatino Linotype" w:hAnsi="Palatino Linotype" w:eastAsia="Palatino Linotype"/>
          <w:b w:val="0"/>
          <w:i w:val="0"/>
          <w:sz w:val="20"/>
        </w:rPr>
        <w:t xml:space="preserve"> of the rotation, where incidence is small and speed is high, and the budget there is 0.050. </w:t>
      </w:r>
      <w:r>
        <w:rPr>
          <w:rFonts w:ascii="Palatino Linotype" w:hAnsi="Palatino Linotype" w:eastAsia="Palatino Linotype"/>
          <w:b/>
          <w:i w:val="0"/>
          <w:sz w:val="20"/>
        </w:rPr>
        <w:t>The demanding case is not the post-stall middle but the attached-flow end</w:t>
      </w:r>
      <w:r>
        <w:rPr>
          <w:rFonts w:ascii="Palatino Linotype" w:hAnsi="Palatino Linotype" w:eastAsia="Palatino Linotype"/>
          <w:b w:val="0"/>
          <w:i w:val="0"/>
          <w:sz w:val="20"/>
        </w:rPr>
        <w:t>, which makes it a trim question rather than a stall question.</w:t>
      </w:r>
    </w:p>
    <w:p>
      <w:pPr>
        <w:spacing w:before="0" w:after="80" w:line="240" w:lineRule="auto"/>
        <w:jc w:val="both"/>
      </w:pPr>
      <w:r>
        <w:rPr>
          <w:rFonts w:ascii="Palatino Linotype" w:hAnsi="Palatino Linotype" w:eastAsia="Palatino Linotype"/>
          <w:b w:val="0"/>
          <w:i w:val="0"/>
          <w:sz w:val="20"/>
        </w:rPr>
        <w:t xml:space="preserve">One mechanism was omitted and including it improves the case. The inboard half of the wing lies in the nose propeller's slipstream, where the local flow is faster and more axial, so the effective incidence there is lower than the geometric one. Applying the slipstream relation used in the tail-sitter literature [23] gives </w:t>
      </w:r>
      <w:r>
        <w:rPr>
          <w:rFonts w:ascii="Palatino Linotype" w:hAnsi="Palatino Linotype" w:eastAsia="Palatino Linotype"/>
          <w:b/>
          <w:i w:val="0"/>
          <w:sz w:val="20"/>
        </w:rPr>
        <w:t>four to eight degrees effective against seventeen to twenty-two geometric</w:t>
      </w:r>
      <w:r>
        <w:rPr>
          <w:rFonts w:ascii="Palatino Linotype" w:hAnsi="Palatino Linotype" w:eastAsia="Palatino Linotype"/>
          <w:b w:val="0"/>
          <w:i w:val="0"/>
          <w:sz w:val="20"/>
        </w:rPr>
        <w:t>: half the wing is not post-stall at the moment of peak incidence. The measurement still owed concerns the outboard half.</w:t>
      </w:r>
    </w:p>
    <w:p>
      <w:pPr>
        <w:spacing w:before="0" w:after="80" w:line="240" w:lineRule="auto"/>
        <w:jc w:val="both"/>
      </w:pPr>
      <w:r>
        <w:rPr>
          <w:rFonts w:ascii="Palatino Linotype" w:hAnsi="Palatino Linotype" w:eastAsia="Palatino Linotype"/>
          <w:b/>
          <w:i w:val="0"/>
          <w:sz w:val="20"/>
        </w:rPr>
        <w:t>Static stability is shown, and the trim chain closes by twist.</w:t>
      </w:r>
      <w:r>
        <w:rPr>
          <w:rFonts w:ascii="Palatino Linotype" w:hAnsi="Palatino Linotype" w:eastAsia="Palatino Linotype"/>
          <w:b w:val="0"/>
          <w:i w:val="0"/>
          <w:sz w:val="20"/>
        </w:rPr>
        <w:t xml:space="preserve"> A vortex-lattice solution places the neutral point at 0.859 m from the root leading edge — 34.4 percent of mean aerodynamic chord — and the packaging centre of gravity at 80.2 percent of root chord gives a </w:t>
      </w:r>
      <w:r>
        <w:rPr>
          <w:rFonts w:ascii="Palatino Linotype" w:hAnsi="Palatino Linotype" w:eastAsia="Palatino Linotype"/>
          <w:b/>
          <w:i w:val="0"/>
          <w:sz w:val="20"/>
        </w:rPr>
        <w:t>static margin of +12.5 percent of mean aerodynamic chord</w:t>
      </w:r>
      <w:r>
        <w:rPr>
          <w:rFonts w:ascii="Palatino Linotype" w:hAnsi="Palatino Linotype" w:eastAsia="Palatino Linotype"/>
          <w:b w:val="0"/>
          <w:i w:val="0"/>
          <w:sz w:val="20"/>
        </w:rPr>
        <w:t xml:space="preserve">, on the untwisted planform. On the wing twisted to trim, which is the geometry the aircraft flies, the same solver places it at 0.867 m and the margin at +13.6 percent. </w:t>
      </w:r>
      <w:r>
        <w:rPr>
          <w:rFonts w:ascii="Palatino Linotype" w:hAnsi="Palatino Linotype" w:eastAsia="Palatino Linotype"/>
          <w:b/>
          <w:i w:val="0"/>
          <w:sz w:val="20"/>
        </w:rPr>
        <w:t>Neither figure is determined to better than about a percent of mean chord</w:t>
      </w:r>
      <w:r>
        <w:rPr>
          <w:rFonts w:ascii="Palatino Linotype" w:hAnsi="Palatino Linotype" w:eastAsia="Palatino Linotype"/>
          <w:b w:val="0"/>
          <w:i w:val="0"/>
          <w:sz w:val="20"/>
        </w:rPr>
        <w:t>: across eight combinations of geometry, moment reference and incidence range that are all equally defensible, the neutral point spans 0.858 to 0.867 m and the margin 12.3 to 13.6 percent. In exact linear theory none of those choices should move it; they move it because the solution is not exactly linear in incidence. The scatter is stated rather than averaged away, it is small against the packaging window, and it is the reason the static margin is quoted to one decimal and not two, with a pitching moment of 0.056 to be balanced at the cruise lift coefficient. Two published benchmarks place that window favourably: a blended-wing UAV of this class reports its own margin of 0.081 as "marginally outside the typical range for static longitudinal stability", given as 0.1 to 0.3, and its C_m_α of −0.086 per radian against a typical −0.3 to −1.5 [41]. This configuration sits inside both at 0.125 and −0.48 per radian.</w:t>
      </w:r>
    </w:p>
    <w:p>
      <w:pPr>
        <w:spacing w:before="0" w:after="80" w:line="240" w:lineRule="auto"/>
        <w:jc w:val="both"/>
      </w:pPr>
      <w:r>
        <w:rPr>
          <w:rFonts w:ascii="Palatino Linotype" w:hAnsi="Palatino Linotype" w:eastAsia="Palatino Linotype"/>
          <w:b/>
          <w:i w:val="0"/>
          <w:sz w:val="20"/>
        </w:rPr>
        <w:t>Reflex does not supply the 0.056, and this is now a measured statement rather than an inference.</w:t>
      </w:r>
      <w:r>
        <w:rPr>
          <w:rFonts w:ascii="Palatino Linotype" w:hAnsi="Palatino Linotype" w:eastAsia="Palatino Linotype"/>
          <w:b w:val="0"/>
          <w:i w:val="0"/>
          <w:sz w:val="20"/>
        </w:rPr>
        <w:t xml:space="preserve"> Nine reflexed and low-moment sections have been tested in tunnels that measure pitching moment. Exactly one returns a positive value — NACA 2R212 at </w:t>
      </w:r>
      <w:r>
        <w:rPr>
          <w:rFonts w:ascii="Palatino Linotype" w:hAnsi="Palatino Linotype" w:eastAsia="Palatino Linotype"/>
          <w:b/>
          <w:i w:val="0"/>
          <w:sz w:val="20"/>
        </w:rPr>
        <w:t>+0.004</w:t>
      </w:r>
      <w:r>
        <w:rPr>
          <w:rFonts w:ascii="Palatino Linotype" w:hAnsi="Palatino Linotype" w:eastAsia="Palatino Linotype"/>
          <w:b w:val="0"/>
          <w:i w:val="0"/>
          <w:sz w:val="20"/>
        </w:rPr>
        <w:t xml:space="preserve"> [17], one fourteenth of what is needed. The three 1930s reflexed sections whose mean lines were shaped from thin-aerofoil theory to give </w:t>
      </w:r>
      <w:r>
        <w:rPr>
          <w:rFonts w:ascii="Palatino Linotype" w:hAnsi="Palatino Linotype" w:eastAsia="Palatino Linotype"/>
          <w:b w:val="0"/>
          <w:i/>
          <w:sz w:val="20"/>
        </w:rPr>
        <w:t>zero</w:t>
      </w:r>
      <w:r>
        <w:rPr>
          <w:rFonts w:ascii="Palatino Linotype" w:hAnsi="Palatino Linotype" w:eastAsia="Palatino Linotype"/>
          <w:b w:val="0"/>
          <w:i w:val="0"/>
          <w:sz w:val="20"/>
        </w:rPr>
        <w:t xml:space="preserve"> quarter-chord moment measure "practically zero", from −0.001 to −0.007 [45]; the four sections of the NACA 4400R family were designed to a target of </w:t>
      </w:r>
      <w:r>
        <w:rPr>
          <w:rFonts w:ascii="Palatino Linotype" w:hAnsi="Palatino Linotype" w:eastAsia="Palatino Linotype"/>
          <w:b/>
          <w:i w:val="0"/>
          <w:sz w:val="20"/>
        </w:rPr>
        <w:t>−0.03</w:t>
      </w:r>
      <w:r>
        <w:rPr>
          <w:rFonts w:ascii="Palatino Linotype" w:hAnsi="Palatino Linotype" w:eastAsia="Palatino Linotype"/>
          <w:b w:val="0"/>
          <w:i w:val="0"/>
          <w:sz w:val="20"/>
        </w:rPr>
        <w:t xml:space="preserve"> and the report states that "the design pitching-moment coefficient was realized" [46]. </w:t>
      </w:r>
      <w:r>
        <w:rPr>
          <w:rFonts w:ascii="Palatino Linotype" w:hAnsi="Palatino Linotype" w:eastAsia="Palatino Linotype"/>
          <w:b/>
          <w:i w:val="0"/>
          <w:sz w:val="20"/>
        </w:rPr>
        <w:t>Reflex, as actually built and measured, is a device for removing negative pitching moment rather than for producing positive pitching moment.</w:t>
      </w:r>
      <w:r>
        <w:rPr>
          <w:rFonts w:ascii="Palatino Linotype" w:hAnsi="Palatino Linotype" w:eastAsia="Palatino Linotype"/>
          <w:b w:val="0"/>
          <w:i w:val="0"/>
          <w:sz w:val="20"/>
        </w:rPr>
        <w:t xml:space="preserve"> Two costs are measured with it, and both bear on a tail-sitter: maximum lift falls by about twelve percent in the first family and ten percent in the second — and maximum lift is what a tail-sitter needs at the high-incidence end of transition. A flying tail-sitter shows where the positive moment actually comes from: it uses a symmetric section, and "the upward trim of elevons makes the symmetric airfoil to have reflexed camber line", producing the positive moment at the aerodynamic centre [51]. The reflex that trims that aircraft is a deflected control surface held permanently out of line, not a property of its section.</w:t>
      </w:r>
    </w:p>
    <w:p>
      <w:pPr>
        <w:spacing w:before="0" w:after="80" w:line="240" w:lineRule="auto"/>
        <w:jc w:val="both"/>
      </w:pPr>
      <w:r>
        <w:rPr>
          <w:rFonts w:ascii="Palatino Linotype" w:hAnsi="Palatino Linotype" w:eastAsia="Palatino Linotype"/>
          <w:b/>
          <w:i w:val="0"/>
          <w:sz w:val="20"/>
        </w:rPr>
        <w:t>Nine degrees of tip washout trims this aircraft at cruise with no camber at all</w:t>
      </w:r>
      <w:r>
        <w:rPr>
          <w:rFonts w:ascii="Palatino Linotype" w:hAnsi="Palatino Linotype" w:eastAsia="Palatino Linotype"/>
          <w:b w:val="0"/>
          <w:i w:val="0"/>
          <w:sz w:val="20"/>
        </w:rPr>
        <w:t xml:space="preserve">, and the vortex-lattice model computes it directly because the mechanism is geometric rather than sectional: on a swept wing the tips lie well aft, so negative tip incidence produces a nose-up moment about the centre of gravity. The price is a span efficiency of 0.865 instead of 0.993 and a cruise lift-to-drag ratio of 12.11 instead of 12.65 — </w:t>
      </w:r>
      <w:r>
        <w:rPr>
          <w:rFonts w:ascii="Palatino Linotype" w:hAnsi="Palatino Linotype" w:eastAsia="Palatino Linotype"/>
          <w:b/>
          <w:i w:val="0"/>
          <w:sz w:val="20"/>
        </w:rPr>
        <w:t>4.3 percent of cruise efficiency, paid to be tailless</w:t>
      </w:r>
      <w:r>
        <w:rPr>
          <w:rFonts w:ascii="Palatino Linotype" w:hAnsi="Palatino Linotype" w:eastAsia="Palatino Linotype"/>
          <w:b w:val="0"/>
          <w:i w:val="0"/>
          <w:sz w:val="20"/>
        </w:rPr>
        <w:t xml:space="preserve">, and entered in the ledger of Section 3.5 as its fifth item. The reflex route is not free either: a blended-wing UAV trimming by reflex rather than twist records that carrying reflex over a wide span "is not conducive to the improvement of overall lift-to-drag performance" [44]. </w:t>
      </w:r>
      <w:r>
        <w:rPr>
          <w:rFonts w:ascii="Palatino Linotype" w:hAnsi="Palatino Linotype" w:eastAsia="Palatino Linotype"/>
          <w:b/>
          <w:i w:val="0"/>
          <w:sz w:val="20"/>
        </w:rPr>
        <w:t>Both roads to trim on a tailless configuration cost cruise efficiency</w:t>
      </w:r>
      <w:r>
        <w:rPr>
          <w:rFonts w:ascii="Palatino Linotype" w:hAnsi="Palatino Linotype" w:eastAsia="Palatino Linotype"/>
          <w:b w:val="0"/>
          <w:i w:val="0"/>
          <w:sz w:val="20"/>
        </w:rPr>
        <w:t>, which is the reading Section 3.5 places on the 4.3 percent: it is the price of having no tail, not the price of choosing the wrong way to do without one.</w:t>
      </w:r>
    </w:p>
    <w:p>
      <w:pPr>
        <w:spacing w:before="0" w:after="80" w:line="240" w:lineRule="auto"/>
        <w:jc w:val="both"/>
      </w:pPr>
      <w:r>
        <w:rPr>
          <w:rFonts w:ascii="Palatino Linotype" w:hAnsi="Palatino Linotype" w:eastAsia="Palatino Linotype"/>
          <w:b w:val="0"/>
          <w:i w:val="0"/>
          <w:sz w:val="20"/>
        </w:rPr>
        <w:t>The twist earns its cost three times over. It closes the trim chain; on a swept planform it delays tip stall, which on a tailless aircraft matters more than usual because a tip stall moves the centre of pressure forward and there is no tail with which to argue; and it inverts the stall sequence behind a blended-wing pitch-break. That third mechanism was found late and does not depend on aspect ratio: in a blended-wing-body analysed by both a low-fidelity method and RANS, the moment prediction departs above eight degrees because "the main wing stalls before the main body, causing the BWB to pitch-up" [39]. Washout makes the root stall first, and on a blended wing the root is the body.</w:t>
      </w:r>
    </w:p>
    <w:p>
      <w:pPr>
        <w:spacing w:before="0" w:after="80" w:line="240" w:lineRule="auto"/>
        <w:jc w:val="both"/>
      </w:pPr>
      <w:r>
        <w:rPr>
          <w:rFonts w:ascii="Palatino Linotype" w:hAnsi="Palatino Linotype" w:eastAsia="Palatino Linotype"/>
          <w:b/>
          <w:i w:val="0"/>
          <w:sz w:val="20"/>
        </w:rPr>
        <w:t>The pitching moment through transition remains this study's largest open item, and the reason nobody computes it has been measured.</w:t>
      </w:r>
      <w:r>
        <w:rPr>
          <w:rFonts w:ascii="Palatino Linotype" w:hAnsi="Palatino Linotype" w:eastAsia="Palatino Linotype"/>
          <w:b w:val="0"/>
          <w:i w:val="0"/>
          <w:sz w:val="20"/>
        </w:rPr>
        <w:t xml:space="preserve"> A small blended-wing-body UAV was analysed by RANS and then tested in a wind tunnel at a Reynolds number of 2.0 × 10⁶: from −6° to 10° of incidence "both the aerodynamic force values and the variation trends are in quite good agreement"; from 10° to 26° they "show remarkable differences between the numerical and experimental results" [44]. The same boundary appears at lower fidelity — a vortex-lattice solution of this class of configuration departs above eight degrees [39] — and the incidences this aircraft passes through lie inside that band. </w:t>
      </w:r>
      <w:r>
        <w:rPr>
          <w:rFonts w:ascii="Palatino Linotype" w:hAnsi="Palatino Linotype" w:eastAsia="Palatino Linotype"/>
          <w:b/>
          <w:i w:val="0"/>
          <w:sz w:val="20"/>
        </w:rPr>
        <w:t>Three methods of three fidelities fail at the same place, and the highest of them fails against measurement.</w:t>
      </w:r>
      <w:r>
        <w:rPr>
          <w:rFonts w:ascii="Palatino Linotype" w:hAnsi="Palatino Linotype" w:eastAsia="Palatino Linotype"/>
          <w:b w:val="0"/>
          <w:i w:val="0"/>
          <w:sz w:val="20"/>
        </w:rPr>
        <w:t xml:space="preserve"> The item therefore belongs to measurement rather than to computation, and Section 4 asks for it as measurement. The same tests found the blended-wing configuration to have "soft-stall performance", which is the benign end of the range the pitch-up literature describes.</w:t>
      </w:r>
    </w:p>
    <w:p>
      <w:pPr>
        <w:spacing w:before="0" w:after="80" w:line="240" w:lineRule="auto"/>
        <w:jc w:val="both"/>
      </w:pPr>
      <w:r>
        <w:rPr>
          <w:rFonts w:ascii="Palatino Linotype" w:hAnsi="Palatino Linotype" w:eastAsia="Palatino Linotype"/>
          <w:b w:val="0"/>
          <w:i w:val="0"/>
          <w:sz w:val="20"/>
        </w:rPr>
        <w:t xml:space="preserve">The field does not have this term either. A transition-optimisation study with outdoor flight trials carries </w:t>
      </w:r>
      <w:r>
        <w:rPr>
          <w:rFonts w:ascii="Palatino Linotype" w:hAnsi="Palatino Linotype" w:eastAsia="Palatino Linotype"/>
          <w:b/>
          <w:i w:val="0"/>
          <w:sz w:val="20"/>
        </w:rPr>
        <w:t>no pitching-moment term at all</w:t>
      </w:r>
      <w:r>
        <w:rPr>
          <w:rFonts w:ascii="Palatino Linotype" w:hAnsi="Palatino Linotype" w:eastAsia="Palatino Linotype"/>
          <w:b w:val="0"/>
          <w:i w:val="0"/>
          <w:sz w:val="20"/>
        </w:rPr>
        <w:t xml:space="preserve"> [28]; a second carries a linear one and flight-tested the question this configuration asks, reporting that without elevons its tail-sitter had "a well-controlled attitude response during hovering and transition" but that manoeuvres in level flight caused "an oscillatory attitude response" with "motor saturations observed", attributed to "the increased aerodynamic moment but decreased motor thrust at high-speed level flight" [29]. A survey records the same outcome for a separate vehicle: "able to achieve transition to forward flight, but they had poor control over the vehicle once in forward flight" [30]. A third carries a nonlinear C_m(α) but borrows the curve and closes the remaining discrepancy with an adaptive law [42]. </w:t>
      </w:r>
      <w:r>
        <w:rPr>
          <w:rFonts w:ascii="Palatino Linotype" w:hAnsi="Palatino Linotype" w:eastAsia="Palatino Linotype"/>
          <w:b/>
          <w:i w:val="0"/>
          <w:sz w:val="20"/>
        </w:rPr>
        <w:t>Every one of them obtains the transition aerodynamics by borrowing, fitting or adapting, and none by measuring the vehicle it flies.</w:t>
      </w:r>
      <w:r>
        <w:rPr>
          <w:rFonts w:ascii="Palatino Linotype" w:hAnsi="Palatino Linotype" w:eastAsia="Palatino Linotype"/>
          <w:b w:val="0"/>
          <w:i w:val="0"/>
          <w:sz w:val="20"/>
        </w:rPr>
        <w:t xml:space="preserve"> Two independent programmes, different vehicles, the same division — transition passed, forward flight difficult — and that is the same structural tension this section derives from the moment budget: the tight case is the end of the rotation and beyond, where aerodynamic moment grows as V² while propeller thrust falls.</w:t>
      </w:r>
    </w:p>
    <w:p>
      <w:pPr>
        <w:spacing w:before="200" w:after="80"/>
      </w:pPr>
      <w:r>
        <w:rPr>
          <w:rFonts w:ascii="Palatino Linotype" w:hAnsi="Palatino Linotype" w:eastAsia="Palatino Linotype"/>
          <w:b/>
          <w:i w:val="0"/>
          <w:sz w:val="26"/>
        </w:rPr>
        <w:t>4. Discussion</w:t>
      </w:r>
    </w:p>
    <w:p>
      <w:pPr>
        <w:spacing w:before="0" w:after="80" w:line="240" w:lineRule="auto"/>
        <w:jc w:val="both"/>
      </w:pPr>
      <w:r>
        <w:rPr>
          <w:rFonts w:ascii="Palatino Linotype" w:hAnsi="Palatino Linotype" w:eastAsia="Palatino Linotype"/>
          <w:b w:val="0"/>
          <w:i w:val="0"/>
          <w:sz w:val="20"/>
        </w:rPr>
        <w:t>This section places the results against existing aircraft and existing literature, then states what is not shown. Sections 4.1 and 4.2 are interpretation; Sections 4.3 to 4.7 are limitations, ordered by whether they could change a conclusion.</w:t>
      </w:r>
    </w:p>
    <w:p>
      <w:pPr>
        <w:spacing w:before="200" w:after="80"/>
      </w:pPr>
      <w:r>
        <w:rPr>
          <w:rFonts w:ascii="Palatino Linotype" w:hAnsi="Palatino Linotype" w:eastAsia="Palatino Linotype"/>
          <w:b/>
          <w:i w:val="0"/>
          <w:sz w:val="22"/>
        </w:rPr>
        <w:t>4.1 Context</w:t>
      </w:r>
    </w:p>
    <w:p>
      <w:pPr>
        <w:spacing w:before="0" w:after="80" w:line="240" w:lineRule="auto"/>
        <w:jc w:val="both"/>
      </w:pPr>
      <w:r>
        <w:rPr>
          <w:rFonts w:ascii="Palatino Linotype" w:hAnsi="Palatino Linotype" w:eastAsia="Palatino Linotype"/>
          <w:b w:val="0"/>
          <w:i w:val="0"/>
          <w:sz w:val="20"/>
        </w:rPr>
        <w:t>The following aircraft occupy the same mass range. They are listed to locate the reference designs in a real field, not to rank them. Table 21 lists them.</w:t>
      </w:r>
    </w:p>
    <w:p>
      <w:pPr>
        <w:spacing w:before="0" w:after="80" w:line="240" w:lineRule="auto"/>
        <w:jc w:val="both"/>
        <w:keepNext/>
      </w:pPr>
      <w:r>
        <w:rPr>
          <w:rFonts w:ascii="Palatino Linotype" w:hAnsi="Palatino Linotype" w:eastAsia="Palatino Linotype"/>
          <w:b/>
          <w:i w:val="0"/>
          <w:sz w:val="20"/>
        </w:rPr>
        <w:t>Table 21.</w:t>
      </w:r>
      <w:r>
        <w:rPr>
          <w:rFonts w:ascii="Palatino Linotype" w:hAnsi="Palatino Linotype" w:eastAsia="Palatino Linotype"/>
          <w:b w:val="0"/>
          <w:i w:val="0"/>
          <w:sz w:val="20"/>
        </w:rPr>
        <w:t xml:space="preserve"> Aircraft occupying the same mass range as the two reference designs.</w:t>
      </w:r>
    </w:p>
    <w:tbl>
      <w:tblPr>
        <w:tblStyle w:val="TableGrid"/>
        <w:tblW w:type="auto" w:w="0"/>
        <w:jc w:val="center"/>
        <w:tblLook w:firstColumn="1" w:firstRow="1" w:lastColumn="0" w:lastRow="0" w:noHBand="0" w:noVBand="1" w:val="04A0"/>
      </w:tblPr>
      <w:tblGrid>
        <w:gridCol w:w="2493"/>
        <w:gridCol w:w="2493"/>
        <w:gridCol w:w="2493"/>
        <w:gridCol w:w="2493"/>
      </w:tblGrid>
      <w:tr>
        <w:trPr>
          <w:cantSplit/>
          <w:tblHeader/>
        </w:trPr>
        <w:tc>
          <w:tcPr>
            <w:tcW w:type="dxa" w:w="2493"/>
          </w:tcPr>
          <w:p>
            <w:pPr>
              <w:spacing w:before="20" w:after="20"/>
            </w:pPr>
            <w:r/>
            <w:r>
              <w:rPr>
                <w:rFonts w:ascii="Palatino Linotype" w:hAnsi="Palatino Linotype" w:eastAsia="Palatino Linotype"/>
                <w:b/>
                <w:i w:val="0"/>
                <w:sz w:val="18"/>
              </w:rPr>
              <w:t>Aircraft</w:t>
            </w:r>
          </w:p>
        </w:tc>
        <w:tc>
          <w:tcPr>
            <w:tcW w:type="dxa" w:w="2493"/>
          </w:tcPr>
          <w:p>
            <w:pPr>
              <w:spacing w:before="20" w:after="20"/>
            </w:pPr>
            <w:r/>
            <w:r>
              <w:rPr>
                <w:rFonts w:ascii="Palatino Linotype" w:hAnsi="Palatino Linotype" w:eastAsia="Palatino Linotype"/>
                <w:b/>
                <w:i w:val="0"/>
                <w:sz w:val="18"/>
              </w:rPr>
              <w:t>MTOW</w:t>
            </w:r>
          </w:p>
        </w:tc>
        <w:tc>
          <w:tcPr>
            <w:tcW w:type="dxa" w:w="2493"/>
          </w:tcPr>
          <w:p>
            <w:pPr>
              <w:spacing w:before="20" w:after="20"/>
            </w:pPr>
            <w:r/>
            <w:r>
              <w:rPr>
                <w:rFonts w:ascii="Palatino Linotype" w:hAnsi="Palatino Linotype" w:eastAsia="Palatino Linotype"/>
                <w:b/>
                <w:i w:val="0"/>
                <w:sz w:val="18"/>
              </w:rPr>
              <w:t>Payload</w:t>
            </w:r>
          </w:p>
        </w:tc>
        <w:tc>
          <w:tcPr>
            <w:tcW w:type="dxa" w:w="2493"/>
          </w:tcPr>
          <w:p>
            <w:pPr>
              <w:spacing w:before="20" w:after="20"/>
            </w:pPr>
            <w:r/>
            <w:r>
              <w:rPr>
                <w:rFonts w:ascii="Palatino Linotype" w:hAnsi="Palatino Linotype" w:eastAsia="Palatino Linotype"/>
                <w:b/>
                <w:i w:val="0"/>
                <w:sz w:val="18"/>
              </w:rPr>
              <w:t>Payload fraction</w:t>
            </w:r>
          </w:p>
        </w:tc>
      </w:tr>
      <w:tr>
        <w:trPr>
          <w:cantSplit/>
        </w:trPr>
        <w:tc>
          <w:tcPr>
            <w:tcW w:type="dxa" w:w="2493"/>
          </w:tcPr>
          <w:p>
            <w:pPr>
              <w:spacing w:before="20" w:after="20"/>
            </w:pPr>
            <w:r/>
            <w:r>
              <w:rPr>
                <w:rFonts w:ascii="Palatino Linotype" w:hAnsi="Palatino Linotype" w:eastAsia="Palatino Linotype"/>
                <w:b w:val="0"/>
                <w:i w:val="0"/>
                <w:sz w:val="18"/>
              </w:rPr>
              <w:t>HAVELSAN BAHA [8]</w:t>
            </w:r>
          </w:p>
        </w:tc>
        <w:tc>
          <w:tcPr>
            <w:tcW w:type="dxa" w:w="2493"/>
          </w:tcPr>
          <w:p>
            <w:pPr>
              <w:spacing w:before="20" w:after="20"/>
            </w:pPr>
            <w:r/>
            <w:r>
              <w:rPr>
                <w:rFonts w:ascii="Palatino Linotype" w:hAnsi="Palatino Linotype" w:eastAsia="Palatino Linotype"/>
                <w:b w:val="0"/>
                <w:i w:val="0"/>
                <w:sz w:val="18"/>
              </w:rPr>
              <w:t>28 kg</w:t>
            </w:r>
          </w:p>
        </w:tc>
        <w:tc>
          <w:tcPr>
            <w:tcW w:type="dxa" w:w="2493"/>
          </w:tcPr>
          <w:p>
            <w:pPr>
              <w:spacing w:before="20" w:after="20"/>
            </w:pPr>
            <w:r/>
            <w:r>
              <w:rPr>
                <w:rFonts w:ascii="Palatino Linotype" w:hAnsi="Palatino Linotype" w:eastAsia="Palatino Linotype"/>
                <w:b w:val="0"/>
                <w:i w:val="0"/>
                <w:sz w:val="18"/>
              </w:rPr>
              <w:t>2 kg</w:t>
            </w:r>
          </w:p>
        </w:tc>
        <w:tc>
          <w:tcPr>
            <w:tcW w:type="dxa" w:w="2493"/>
          </w:tcPr>
          <w:p>
            <w:pPr>
              <w:spacing w:before="20" w:after="20"/>
            </w:pPr>
            <w:r/>
            <w:r>
              <w:rPr>
                <w:rFonts w:ascii="Palatino Linotype" w:hAnsi="Palatino Linotype" w:eastAsia="Palatino Linotype"/>
                <w:b w:val="0"/>
                <w:i w:val="0"/>
                <w:sz w:val="18"/>
              </w:rPr>
              <w:t>7.1 %</w:t>
            </w:r>
          </w:p>
        </w:tc>
      </w:tr>
      <w:tr>
        <w:trPr>
          <w:cantSplit/>
        </w:trPr>
        <w:tc>
          <w:tcPr>
            <w:tcW w:type="dxa" w:w="2493"/>
          </w:tcPr>
          <w:p>
            <w:pPr>
              <w:spacing w:before="20" w:after="20"/>
            </w:pPr>
            <w:r/>
            <w:r>
              <w:rPr>
                <w:rFonts w:ascii="Palatino Linotype" w:hAnsi="Palatino Linotype" w:eastAsia="Palatino Linotype"/>
                <w:b w:val="0"/>
                <w:i w:val="0"/>
                <w:sz w:val="18"/>
              </w:rPr>
              <w:t>Textron Aerosonde Mk 4.7 VTOL [9]</w:t>
            </w:r>
          </w:p>
        </w:tc>
        <w:tc>
          <w:tcPr>
            <w:tcW w:type="dxa" w:w="2493"/>
          </w:tcPr>
          <w:p>
            <w:pPr>
              <w:spacing w:before="20" w:after="20"/>
            </w:pPr>
            <w:r/>
            <w:r>
              <w:rPr>
                <w:rFonts w:ascii="Palatino Linotype" w:hAnsi="Palatino Linotype" w:eastAsia="Palatino Linotype"/>
                <w:b w:val="0"/>
                <w:i w:val="0"/>
                <w:sz w:val="18"/>
              </w:rPr>
              <w:t>45.4 kg</w:t>
            </w:r>
          </w:p>
        </w:tc>
        <w:tc>
          <w:tcPr>
            <w:tcW w:type="dxa" w:w="2493"/>
          </w:tcPr>
          <w:p>
            <w:pPr>
              <w:spacing w:before="20" w:after="20"/>
            </w:pPr>
            <w:r/>
            <w:r>
              <w:rPr>
                <w:rFonts w:ascii="Palatino Linotype" w:hAnsi="Palatino Linotype" w:eastAsia="Palatino Linotype"/>
                <w:b w:val="0"/>
                <w:i w:val="0"/>
                <w:sz w:val="18"/>
              </w:rPr>
              <w:t>9.1 kg</w:t>
            </w:r>
          </w:p>
        </w:tc>
        <w:tc>
          <w:tcPr>
            <w:tcW w:type="dxa" w:w="2493"/>
          </w:tcPr>
          <w:p>
            <w:pPr>
              <w:spacing w:before="20" w:after="20"/>
            </w:pPr>
            <w:r/>
            <w:r>
              <w:rPr>
                <w:rFonts w:ascii="Palatino Linotype" w:hAnsi="Palatino Linotype" w:eastAsia="Palatino Linotype"/>
                <w:b w:val="0"/>
                <w:i w:val="0"/>
                <w:sz w:val="18"/>
              </w:rPr>
              <w:t>20.0 %</w:t>
            </w:r>
          </w:p>
        </w:tc>
      </w:tr>
      <w:tr>
        <w:trPr>
          <w:cantSplit/>
        </w:trPr>
        <w:tc>
          <w:tcPr>
            <w:tcW w:type="dxa" w:w="2493"/>
          </w:tcPr>
          <w:p>
            <w:pPr>
              <w:spacing w:before="20" w:after="20"/>
            </w:pPr>
            <w:r/>
            <w:r>
              <w:rPr>
                <w:rFonts w:ascii="Palatino Linotype" w:hAnsi="Palatino Linotype" w:eastAsia="Palatino Linotype"/>
                <w:b w:val="0"/>
                <w:i w:val="0"/>
                <w:sz w:val="18"/>
              </w:rPr>
              <w:t>Baykar KALKAN [10]</w:t>
            </w:r>
          </w:p>
        </w:tc>
        <w:tc>
          <w:tcPr>
            <w:tcW w:type="dxa" w:w="2493"/>
          </w:tcPr>
          <w:p>
            <w:pPr>
              <w:spacing w:before="20" w:after="20"/>
            </w:pPr>
            <w:r/>
            <w:r>
              <w:rPr>
                <w:rFonts w:ascii="Palatino Linotype" w:hAnsi="Palatino Linotype" w:eastAsia="Palatino Linotype"/>
                <w:b w:val="0"/>
                <w:i w:val="0"/>
                <w:sz w:val="18"/>
              </w:rPr>
              <w:t>75 kg</w:t>
            </w:r>
          </w:p>
        </w:tc>
        <w:tc>
          <w:tcPr>
            <w:tcW w:type="dxa" w:w="2493"/>
          </w:tcPr>
          <w:p>
            <w:pPr>
              <w:spacing w:before="20" w:after="20"/>
            </w:pPr>
            <w:r/>
            <w:r>
              <w:rPr>
                <w:rFonts w:ascii="Palatino Linotype" w:hAnsi="Palatino Linotype" w:eastAsia="Palatino Linotype"/>
                <w:b w:val="0"/>
                <w:i w:val="0"/>
                <w:sz w:val="18"/>
              </w:rPr>
              <w:t>~3 kg internal</w:t>
            </w:r>
          </w:p>
        </w:tc>
        <w:tc>
          <w:tcPr>
            <w:tcW w:type="dxa" w:w="2493"/>
          </w:tcPr>
          <w:p>
            <w:pPr>
              <w:spacing w:before="20" w:after="20"/>
            </w:pPr>
            <w:r/>
            <w:r>
              <w:rPr>
                <w:rFonts w:ascii="Palatino Linotype" w:hAnsi="Palatino Linotype" w:eastAsia="Palatino Linotype"/>
                <w:b w:val="0"/>
                <w:i w:val="0"/>
                <w:sz w:val="18"/>
              </w:rPr>
              <w:t>4.0 %</w:t>
            </w:r>
          </w:p>
        </w:tc>
      </w:tr>
      <w:tr>
        <w:trPr>
          <w:cantSplit/>
        </w:trPr>
        <w:tc>
          <w:tcPr>
            <w:tcW w:type="dxa" w:w="2493"/>
          </w:tcPr>
          <w:p>
            <w:pPr>
              <w:spacing w:before="20" w:after="20"/>
            </w:pPr>
            <w:r/>
            <w:r>
              <w:rPr>
                <w:rFonts w:ascii="Palatino Linotype" w:hAnsi="Palatino Linotype" w:eastAsia="Palatino Linotype"/>
                <w:b w:val="0"/>
                <w:i w:val="0"/>
                <w:sz w:val="18"/>
              </w:rPr>
              <w:t>HAVELSAN BULUT [11]</w:t>
            </w:r>
          </w:p>
        </w:tc>
        <w:tc>
          <w:tcPr>
            <w:tcW w:type="dxa" w:w="2493"/>
          </w:tcPr>
          <w:p>
            <w:pPr>
              <w:spacing w:before="20" w:after="20"/>
            </w:pPr>
            <w:r/>
            <w:r>
              <w:rPr>
                <w:rFonts w:ascii="Palatino Linotype" w:hAnsi="Palatino Linotype" w:eastAsia="Palatino Linotype"/>
                <w:b w:val="0"/>
                <w:i w:val="0"/>
                <w:sz w:val="18"/>
              </w:rPr>
              <w:t>not published</w:t>
            </w:r>
          </w:p>
        </w:tc>
        <w:tc>
          <w:tcPr>
            <w:tcW w:type="dxa" w:w="2493"/>
          </w:tcPr>
          <w:p>
            <w:pPr>
              <w:spacing w:before="20" w:after="20"/>
            </w:pPr>
            <w:r/>
            <w:r>
              <w:rPr>
                <w:rFonts w:ascii="Palatino Linotype" w:hAnsi="Palatino Linotype" w:eastAsia="Palatino Linotype"/>
                <w:b w:val="0"/>
                <w:i w:val="0"/>
                <w:sz w:val="18"/>
              </w:rPr>
              <w:t>5 kg</w:t>
            </w:r>
          </w:p>
        </w:tc>
        <w:tc>
          <w:tcPr>
            <w:tcW w:type="dxa" w:w="2493"/>
          </w:tcPr>
          <w:p>
            <w:pPr>
              <w:spacing w:before="20" w:after="20"/>
            </w:pPr>
            <w:r/>
            <w:r>
              <w:rPr>
                <w:rFonts w:ascii="Palatino Linotype" w:hAnsi="Palatino Linotype" w:eastAsia="Palatino Linotype"/>
                <w:b w:val="0"/>
                <w:i w:val="0"/>
                <w:sz w:val="18"/>
              </w:rPr>
              <w:t>—</w:t>
            </w:r>
          </w:p>
        </w:tc>
      </w:tr>
      <w:tr>
        <w:trPr>
          <w:cantSplit/>
        </w:trPr>
        <w:tc>
          <w:tcPr>
            <w:tcW w:type="dxa" w:w="2493"/>
          </w:tcPr>
          <w:p>
            <w:pPr>
              <w:spacing w:before="20" w:after="20"/>
            </w:pPr>
            <w:r/>
            <w:r>
              <w:rPr>
                <w:rFonts w:ascii="Palatino Linotype" w:hAnsi="Palatino Linotype" w:eastAsia="Palatino Linotype"/>
                <w:b w:val="0"/>
                <w:i w:val="0"/>
                <w:sz w:val="18"/>
              </w:rPr>
              <w:t>Elroy Air Chaparral [12]</w:t>
            </w:r>
          </w:p>
        </w:tc>
        <w:tc>
          <w:tcPr>
            <w:tcW w:type="dxa" w:w="2493"/>
          </w:tcPr>
          <w:p>
            <w:pPr>
              <w:spacing w:before="20" w:after="20"/>
            </w:pPr>
            <w:r/>
            <w:r>
              <w:rPr>
                <w:rFonts w:ascii="Palatino Linotype" w:hAnsi="Palatino Linotype" w:eastAsia="Palatino Linotype"/>
                <w:b w:val="0"/>
                <w:i w:val="0"/>
                <w:sz w:val="18"/>
              </w:rPr>
              <w:t>865 kg</w:t>
            </w:r>
          </w:p>
        </w:tc>
        <w:tc>
          <w:tcPr>
            <w:tcW w:type="dxa" w:w="2493"/>
          </w:tcPr>
          <w:p>
            <w:pPr>
              <w:spacing w:before="20" w:after="20"/>
            </w:pPr>
            <w:r/>
            <w:r>
              <w:rPr>
                <w:rFonts w:ascii="Palatino Linotype" w:hAnsi="Palatino Linotype" w:eastAsia="Palatino Linotype"/>
                <w:b w:val="0"/>
                <w:i w:val="0"/>
                <w:sz w:val="18"/>
              </w:rPr>
              <w:t>136 / 227 kg</w:t>
            </w:r>
          </w:p>
        </w:tc>
        <w:tc>
          <w:tcPr>
            <w:tcW w:type="dxa" w:w="2493"/>
          </w:tcPr>
          <w:p>
            <w:pPr>
              <w:spacing w:before="20" w:after="20"/>
            </w:pPr>
            <w:r/>
            <w:r>
              <w:rPr>
                <w:rFonts w:ascii="Palatino Linotype" w:hAnsi="Palatino Linotype" w:eastAsia="Palatino Linotype"/>
                <w:b w:val="0"/>
                <w:i w:val="0"/>
                <w:sz w:val="18"/>
              </w:rPr>
              <w:t>15.7 / 26.2 %</w:t>
            </w:r>
          </w:p>
        </w:tc>
      </w:tr>
      <w:tr>
        <w:trPr>
          <w:cantSplit/>
        </w:trPr>
        <w:tc>
          <w:tcPr>
            <w:tcW w:type="dxa" w:w="2493"/>
          </w:tcPr>
          <w:p>
            <w:pPr>
              <w:spacing w:before="20" w:after="20"/>
            </w:pPr>
            <w:r/>
            <w:r>
              <w:rPr>
                <w:rFonts w:ascii="Palatino Linotype" w:hAnsi="Palatino Linotype" w:eastAsia="Palatino Linotype"/>
                <w:b w:val="0"/>
                <w:i w:val="0"/>
                <w:sz w:val="18"/>
              </w:rPr>
              <w:t>Sabrewing Rhaegal-A [13]</w:t>
            </w:r>
          </w:p>
        </w:tc>
        <w:tc>
          <w:tcPr>
            <w:tcW w:type="dxa" w:w="2493"/>
          </w:tcPr>
          <w:p>
            <w:pPr>
              <w:spacing w:before="20" w:after="20"/>
            </w:pPr>
            <w:r/>
            <w:r>
              <w:rPr>
                <w:rFonts w:ascii="Palatino Linotype" w:hAnsi="Palatino Linotype" w:eastAsia="Palatino Linotype"/>
                <w:b w:val="0"/>
                <w:i w:val="0"/>
                <w:sz w:val="18"/>
              </w:rPr>
              <w:t>1400 kg</w:t>
            </w:r>
          </w:p>
        </w:tc>
        <w:tc>
          <w:tcPr>
            <w:tcW w:type="dxa" w:w="2493"/>
          </w:tcPr>
          <w:p>
            <w:pPr>
              <w:spacing w:before="20" w:after="20"/>
            </w:pPr>
            <w:r/>
            <w:r>
              <w:rPr>
                <w:rFonts w:ascii="Palatino Linotype" w:hAnsi="Palatino Linotype" w:eastAsia="Palatino Linotype"/>
                <w:b w:val="0"/>
                <w:i w:val="0"/>
                <w:sz w:val="18"/>
              </w:rPr>
              <w:t>360–450 kg</w:t>
            </w:r>
          </w:p>
        </w:tc>
        <w:tc>
          <w:tcPr>
            <w:tcW w:type="dxa" w:w="2493"/>
          </w:tcPr>
          <w:p>
            <w:pPr>
              <w:spacing w:before="20" w:after="20"/>
            </w:pPr>
            <w:r/>
            <w:r>
              <w:rPr>
                <w:rFonts w:ascii="Palatino Linotype" w:hAnsi="Palatino Linotype" w:eastAsia="Palatino Linotype"/>
                <w:b w:val="0"/>
                <w:i w:val="0"/>
                <w:sz w:val="18"/>
              </w:rPr>
              <w:t>25.7–32.1 %</w:t>
            </w:r>
          </w:p>
        </w:tc>
      </w:tr>
      <w:tr>
        <w:trPr>
          <w:cantSplit/>
        </w:trPr>
        <w:tc>
          <w:tcPr>
            <w:tcW w:type="dxa" w:w="2493"/>
          </w:tcPr>
          <w:p>
            <w:pPr>
              <w:spacing w:before="20" w:after="20"/>
            </w:pPr>
            <w:r/>
            <w:r>
              <w:rPr>
                <w:rFonts w:ascii="Palatino Linotype" w:hAnsi="Palatino Linotype" w:eastAsia="Palatino Linotype"/>
                <w:b w:val="0"/>
                <w:i w:val="0"/>
                <w:sz w:val="18"/>
              </w:rPr>
              <w:t>Pipistrel Nuuva V300 [14]</w:t>
            </w:r>
          </w:p>
        </w:tc>
        <w:tc>
          <w:tcPr>
            <w:tcW w:type="dxa" w:w="2493"/>
          </w:tcPr>
          <w:p>
            <w:pPr>
              <w:spacing w:before="20" w:after="20"/>
            </w:pPr>
            <w:r/>
            <w:r>
              <w:rPr>
                <w:rFonts w:ascii="Palatino Linotype" w:hAnsi="Palatino Linotype" w:eastAsia="Palatino Linotype"/>
                <w:b w:val="0"/>
                <w:i w:val="0"/>
                <w:sz w:val="18"/>
              </w:rPr>
              <w:t>1700 kg</w:t>
            </w:r>
          </w:p>
        </w:tc>
        <w:tc>
          <w:tcPr>
            <w:tcW w:type="dxa" w:w="2493"/>
          </w:tcPr>
          <w:p>
            <w:pPr>
              <w:spacing w:before="20" w:after="20"/>
            </w:pPr>
            <w:r/>
            <w:r>
              <w:rPr>
                <w:rFonts w:ascii="Palatino Linotype" w:hAnsi="Palatino Linotype" w:eastAsia="Palatino Linotype"/>
                <w:b w:val="0"/>
                <w:i w:val="0"/>
                <w:sz w:val="18"/>
              </w:rPr>
              <w:t>408 kg</w:t>
            </w:r>
          </w:p>
        </w:tc>
        <w:tc>
          <w:tcPr>
            <w:tcW w:type="dxa" w:w="2493"/>
          </w:tcPr>
          <w:p>
            <w:pPr>
              <w:spacing w:before="20" w:after="20"/>
            </w:pPr>
            <w:r/>
            <w:r>
              <w:rPr>
                <w:rFonts w:ascii="Palatino Linotype" w:hAnsi="Palatino Linotype" w:eastAsia="Palatino Linotype"/>
                <w:b w:val="0"/>
                <w:i w:val="0"/>
                <w:sz w:val="18"/>
              </w:rPr>
              <w:t>24.0 %</w:t>
            </w:r>
          </w:p>
        </w:tc>
      </w:tr>
    </w:tbl>
    <w:p/>
    <w:p>
      <w:pPr>
        <w:spacing w:before="0" w:after="80" w:line="240" w:lineRule="auto"/>
        <w:jc w:val="both"/>
      </w:pPr>
      <w:r>
        <w:rPr>
          <w:rFonts w:ascii="Palatino Linotype" w:hAnsi="Palatino Linotype" w:eastAsia="Palatino Linotype"/>
          <w:b w:val="0"/>
          <w:i w:val="0"/>
          <w:sz w:val="20"/>
        </w:rPr>
        <w:t>All entries are from manufacturers' published material; payload definitions are not consistent between them and empty weights are generally not published.</w:t>
      </w:r>
    </w:p>
    <w:p>
      <w:pPr>
        <w:spacing w:before="0" w:after="80" w:line="240" w:lineRule="auto"/>
        <w:jc w:val="both"/>
      </w:pPr>
      <w:r>
        <w:rPr>
          <w:rFonts w:ascii="Palatino Linotype" w:hAnsi="Palatino Linotype" w:eastAsia="Palatino Linotype"/>
          <w:b w:val="0"/>
          <w:i w:val="0"/>
          <w:sz w:val="20"/>
        </w:rPr>
        <w:t xml:space="preserve">Three statements can be made and a fourth cannot. The field is real and populated at both ends of the range. Payload fraction rises with size across it, from a few percent to roughly a quarter, which is the ordinary consequence of fixed costs not scaling down. And </w:t>
      </w:r>
      <w:r>
        <w:rPr>
          <w:rFonts w:ascii="Palatino Linotype" w:hAnsi="Palatino Linotype" w:eastAsia="Palatino Linotype"/>
          <w:b/>
          <w:i w:val="0"/>
          <w:sz w:val="20"/>
        </w:rPr>
        <w:t>none of these aircraft connects an internal-combustion engine directly to a lifting rotor</w:t>
      </w:r>
      <w:r>
        <w:rPr>
          <w:rFonts w:ascii="Palatino Linotype" w:hAnsi="Palatino Linotype" w:eastAsia="Palatino Linotype"/>
          <w:b w:val="0"/>
          <w:i w:val="0"/>
          <w:sz w:val="20"/>
        </w:rPr>
        <w:t xml:space="preserve"> — every one uses either a generator or separate electric lift, which is independent confirmation that the series arrangement of Section 2.9 is the practical choice at this scale rather than an unusual one.</w:t>
      </w:r>
    </w:p>
    <w:p>
      <w:pPr>
        <w:spacing w:before="0" w:after="80" w:line="240" w:lineRule="auto"/>
        <w:jc w:val="both"/>
      </w:pPr>
      <w:r>
        <w:rPr>
          <w:rFonts w:ascii="Palatino Linotype" w:hAnsi="Palatino Linotype" w:eastAsia="Palatino Linotype"/>
          <w:b/>
          <w:i w:val="0"/>
          <w:sz w:val="20"/>
        </w:rPr>
        <w:t>The fourth statement — that the reference designs outperform these aircraft — is not made.</w:t>
      </w:r>
      <w:r>
        <w:rPr>
          <w:rFonts w:ascii="Palatino Linotype" w:hAnsi="Palatino Linotype" w:eastAsia="Palatino Linotype"/>
          <w:b w:val="0"/>
          <w:i w:val="0"/>
          <w:sz w:val="20"/>
        </w:rPr>
        <w:t xml:space="preserve"> Sections 3.7 and 3.8 are calculated from a mass budget with an unpaid structural margin; this table describes aircraft that exist and fly. Placing a calculation beside a measurement and declaring a winner would be a category error. Several entries are also fully electric, for which endurance is set by battery specific energy rather than by configuration, so comparing them with a fuel-burning design would compare energy sources rather than architectures. What could properly be compared, once such aircraft are built, is </w:t>
      </w:r>
      <w:r>
        <w:rPr>
          <w:rFonts w:ascii="Palatino Linotype" w:hAnsi="Palatino Linotype" w:eastAsia="Palatino Linotype"/>
          <w:b/>
          <w:i w:val="0"/>
          <w:sz w:val="20"/>
        </w:rPr>
        <w:t>range at similar payload</w:t>
      </w:r>
      <w:r>
        <w:rPr>
          <w:rFonts w:ascii="Palatino Linotype" w:hAnsi="Palatino Linotype" w:eastAsia="Palatino Linotype"/>
          <w:b w:val="0"/>
          <w:i w:val="0"/>
          <w:sz w:val="20"/>
        </w:rPr>
        <w:t xml:space="preserve"> — a configuration carrying a comparable load further is making an architectural claim, while one carrying a heavier load is making a claim about mass budgeting, which is the least validated part of this study.</w:t>
      </w:r>
    </w:p>
    <w:p>
      <w:pPr>
        <w:spacing w:before="200" w:after="80"/>
      </w:pPr>
      <w:r>
        <w:rPr>
          <w:rFonts w:ascii="Palatino Linotype" w:hAnsi="Palatino Linotype" w:eastAsia="Palatino Linotype"/>
          <w:b/>
          <w:i w:val="0"/>
          <w:sz w:val="22"/>
        </w:rPr>
        <w:t>4.2 Why the market looks the way it does</w:t>
      </w:r>
    </w:p>
    <w:p>
      <w:pPr>
        <w:spacing w:before="0" w:after="80" w:line="240" w:lineRule="auto"/>
        <w:jc w:val="both"/>
      </w:pPr>
      <w:r>
        <w:rPr>
          <w:rFonts w:ascii="Palatino Linotype" w:hAnsi="Palatino Linotype" w:eastAsia="Palatino Linotype"/>
          <w:b w:val="0"/>
          <w:i w:val="0"/>
          <w:sz w:val="20"/>
        </w:rPr>
        <w:t>One observable consequence supports the argument, and it has been stated independently. Surveying the field, the study cited above concludes that multirotors are efficient in hover and suited to short-range missions, that vectored-thrust aircraft are efficient in cruise and suited to long-range missions, and that "lift plus cruise eVTOLs are a compromise, but they are slowed down by the drag of the lift propellers."</w:t>
      </w:r>
    </w:p>
    <w:p>
      <w:pPr>
        <w:spacing w:before="0" w:after="80" w:line="240" w:lineRule="auto"/>
        <w:jc w:val="both"/>
      </w:pPr>
      <w:r>
        <w:rPr>
          <w:rFonts w:ascii="Palatino Linotype" w:hAnsi="Palatino Linotype" w:eastAsia="Palatino Linotype"/>
          <w:b w:val="0"/>
          <w:i w:val="0"/>
          <w:sz w:val="20"/>
        </w:rPr>
        <w:t>Hybrid VTOL aircraft occupy a narrow band of the mission space. Below it, where range requirements are short, a multirotor is cheaper and simpler and pays none of these bills because it never claimed cruise efficiency. Above it, where range requirements are long, a runway-launched fixed-wing aircraft is more efficient and pays none of them because it never claimed vertical capability. The hybrid sits between the two, and the width of that band is set by how much cruise efficiency the architecture had to surrender.</w:t>
      </w:r>
    </w:p>
    <w:p>
      <w:pPr>
        <w:spacing w:before="0" w:after="80" w:line="240" w:lineRule="auto"/>
        <w:jc w:val="both"/>
      </w:pPr>
      <w:r>
        <w:rPr>
          <w:rFonts w:ascii="Palatino Linotype" w:hAnsi="Palatino Linotype" w:eastAsia="Palatino Linotype"/>
          <w:b w:val="0"/>
          <w:i w:val="0"/>
          <w:sz w:val="20"/>
        </w:rPr>
        <w:t>An architecture that surrenders less does not merely perform better inside the band. It widens the band.</w:t>
      </w:r>
    </w:p>
    <w:p>
      <w:pPr>
        <w:spacing w:before="0" w:after="80" w:line="240" w:lineRule="auto"/>
        <w:jc w:val="both"/>
      </w:pPr>
      <w:r>
        <w:rPr>
          <w:rFonts w:ascii="Palatino Linotype" w:hAnsi="Palatino Linotype" w:eastAsia="Palatino Linotype"/>
          <w:b/>
          <w:i w:val="0"/>
          <w:sz w:val="20"/>
        </w:rPr>
        <w:t>Where this configuration sits in that statement has to be said precisely, because the obvious reading is too generous to it.</w:t>
      </w:r>
      <w:r>
        <w:rPr>
          <w:rFonts w:ascii="Palatino Linotype" w:hAnsi="Palatino Linotype" w:eastAsia="Palatino Linotype"/>
          <w:b w:val="0"/>
          <w:i w:val="0"/>
          <w:sz w:val="20"/>
        </w:rPr>
        <w:t xml:space="preserve"> Against the two families that bound the band, the case is straightforward and is why the configuration exists: it needs no runway, which the fixed-wing family cannot say, and it carries a cruising wing, which the multirotor family does not — the sizing set of Section 3.1 puts a turboshaft quadrotor at an </w:t>
      </w:r>
      <w:r>
        <w:rPr>
          <w:rFonts w:ascii="Palatino Linotype" w:hAnsi="Palatino Linotype" w:eastAsia="Palatino Linotype"/>
          <w:b w:val="0"/>
          <w:i/>
          <w:sz w:val="20"/>
        </w:rPr>
        <w:t>effective</w:t>
      </w:r>
      <w:r>
        <w:rPr>
          <w:rFonts w:ascii="Palatino Linotype" w:hAnsi="Palatino Linotype" w:eastAsia="Palatino Linotype"/>
          <w:b w:val="0"/>
          <w:i w:val="0"/>
          <w:sz w:val="20"/>
        </w:rPr>
        <w:t xml:space="preserve"> lift-to-drag ratio of 4.9 against this configuration's </w:t>
      </w:r>
      <w:r>
        <w:rPr>
          <w:rFonts w:ascii="Palatino Linotype" w:hAnsi="Palatino Linotype" w:eastAsia="Palatino Linotype"/>
          <w:b w:val="0"/>
          <w:i/>
          <w:sz w:val="20"/>
        </w:rPr>
        <w:t>aerodynamic</w:t>
      </w:r>
      <w:r>
        <w:rPr>
          <w:rFonts w:ascii="Palatino Linotype" w:hAnsi="Palatino Linotype" w:eastAsia="Palatino Linotype"/>
          <w:b w:val="0"/>
          <w:i w:val="0"/>
          <w:sz w:val="20"/>
        </w:rPr>
        <w:t xml:space="preserve"> 8.8 to 10.8. Those are different kinds of number — the first a system-level figure of merit, the second a force ratio — and the comparison is offered for scale rather than as a measured margin. </w:t>
      </w:r>
      <w:r>
        <w:rPr>
          <w:rFonts w:ascii="Palatino Linotype" w:hAnsi="Palatino Linotype" w:eastAsia="Palatino Linotype"/>
          <w:b/>
          <w:i w:val="0"/>
          <w:sz w:val="20"/>
        </w:rPr>
        <w:t>The claim that survives it is structural: a vehicle that carries its cruise lift on a wing is in a different efficiency class from one that carries it on rotors, and no sizing contract moves a vehicle between those classes.</w:t>
      </w:r>
      <w:r>
        <w:rPr>
          <w:rFonts w:ascii="Palatino Linotype" w:hAnsi="Palatino Linotype" w:eastAsia="Palatino Linotype"/>
          <w:b w:val="0"/>
          <w:i w:val="0"/>
          <w:sz w:val="20"/>
        </w:rPr>
        <w:t xml:space="preserve"> On both edges the band is genuinely wider.</w:t>
      </w:r>
    </w:p>
    <w:p>
      <w:pPr>
        <w:spacing w:before="0" w:after="80" w:line="240" w:lineRule="auto"/>
        <w:jc w:val="both"/>
      </w:pPr>
      <w:r>
        <w:rPr>
          <w:rFonts w:ascii="Palatino Linotype" w:hAnsi="Palatino Linotype" w:eastAsia="Palatino Linotype"/>
          <w:b/>
          <w:i w:val="0"/>
          <w:sz w:val="20"/>
        </w:rPr>
        <w:t>Inside the band, against the other hybrids, the claim splits and one half of it fails.</w:t>
      </w:r>
      <w:r>
        <w:rPr>
          <w:rFonts w:ascii="Palatino Linotype" w:hAnsi="Palatino Linotype" w:eastAsia="Palatino Linotype"/>
          <w:b w:val="0"/>
          <w:i w:val="0"/>
          <w:sz w:val="20"/>
        </w:rPr>
        <w:t xml:space="preserve"> Once the free-wheeling drag of the attitude rotors is charged, this configuration retains 0.632 of its clean cruise efficiency against the lift-plus-cruise layout's 0.765. </w:t>
      </w:r>
      <w:r>
        <w:rPr>
          <w:rFonts w:ascii="Palatino Linotype" w:hAnsi="Palatino Linotype" w:eastAsia="Palatino Linotype"/>
          <w:b/>
          <w:i w:val="0"/>
          <w:sz w:val="20"/>
        </w:rPr>
        <w:t>It surrenders more cruise efficiency, not less</w:t>
      </w:r>
      <w:r>
        <w:rPr>
          <w:rFonts w:ascii="Palatino Linotype" w:hAnsi="Palatino Linotype" w:eastAsia="Palatino Linotype"/>
          <w:b w:val="0"/>
          <w:i w:val="0"/>
          <w:sz w:val="20"/>
        </w:rPr>
        <w:t xml:space="preserve">, so on the range axis it does not widen the band against that layout — and Section 3.6 measures the consequence, a range deficit of 24 to 45 percent under equal fuel fractions. What it does hold is the mass axis, by 32 to 36 percent across the same bracket. </w:t>
      </w:r>
      <w:r>
        <w:rPr>
          <w:rFonts w:ascii="Palatino Linotype" w:hAnsi="Palatino Linotype" w:eastAsia="Palatino Linotype"/>
          <w:b/>
          <w:i w:val="0"/>
          <w:sz w:val="20"/>
        </w:rPr>
        <w:t>The band is widened on one axis and not the other, and which one matters is the sizing contract's question rather than the architecture's</w:t>
      </w:r>
      <w:r>
        <w:rPr>
          <w:rFonts w:ascii="Palatino Linotype" w:hAnsi="Palatino Linotype" w:eastAsia="Palatino Linotype"/>
          <w:b w:val="0"/>
          <w:i w:val="0"/>
          <w:sz w:val="20"/>
        </w:rPr>
        <w:t xml:space="preserve"> — which is this paper's central result arriving at its own case.</w:t>
      </w:r>
    </w:p>
    <w:p>
      <w:pPr>
        <w:spacing w:before="0" w:after="80" w:line="240" w:lineRule="auto"/>
        <w:jc w:val="both"/>
      </w:pPr>
      <w:r>
        <w:rPr>
          <w:rFonts w:ascii="Palatino Linotype" w:hAnsi="Palatino Linotype" w:eastAsia="Palatino Linotype"/>
          <w:b w:val="0"/>
          <w:i w:val="0"/>
          <w:sz w:val="20"/>
        </w:rPr>
        <w:t>This is a configuration study. It contains no experimental validation of any kind, and the numbers in it are the output of elementary methods applied to a set of assumptions. This section states what those limits are, in enough detail that a reader can judge how much weight each result will bear. Several of the items below were discovered during the study and changed its results; they are recorded here rather than smoothed away.</w:t>
      </w:r>
    </w:p>
    <w:p>
      <w:pPr>
        <w:spacing w:before="200" w:after="80"/>
      </w:pPr>
      <w:r>
        <w:rPr>
          <w:rFonts w:ascii="Palatino Linotype" w:hAnsi="Palatino Linotype" w:eastAsia="Palatino Linotype"/>
          <w:b/>
          <w:i w:val="0"/>
          <w:sz w:val="22"/>
        </w:rPr>
        <w:t>4.3 What is not shown</w:t>
      </w:r>
    </w:p>
    <w:p>
      <w:pPr>
        <w:spacing w:before="0" w:after="80" w:line="240" w:lineRule="auto"/>
        <w:jc w:val="both"/>
      </w:pPr>
      <w:r>
        <w:rPr>
          <w:rFonts w:ascii="Palatino Linotype" w:hAnsi="Palatino Linotype" w:eastAsia="Palatino Linotype"/>
          <w:b/>
          <w:i w:val="0"/>
          <w:sz w:val="20"/>
        </w:rPr>
        <w:t>No part of this study has been validated experimentally.</w:t>
      </w:r>
      <w:r>
        <w:rPr>
          <w:rFonts w:ascii="Palatino Linotype" w:hAnsi="Palatino Linotype" w:eastAsia="Palatino Linotype"/>
          <w:b w:val="0"/>
          <w:i w:val="0"/>
          <w:sz w:val="20"/>
        </w:rPr>
        <w:t xml:space="preserve"> No wind-tunnel test, no flight test, no hardware. Everything here is calculation, and the calculations rest on assumptions stated in the sections that use them. Supplementary S5 enumerates every limitation item by item with the break-even value of each assumption that has one. This section states the ones that bear on the conclusions.</w:t>
      </w:r>
    </w:p>
    <w:p>
      <w:pPr>
        <w:spacing w:before="200" w:after="80"/>
      </w:pPr>
      <w:r>
        <w:rPr>
          <w:rFonts w:ascii="Palatino Linotype" w:hAnsi="Palatino Linotype" w:eastAsia="Palatino Linotype"/>
          <w:b/>
          <w:i w:val="0"/>
          <w:sz w:val="22"/>
        </w:rPr>
        <w:t>4.4 The three that could change a conclusion</w:t>
      </w:r>
    </w:p>
    <w:p>
      <w:pPr>
        <w:spacing w:before="0" w:after="80" w:line="240" w:lineRule="auto"/>
        <w:jc w:val="both"/>
      </w:pPr>
      <w:r>
        <w:rPr>
          <w:rFonts w:ascii="Palatino Linotype" w:hAnsi="Palatino Linotype" w:eastAsia="Palatino Linotype"/>
          <w:b/>
          <w:i w:val="0"/>
          <w:sz w:val="20"/>
        </w:rPr>
        <w:t>The buffer's specific power is the most exposed number in the paper.</w:t>
      </w:r>
      <w:r>
        <w:rPr>
          <w:rFonts w:ascii="Palatino Linotype" w:hAnsi="Palatino Linotype" w:eastAsia="Palatino Linotype"/>
          <w:b w:val="0"/>
          <w:i w:val="0"/>
          <w:sz w:val="20"/>
        </w:rPr>
        <w:t xml:space="preserve"> Bill 3 is avoided by sizing the engine for cruise and supplying the hover excess from a battery buffer, and the light design's buffer implies </w:t>
      </w:r>
      <w:r>
        <w:rPr>
          <w:rFonts w:ascii="Palatino Linotype" w:hAnsi="Palatino Linotype" w:eastAsia="Palatino Linotype"/>
          <w:b/>
          <w:i w:val="0"/>
          <w:sz w:val="20"/>
        </w:rPr>
        <w:t>5.63 kW kg⁻¹</w:t>
      </w:r>
      <w:r>
        <w:rPr>
          <w:rFonts w:ascii="Palatino Linotype" w:hAnsi="Palatino Linotype" w:eastAsia="Palatino Linotype"/>
          <w:b w:val="0"/>
          <w:i w:val="0"/>
          <w:sz w:val="20"/>
        </w:rPr>
        <w:t xml:space="preserve"> to hover and </w:t>
      </w:r>
      <w:r>
        <w:rPr>
          <w:rFonts w:ascii="Palatino Linotype" w:hAnsi="Palatino Linotype" w:eastAsia="Palatino Linotype"/>
          <w:b/>
          <w:i w:val="0"/>
          <w:sz w:val="20"/>
        </w:rPr>
        <w:t>6.48 kW kg⁻¹</w:t>
      </w:r>
      <w:r>
        <w:rPr>
          <w:rFonts w:ascii="Palatino Linotype" w:hAnsi="Palatino Linotype" w:eastAsia="Palatino Linotype"/>
          <w:b w:val="0"/>
          <w:i w:val="0"/>
          <w:sz w:val="20"/>
        </w:rPr>
        <w:t xml:space="preserve"> to leave the ground. Both figures are taken at the electrical bus, where the buffer is; an earlier version of this paper differenced the rotor shaft against the engine shaft and reported 4.61, which understated the demand by a fifth. A 24S nickel–cobalt–manganese pack designed, built, bench-tested from 0.2 C to 10.68 C and flown in an electric VTOL aircraft measures </w:t>
      </w:r>
      <w:r>
        <w:rPr>
          <w:rFonts w:ascii="Palatino Linotype" w:hAnsi="Palatino Linotype" w:eastAsia="Palatino Linotype"/>
          <w:b/>
          <w:i w:val="0"/>
          <w:sz w:val="20"/>
        </w:rPr>
        <w:t>724 W kg⁻¹</w:t>
      </w:r>
      <w:r>
        <w:rPr>
          <w:rFonts w:ascii="Palatino Linotype" w:hAnsi="Palatino Linotype" w:eastAsia="Palatino Linotype"/>
          <w:b w:val="0"/>
          <w:i w:val="0"/>
          <w:sz w:val="20"/>
        </w:rPr>
        <w:t xml:space="preserve"> continuous for the unit pack and </w:t>
      </w:r>
      <w:r>
        <w:rPr>
          <w:rFonts w:ascii="Palatino Linotype" w:hAnsi="Palatino Linotype" w:eastAsia="Palatino Linotype"/>
          <w:b/>
          <w:i w:val="0"/>
          <w:sz w:val="20"/>
        </w:rPr>
        <w:t>892 W kg⁻¹</w:t>
      </w:r>
      <w:r>
        <w:rPr>
          <w:rFonts w:ascii="Palatino Linotype" w:hAnsi="Palatino Linotype" w:eastAsia="Palatino Linotype"/>
          <w:b w:val="0"/>
          <w:i w:val="0"/>
          <w:sz w:val="20"/>
        </w:rPr>
        <w:t xml:space="preserve"> for the flight system, reaching roughly 1.5 kW kg⁻¹ at its maximum tested rate with a thermal margin of 4.9 °C [47]. A NASA-funded design study adopts 4 kW kg⁻¹ and states that this is "about twice that of existing batteries" [48]. The defence available earlier — that a short-duration buffer is a different product from an energy-optimised automotive pack — does not survive, because the source above </w:t>
      </w:r>
      <w:r>
        <w:rPr>
          <w:rFonts w:ascii="Palatino Linotype" w:hAnsi="Palatino Linotype" w:eastAsia="Palatino Linotype"/>
          <w:b w:val="0"/>
          <w:i/>
          <w:sz w:val="20"/>
        </w:rPr>
        <w:t>is</w:t>
      </w:r>
      <w:r>
        <w:rPr>
          <w:rFonts w:ascii="Palatino Linotype" w:hAnsi="Palatino Linotype" w:eastAsia="Palatino Linotype"/>
          <w:b w:val="0"/>
          <w:i w:val="0"/>
          <w:sz w:val="20"/>
        </w:rPr>
        <w:t xml:space="preserve"> that product.</w:t>
      </w:r>
    </w:p>
    <w:p>
      <w:pPr>
        <w:spacing w:before="0" w:after="80" w:line="240" w:lineRule="auto"/>
        <w:jc w:val="both"/>
      </w:pPr>
      <w:r>
        <w:rPr>
          <w:rFonts w:ascii="Palatino Linotype" w:hAnsi="Palatino Linotype" w:eastAsia="Palatino Linotype"/>
          <w:b/>
          <w:i w:val="0"/>
          <w:sz w:val="20"/>
        </w:rPr>
        <w:t>An earlier version of this section then compared a 6.8 kg buffer against 2.2 kg of unallocated mass and concluded that the budget does not close at any measured specific power. That comparison was a subtraction inside a box that had been sized on the number being replaced, and the conclusion drawn from it was too strong.</w:t>
      </w:r>
      <w:r>
        <w:rPr>
          <w:rFonts w:ascii="Palatino Linotype" w:hAnsi="Palatino Linotype" w:eastAsia="Palatino Linotype"/>
          <w:b w:val="0"/>
          <w:i w:val="0"/>
          <w:sz w:val="20"/>
        </w:rPr>
        <w:t xml:space="preserve"> A heavier buffer raises take-off mass, which raises hover power, which raises the buffer again; at constant disc loading that feedback is linear rather than divergent, so it accumulates to a finite answer and the answer is not where the subtraction pointed. Closing the loop — holding wing and disc loading, holding the fuel fraction so that range is preserved, and rebuilding the component budget at each step — gives (Table 22):</w:t>
      </w:r>
    </w:p>
    <w:p>
      <w:pPr>
        <w:spacing w:before="0" w:after="80" w:line="240" w:lineRule="auto"/>
        <w:jc w:val="both"/>
        <w:keepNext/>
      </w:pPr>
      <w:r>
        <w:rPr>
          <w:rFonts w:ascii="Palatino Linotype" w:hAnsi="Palatino Linotype" w:eastAsia="Palatino Linotype"/>
          <w:b/>
          <w:i w:val="0"/>
          <w:sz w:val="20"/>
        </w:rPr>
        <w:t>Table 22.</w:t>
      </w:r>
      <w:r>
        <w:rPr>
          <w:rFonts w:ascii="Palatino Linotype" w:hAnsi="Palatino Linotype" w:eastAsia="Palatino Linotype"/>
          <w:b w:val="0"/>
          <w:i w:val="0"/>
          <w:sz w:val="20"/>
        </w:rPr>
        <w:t xml:space="preserve"> Take-off mass, buffer mass, range and payload as the buffer specific power is varied, with the sizing loop closed at each step.</w:t>
      </w:r>
    </w:p>
    <w:tbl>
      <w:tblPr>
        <w:tblStyle w:val="TableGrid"/>
        <w:tblW w:type="auto" w:w="0"/>
        <w:jc w:val="center"/>
        <w:tblLook w:firstColumn="1" w:firstRow="1" w:lastColumn="0" w:lastRow="0" w:noHBand="0" w:noVBand="1" w:val="04A0"/>
      </w:tblPr>
      <w:tblGrid>
        <w:gridCol w:w="1994"/>
        <w:gridCol w:w="1994"/>
        <w:gridCol w:w="1994"/>
        <w:gridCol w:w="1994"/>
        <w:gridCol w:w="1994"/>
      </w:tblGrid>
      <w:tr>
        <w:trPr>
          <w:cantSplit/>
          <w:tblHeader/>
        </w:trPr>
        <w:tc>
          <w:tcPr>
            <w:tcW w:type="dxa" w:w="1994"/>
          </w:tcPr>
          <w:p>
            <w:pPr>
              <w:spacing w:before="20" w:after="20"/>
            </w:pPr>
            <w:r/>
            <w:r>
              <w:rPr>
                <w:rFonts w:ascii="Palatino Linotype" w:hAnsi="Palatino Linotype" w:eastAsia="Palatino Linotype"/>
                <w:b/>
                <w:i w:val="0"/>
                <w:sz w:val="18"/>
              </w:rPr>
              <w:t>Buffer specific power</w:t>
            </w:r>
          </w:p>
        </w:tc>
        <w:tc>
          <w:tcPr>
            <w:tcW w:type="dxa" w:w="1994"/>
          </w:tcPr>
          <w:p>
            <w:pPr>
              <w:spacing w:before="20" w:after="20"/>
            </w:pPr>
            <w:r/>
            <w:r>
              <w:rPr>
                <w:rFonts w:ascii="Palatino Linotype" w:hAnsi="Palatino Linotype" w:eastAsia="Palatino Linotype"/>
                <w:b/>
                <w:i w:val="0"/>
                <w:sz w:val="18"/>
              </w:rPr>
              <w:t>Take-off mass at 13 kg payload</w:t>
            </w:r>
          </w:p>
        </w:tc>
        <w:tc>
          <w:tcPr>
            <w:tcW w:type="dxa" w:w="1994"/>
          </w:tcPr>
          <w:p>
            <w:pPr>
              <w:spacing w:before="20" w:after="20"/>
            </w:pPr>
            <w:r/>
            <w:r>
              <w:rPr>
                <w:rFonts w:ascii="Palatino Linotype" w:hAnsi="Palatino Linotype" w:eastAsia="Palatino Linotype"/>
                <w:b/>
                <w:i w:val="0"/>
                <w:sz w:val="18"/>
              </w:rPr>
              <w:t>Buffer</w:t>
            </w:r>
          </w:p>
        </w:tc>
        <w:tc>
          <w:tcPr>
            <w:tcW w:type="dxa" w:w="1994"/>
          </w:tcPr>
          <w:p>
            <w:pPr>
              <w:spacing w:before="20" w:after="20"/>
            </w:pPr>
            <w:r/>
            <w:r>
              <w:rPr>
                <w:rFonts w:ascii="Palatino Linotype" w:hAnsi="Palatino Linotype" w:eastAsia="Palatino Linotype"/>
                <w:b/>
                <w:i w:val="0"/>
                <w:sz w:val="18"/>
              </w:rPr>
              <w:t>Range</w:t>
            </w:r>
          </w:p>
        </w:tc>
        <w:tc>
          <w:tcPr>
            <w:tcW w:type="dxa" w:w="1994"/>
          </w:tcPr>
          <w:p>
            <w:pPr>
              <w:spacing w:before="20" w:after="20"/>
            </w:pPr>
            <w:r/>
            <w:r>
              <w:rPr>
                <w:rFonts w:ascii="Palatino Linotype" w:hAnsi="Palatino Linotype" w:eastAsia="Palatino Linotype"/>
                <w:b/>
                <w:i w:val="0"/>
                <w:sz w:val="18"/>
              </w:rPr>
              <w:t>Payload if held at 50 kg</w:t>
            </w:r>
          </w:p>
        </w:tc>
      </w:tr>
      <w:tr>
        <w:trPr>
          <w:cantSplit/>
        </w:trPr>
        <w:tc>
          <w:tcPr>
            <w:tcW w:type="dxa" w:w="1994"/>
          </w:tcPr>
          <w:p>
            <w:pPr>
              <w:spacing w:before="20" w:after="20"/>
            </w:pPr>
            <w:r/>
            <w:r>
              <w:rPr>
                <w:rFonts w:ascii="Palatino Linotype" w:hAnsi="Palatino Linotype" w:eastAsia="Palatino Linotype"/>
                <w:b w:val="0"/>
                <w:i w:val="0"/>
                <w:sz w:val="18"/>
              </w:rPr>
              <w:t>0.724 kW kg⁻¹, measured continuous</w:t>
            </w:r>
          </w:p>
        </w:tc>
        <w:tc>
          <w:tcPr>
            <w:tcW w:type="dxa" w:w="1994"/>
          </w:tcPr>
          <w:p>
            <w:pPr>
              <w:spacing w:before="20" w:after="20"/>
            </w:pPr>
            <w:r/>
            <w:r>
              <w:rPr>
                <w:rFonts w:ascii="Palatino Linotype" w:hAnsi="Palatino Linotype" w:eastAsia="Palatino Linotype"/>
                <w:b/>
                <w:i w:val="0"/>
                <w:sz w:val="18"/>
              </w:rPr>
              <w:t>no solution</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w:t>
            </w:r>
          </w:p>
        </w:tc>
        <w:tc>
          <w:tcPr>
            <w:tcW w:type="dxa" w:w="1994"/>
          </w:tcPr>
          <w:p>
            <w:pPr>
              <w:spacing w:before="20" w:after="20"/>
            </w:pPr>
            <w:r/>
            <w:r>
              <w:rPr>
                <w:rFonts w:ascii="Palatino Linotype" w:hAnsi="Palatino Linotype" w:eastAsia="Palatino Linotype"/>
                <w:b w:val="0"/>
                <w:i w:val="0"/>
                <w:sz w:val="18"/>
              </w:rPr>
              <w:t>0.9 kg</w:t>
            </w:r>
          </w:p>
        </w:tc>
      </w:tr>
      <w:tr>
        <w:trPr>
          <w:cantSplit/>
        </w:trPr>
        <w:tc>
          <w:tcPr>
            <w:tcW w:type="dxa" w:w="1994"/>
          </w:tcPr>
          <w:p>
            <w:pPr>
              <w:spacing w:before="20" w:after="20"/>
            </w:pPr>
            <w:r/>
            <w:r>
              <w:rPr>
                <w:rFonts w:ascii="Palatino Linotype" w:hAnsi="Palatino Linotype" w:eastAsia="Palatino Linotype"/>
                <w:b w:val="0"/>
                <w:i w:val="0"/>
                <w:sz w:val="18"/>
              </w:rPr>
              <w:t>0.892 kW kg⁻¹, measured continuous</w:t>
            </w:r>
          </w:p>
        </w:tc>
        <w:tc>
          <w:tcPr>
            <w:tcW w:type="dxa" w:w="1994"/>
          </w:tcPr>
          <w:p>
            <w:pPr>
              <w:spacing w:before="20" w:after="20"/>
            </w:pPr>
            <w:r/>
            <w:r>
              <w:rPr>
                <w:rFonts w:ascii="Palatino Linotype" w:hAnsi="Palatino Linotype" w:eastAsia="Palatino Linotype"/>
                <w:b w:val="0"/>
                <w:i w:val="0"/>
                <w:sz w:val="18"/>
              </w:rPr>
              <w:t>162.0 kg</w:t>
            </w:r>
          </w:p>
        </w:tc>
        <w:tc>
          <w:tcPr>
            <w:tcW w:type="dxa" w:w="1994"/>
          </w:tcPr>
          <w:p>
            <w:pPr>
              <w:spacing w:before="20" w:after="20"/>
            </w:pPr>
            <w:r/>
            <w:r>
              <w:rPr>
                <w:rFonts w:ascii="Palatino Linotype" w:hAnsi="Palatino Linotype" w:eastAsia="Palatino Linotype"/>
                <w:b w:val="0"/>
                <w:i w:val="0"/>
                <w:sz w:val="18"/>
              </w:rPr>
              <w:t>42.4 kg</w:t>
            </w:r>
          </w:p>
        </w:tc>
        <w:tc>
          <w:tcPr>
            <w:tcW w:type="dxa" w:w="1994"/>
          </w:tcPr>
          <w:p>
            <w:pPr>
              <w:spacing w:before="20" w:after="20"/>
            </w:pPr>
            <w:r/>
            <w:r>
              <w:rPr>
                <w:rFonts w:ascii="Palatino Linotype" w:hAnsi="Palatino Linotype" w:eastAsia="Palatino Linotype"/>
                <w:b w:val="0"/>
                <w:i w:val="0"/>
                <w:sz w:val="18"/>
              </w:rPr>
              <w:t>1 600 km</w:t>
            </w:r>
          </w:p>
        </w:tc>
        <w:tc>
          <w:tcPr>
            <w:tcW w:type="dxa" w:w="1994"/>
          </w:tcPr>
          <w:p>
            <w:pPr>
              <w:spacing w:before="20" w:after="20"/>
            </w:pPr>
            <w:r/>
            <w:r>
              <w:rPr>
                <w:rFonts w:ascii="Palatino Linotype" w:hAnsi="Palatino Linotype" w:eastAsia="Palatino Linotype"/>
                <w:b w:val="0"/>
                <w:i w:val="0"/>
                <w:sz w:val="18"/>
              </w:rPr>
              <w:t>3.9 kg</w:t>
            </w:r>
          </w:p>
        </w:tc>
      </w:tr>
      <w:tr>
        <w:trPr>
          <w:cantSplit/>
        </w:trPr>
        <w:tc>
          <w:tcPr>
            <w:tcW w:type="dxa" w:w="1994"/>
          </w:tcPr>
          <w:p>
            <w:pPr>
              <w:spacing w:before="20" w:after="20"/>
            </w:pPr>
            <w:r/>
            <w:r>
              <w:rPr>
                <w:rFonts w:ascii="Palatino Linotype" w:hAnsi="Palatino Linotype" w:eastAsia="Palatino Linotype"/>
                <w:b/>
                <w:i w:val="0"/>
                <w:sz w:val="18"/>
              </w:rPr>
              <w:t>1.5 kW kg⁻¹, measured thermal ceiling</w:t>
            </w:r>
          </w:p>
        </w:tc>
        <w:tc>
          <w:tcPr>
            <w:tcW w:type="dxa" w:w="1994"/>
          </w:tcPr>
          <w:p>
            <w:pPr>
              <w:spacing w:before="20" w:after="20"/>
            </w:pPr>
            <w:r/>
            <w:r>
              <w:rPr>
                <w:rFonts w:ascii="Palatino Linotype" w:hAnsi="Palatino Linotype" w:eastAsia="Palatino Linotype"/>
                <w:b/>
                <w:i w:val="0"/>
                <w:sz w:val="18"/>
              </w:rPr>
              <w:t>68.9 kg</w:t>
            </w:r>
          </w:p>
        </w:tc>
        <w:tc>
          <w:tcPr>
            <w:tcW w:type="dxa" w:w="1994"/>
          </w:tcPr>
          <w:p>
            <w:pPr>
              <w:spacing w:before="20" w:after="20"/>
            </w:pPr>
            <w:r/>
            <w:r>
              <w:rPr>
                <w:rFonts w:ascii="Palatino Linotype" w:hAnsi="Palatino Linotype" w:eastAsia="Palatino Linotype"/>
                <w:b/>
                <w:i w:val="0"/>
                <w:sz w:val="18"/>
              </w:rPr>
              <w:t>10.7 kg</w:t>
            </w:r>
          </w:p>
        </w:tc>
        <w:tc>
          <w:tcPr>
            <w:tcW w:type="dxa" w:w="1994"/>
          </w:tcPr>
          <w:p>
            <w:pPr>
              <w:spacing w:before="20" w:after="20"/>
            </w:pPr>
            <w:r/>
            <w:r>
              <w:rPr>
                <w:rFonts w:ascii="Palatino Linotype" w:hAnsi="Palatino Linotype" w:eastAsia="Palatino Linotype"/>
                <w:b/>
                <w:i w:val="0"/>
                <w:sz w:val="18"/>
              </w:rPr>
              <w:t>1 600 km</w:t>
            </w:r>
          </w:p>
        </w:tc>
        <w:tc>
          <w:tcPr>
            <w:tcW w:type="dxa" w:w="1994"/>
          </w:tcPr>
          <w:p>
            <w:pPr>
              <w:spacing w:before="20" w:after="20"/>
            </w:pPr>
            <w:r/>
            <w:r>
              <w:rPr>
                <w:rFonts w:ascii="Palatino Linotype" w:hAnsi="Palatino Linotype" w:eastAsia="Palatino Linotype"/>
                <w:b/>
                <w:i w:val="0"/>
                <w:sz w:val="18"/>
              </w:rPr>
              <w:t>9.2 kg</w:t>
            </w:r>
          </w:p>
        </w:tc>
      </w:tr>
      <w:tr>
        <w:trPr>
          <w:cantSplit/>
        </w:trPr>
        <w:tc>
          <w:tcPr>
            <w:tcW w:type="dxa" w:w="1994"/>
          </w:tcPr>
          <w:p>
            <w:pPr>
              <w:spacing w:before="20" w:after="20"/>
            </w:pPr>
            <w:r/>
            <w:r>
              <w:rPr>
                <w:rFonts w:ascii="Palatino Linotype" w:hAnsi="Palatino Linotype" w:eastAsia="Palatino Linotype"/>
                <w:b w:val="0"/>
                <w:i w:val="0"/>
                <w:sz w:val="18"/>
              </w:rPr>
              <w:t>5.63 kW kg⁻¹, assumed here</w:t>
            </w:r>
          </w:p>
        </w:tc>
        <w:tc>
          <w:tcPr>
            <w:tcW w:type="dxa" w:w="1994"/>
          </w:tcPr>
          <w:p>
            <w:pPr>
              <w:spacing w:before="20" w:after="20"/>
            </w:pPr>
            <w:r/>
            <w:r>
              <w:rPr>
                <w:rFonts w:ascii="Palatino Linotype" w:hAnsi="Palatino Linotype" w:eastAsia="Palatino Linotype"/>
                <w:b w:val="0"/>
                <w:i w:val="0"/>
                <w:sz w:val="18"/>
              </w:rPr>
              <w:t>50.0 kg</w:t>
            </w:r>
          </w:p>
        </w:tc>
        <w:tc>
          <w:tcPr>
            <w:tcW w:type="dxa" w:w="1994"/>
          </w:tcPr>
          <w:p>
            <w:pPr>
              <w:spacing w:before="20" w:after="20"/>
            </w:pPr>
            <w:r/>
            <w:r>
              <w:rPr>
                <w:rFonts w:ascii="Palatino Linotype" w:hAnsi="Palatino Linotype" w:eastAsia="Palatino Linotype"/>
                <w:b w:val="0"/>
                <w:i w:val="0"/>
                <w:sz w:val="18"/>
              </w:rPr>
              <w:t>1.8 kg</w:t>
            </w:r>
          </w:p>
        </w:tc>
        <w:tc>
          <w:tcPr>
            <w:tcW w:type="dxa" w:w="1994"/>
          </w:tcPr>
          <w:p>
            <w:pPr>
              <w:spacing w:before="20" w:after="20"/>
            </w:pPr>
            <w:r/>
            <w:r>
              <w:rPr>
                <w:rFonts w:ascii="Palatino Linotype" w:hAnsi="Palatino Linotype" w:eastAsia="Palatino Linotype"/>
                <w:b w:val="0"/>
                <w:i w:val="0"/>
                <w:sz w:val="18"/>
              </w:rPr>
              <w:t>1 600 km</w:t>
            </w:r>
          </w:p>
        </w:tc>
        <w:tc>
          <w:tcPr>
            <w:tcW w:type="dxa" w:w="1994"/>
          </w:tcPr>
          <w:p>
            <w:pPr>
              <w:spacing w:before="20" w:after="20"/>
            </w:pPr>
            <w:r/>
            <w:r>
              <w:rPr>
                <w:rFonts w:ascii="Palatino Linotype" w:hAnsi="Palatino Linotype" w:eastAsia="Palatino Linotype"/>
                <w:b w:val="0"/>
                <w:i w:val="0"/>
                <w:sz w:val="18"/>
              </w:rPr>
              <w:t>13.0 kg</w:t>
            </w:r>
          </w:p>
        </w:tc>
      </w:tr>
    </w:tbl>
    <w:p/>
    <w:p>
      <w:pPr>
        <w:spacing w:before="0" w:after="80" w:line="240" w:lineRule="auto"/>
        <w:jc w:val="both"/>
      </w:pPr>
      <w:r>
        <w:rPr>
          <w:rFonts w:ascii="Palatino Linotype" w:hAnsi="Palatino Linotype" w:eastAsia="Palatino Linotype"/>
          <w:b w:val="0"/>
          <w:i/>
          <w:sz w:val="20"/>
        </w:rPr>
        <w:t>The range column is constant by construction: the loop holds the fuel fraction so that range is preserved while mass is solved for. Its value is the published one; on the drag bracket of Section 3.6 the same column would read 1 173 to 1 442 km throughout, without changing any mass in the table.</w:t>
      </w:r>
    </w:p>
    <w:p>
      <w:pPr>
        <w:spacing w:before="0" w:after="80" w:line="240" w:lineRule="auto"/>
        <w:jc w:val="both"/>
      </w:pPr>
      <w:r>
        <w:rPr>
          <w:rFonts w:ascii="Palatino Linotype" w:hAnsi="Palatino Linotype" w:eastAsia="Palatino Linotype"/>
          <w:b w:val="0"/>
          <w:i w:val="0"/>
          <w:sz w:val="20"/>
        </w:rPr>
        <w:t xml:space="preserve">The right-hand column is the same loop run the other way and it needs its arithmetic stated, because the figure is not a subtraction from the payload. Take-off demand at 50 kg is 11.66 kW at the bus, so a 1.5 kW kg⁻¹ buffer masses 7.78 kg against the 1.8 kg already budgeted. The extra 5.98 kg does not come off the 13 kg payload directly: the component build-up leaves </w:t>
      </w:r>
      <w:r>
        <w:rPr>
          <w:rFonts w:ascii="Palatino Linotype" w:hAnsi="Palatino Linotype" w:eastAsia="Palatino Linotype"/>
          <w:b/>
          <w:i w:val="0"/>
          <w:sz w:val="20"/>
        </w:rPr>
        <w:t>2.2 kg unallocated above the payload</w:t>
      </w:r>
      <w:r>
        <w:rPr>
          <w:rFonts w:ascii="Palatino Linotype" w:hAnsi="Palatino Linotype" w:eastAsia="Palatino Linotype"/>
          <w:b w:val="0"/>
          <w:i w:val="0"/>
          <w:sz w:val="20"/>
        </w:rPr>
        <w:t xml:space="preserve">, and the buffer takes that first. Payload falls by the remaining 3.8 kg, to 9.2. </w:t>
      </w:r>
      <w:r>
        <w:rPr>
          <w:rFonts w:ascii="Palatino Linotype" w:hAnsi="Palatino Linotype" w:eastAsia="Palatino Linotype"/>
          <w:b/>
          <w:i w:val="0"/>
          <w:sz w:val="20"/>
        </w:rPr>
        <w:t>That figure therefore spends the whole of the structural margin</w:t>
      </w:r>
      <w:r>
        <w:rPr>
          <w:rFonts w:ascii="Palatino Linotype" w:hAnsi="Palatino Linotype" w:eastAsia="Palatino Linotype"/>
          <w:b w:val="0"/>
          <w:i w:val="0"/>
          <w:sz w:val="20"/>
        </w:rPr>
        <w:t xml:space="preserve"> — the 2.2 kg into which Section 4.4 below says buckling, torsion, local load introduction, fasteners, adhesive and paint must all fit. Read without that condition the column is too kind by 2.2 kg.</w:t>
      </w:r>
    </w:p>
    <w:p>
      <w:pPr>
        <w:spacing w:before="0" w:after="80" w:line="240" w:lineRule="auto"/>
        <w:jc w:val="both"/>
      </w:pPr>
      <w:r>
        <w:rPr>
          <w:rFonts w:ascii="Palatino Linotype" w:hAnsi="Palatino Linotype" w:eastAsia="Palatino Linotype"/>
          <w:b/>
          <w:i w:val="0"/>
          <w:sz w:val="20"/>
        </w:rPr>
        <w:t>At the highest rate yet measured on a flown pack the aircraft exists.</w:t>
      </w:r>
      <w:r>
        <w:rPr>
          <w:rFonts w:ascii="Palatino Linotype" w:hAnsi="Palatino Linotype" w:eastAsia="Palatino Linotype"/>
          <w:b w:val="0"/>
          <w:i w:val="0"/>
          <w:sz w:val="20"/>
        </w:rPr>
        <w:t xml:space="preserve"> It is 38 percent heavier than the reference design, it carries a buffer of 15.6 percent of take-off mass rather than 3.6, and its range is unchanged because the fuel fraction is what sets range. Held instead at 50 kg, it carries 9.2 kg rather than 13. At the pack's </w:t>
      </w:r>
      <w:r>
        <w:rPr>
          <w:rFonts w:ascii="Palatino Linotype" w:hAnsi="Palatino Linotype" w:eastAsia="Palatino Linotype"/>
          <w:b w:val="0"/>
          <w:i/>
          <w:sz w:val="20"/>
        </w:rPr>
        <w:t>continuous</w:t>
      </w:r>
      <w:r>
        <w:rPr>
          <w:rFonts w:ascii="Palatino Linotype" w:hAnsi="Palatino Linotype" w:eastAsia="Palatino Linotype"/>
          <w:b w:val="0"/>
          <w:i w:val="0"/>
          <w:sz w:val="20"/>
        </w:rPr>
        <w:t xml:space="preserve"> rating the loop does not converge at all for the take-off demand, so the sharper statement survives there.</w:t>
      </w:r>
    </w:p>
    <w:p>
      <w:pPr>
        <w:spacing w:before="0" w:after="80" w:line="240" w:lineRule="auto"/>
        <w:jc w:val="both"/>
      </w:pPr>
      <w:r>
        <w:rPr>
          <w:rFonts w:ascii="Palatino Linotype" w:hAnsi="Palatino Linotype" w:eastAsia="Palatino Linotype"/>
          <w:b w:val="0"/>
          <w:i w:val="0"/>
          <w:sz w:val="20"/>
        </w:rPr>
        <w:t xml:space="preserve">The correction cuts both ways and both should be stated. The reference design is not unreachable, which is what the earlier sentence implied; and the comparison that opens this paper is made at 50 kg against a lift-plus-cruise layout at 86 kg, so an obvious reading is that at a measured pack the margin falls to 69 against 86 — twenty percent rather than forty-two. </w:t>
      </w:r>
      <w:r>
        <w:rPr>
          <w:rFonts w:ascii="Palatino Linotype" w:hAnsi="Palatino Linotype" w:eastAsia="Palatino Linotype"/>
          <w:b/>
          <w:i w:val="0"/>
          <w:sz w:val="20"/>
        </w:rPr>
        <w:t>That reading is wrong, and it is wrong in this configuration's favour, which is why it is corrected here rather than left standing.</w:t>
      </w:r>
      <w:r>
        <w:rPr>
          <w:rFonts w:ascii="Palatino Linotype" w:hAnsi="Palatino Linotype" w:eastAsia="Palatino Linotype"/>
          <w:b w:val="0"/>
          <w:i w:val="0"/>
          <w:sz w:val="20"/>
        </w:rPr>
        <w:t xml:space="preserve"> It grows A on the measured pack while holding B at a mass sized on the assumed one. Section 3.6 now re-sizes all three architectures on the same buffer fraction, and the lift-plus-cruise layout is the one that suffers: its hover power per unit mass is the highest of the three, the buffer feeds back through hover power, and somewhere between eighteen and twenty percent of take-off mass its budget stops closing altogether. </w:t>
      </w:r>
      <w:r>
        <w:rPr>
          <w:rFonts w:ascii="Palatino Linotype" w:hAnsi="Palatino Linotype" w:eastAsia="Palatino Linotype"/>
          <w:b/>
          <w:i w:val="0"/>
          <w:sz w:val="20"/>
        </w:rPr>
        <w:t>What the measured pack costs is not this architecture's margin but the competing architecture's existence.</w:t>
      </w:r>
      <w:r>
        <w:rPr>
          <w:rFonts w:ascii="Palatino Linotype" w:hAnsi="Palatino Linotype" w:eastAsia="Palatino Linotype"/>
          <w:b w:val="0"/>
          <w:i w:val="0"/>
          <w:sz w:val="20"/>
        </w:rPr>
        <w:t xml:space="preserve"> The figure that does move against this paper is the rotor drag of Section 3.3, which takes the mass margin from forty-two percent to between thirty-two and thirty-six, once both layouts are re-solved on the same drag at each end of the computed bracket, and reverses the range comparison under one of the three contracts.</w:t>
      </w:r>
    </w:p>
    <w:p>
      <w:pPr>
        <w:spacing w:before="0" w:after="80" w:line="240" w:lineRule="auto"/>
        <w:jc w:val="both"/>
      </w:pPr>
      <w:r>
        <w:rPr>
          <w:rFonts w:ascii="Palatino Linotype" w:hAnsi="Palatino Linotype" w:eastAsia="Palatino Linotype"/>
          <w:b/>
          <w:i w:val="0"/>
          <w:sz w:val="20"/>
        </w:rPr>
        <w:t>The aircraft leaves the ground on its control propellers, and that is a dependency rather than a design feature.</w:t>
      </w:r>
      <w:r>
        <w:rPr>
          <w:rFonts w:ascii="Palatino Linotype" w:hAnsi="Palatino Linotype" w:eastAsia="Palatino Linotype"/>
          <w:b w:val="0"/>
          <w:i w:val="0"/>
          <w:sz w:val="20"/>
        </w:rPr>
        <w:t xml:space="preserve"> Section 2.12 sizes hover power at thrust equal to weight, so the primary propulsor supplies T/W = 1.00 exactly and no more. The margin to take off comes from the four tip pairs, which raises the achievable ratio to 1.066 with full rotation authority retained and 1.132 with none — never to the 1.2 an earlier version of Section 3.15 assumed. Three things follow and none of them is closed here: the take-off margin and the attitude authority are drawn from the same four propellers and compete; the buffer must carry the tip pairs as well, which is the 6.48 kW kg⁻¹ above; and a rotation entered from rest, rather than from a climb, now loses 14.7 m at the light design's own two seconds. The entry climb of Section 3.15 is therefore a requirement of the configuration and not a refinement of it.</w:t>
      </w:r>
    </w:p>
    <w:p>
      <w:pPr>
        <w:spacing w:before="0" w:after="80" w:line="240" w:lineRule="auto"/>
        <w:jc w:val="both"/>
      </w:pPr>
      <w:r>
        <w:rPr>
          <w:rFonts w:ascii="Palatino Linotype" w:hAnsi="Palatino Linotype" w:eastAsia="Palatino Linotype"/>
          <w:b/>
          <w:i w:val="0"/>
          <w:sz w:val="20"/>
        </w:rPr>
        <w:t>The mass budget is bounded from below and the bound is thin.</w:t>
      </w:r>
      <w:r>
        <w:rPr>
          <w:rFonts w:ascii="Palatino Linotype" w:hAnsi="Palatino Linotype" w:eastAsia="Palatino Linotype"/>
          <w:b w:val="0"/>
          <w:i w:val="0"/>
          <w:sz w:val="20"/>
        </w:rPr>
        <w:t xml:space="preserve"> The component build-up of Supplementary S2 totals 11.88 kg against a 14.08 kg allowance, on the condition that average structural areal density does not exceed </w:t>
      </w:r>
      <w:r>
        <w:rPr>
          <w:rFonts w:ascii="Palatino Linotype" w:hAnsi="Palatino Linotype" w:eastAsia="Palatino Linotype"/>
          <w:b/>
          <w:i w:val="0"/>
          <w:sz w:val="20"/>
        </w:rPr>
        <w:t>1.78 kg m⁻²</w:t>
      </w:r>
      <w:r>
        <w:rPr>
          <w:rFonts w:ascii="Palatino Linotype" w:hAnsi="Palatino Linotype" w:eastAsia="Palatino Linotype"/>
          <w:b w:val="0"/>
          <w:i w:val="0"/>
          <w:sz w:val="20"/>
        </w:rPr>
        <w:t xml:space="preserve"> against the 1.5 assumed; at 1.78 the payload is gone. A doctoral study of UAV sizing reports 1.05 kg m⁻² for a small UAV's monolithic composite fuselage shell supported by internal structure [50], which places the assumption inside the range small composite airframes are built to without establishing that this airframe reaches it — that shell is carried by internal structure, while this one is the wing and carries flight loads directly. The build-up contains no buckling, torsion, local load introduction, aeroelastic sizing, fasteners, adhesive or paint, and 2.2 kg is what all of those must fit into. </w:t>
      </w:r>
      <w:r>
        <w:rPr>
          <w:rFonts w:ascii="Palatino Linotype" w:hAnsi="Palatino Linotype" w:eastAsia="Palatino Linotype"/>
          <w:b/>
          <w:i w:val="0"/>
          <w:sz w:val="20"/>
        </w:rPr>
        <w:t>Paper aircraft are habitually lighter than the aircraft that get built.</w:t>
      </w:r>
    </w:p>
    <w:p>
      <w:pPr>
        <w:spacing w:before="0" w:after="80" w:line="240" w:lineRule="auto"/>
        <w:jc w:val="both"/>
      </w:pPr>
      <w:r>
        <w:rPr>
          <w:rFonts w:ascii="Palatino Linotype" w:hAnsi="Palatino Linotype" w:eastAsia="Palatino Linotype"/>
          <w:b/>
          <w:i w:val="0"/>
          <w:sz w:val="20"/>
        </w:rPr>
        <w:t>The transition pitching moment is not computed, and Section 3.17 shows the computation is not currently reliable for anyone on this class of configuration.</w:t>
      </w:r>
      <w:r>
        <w:rPr>
          <w:rFonts w:ascii="Palatino Linotype" w:hAnsi="Palatino Linotype" w:eastAsia="Palatino Linotype"/>
          <w:b w:val="0"/>
          <w:i w:val="0"/>
          <w:sz w:val="20"/>
        </w:rPr>
        <w:t xml:space="preserve"> Three methods of three fidelities fail above roughly ten degrees of incidence, the highest of them against wind-tunnel measurement [39,44], and the incidences this aircraft passes through lie inside that band. </w:t>
      </w:r>
      <w:r>
        <w:rPr>
          <w:rFonts w:ascii="Palatino Linotype" w:hAnsi="Palatino Linotype" w:eastAsia="Palatino Linotype"/>
          <w:b/>
          <w:i w:val="0"/>
          <w:sz w:val="20"/>
        </w:rPr>
        <w:t>This item belongs to measurement.</w:t>
      </w:r>
      <w:r>
        <w:rPr>
          <w:rFonts w:ascii="Palatino Linotype" w:hAnsi="Palatino Linotype" w:eastAsia="Palatino Linotype"/>
          <w:b w:val="0"/>
          <w:i w:val="0"/>
          <w:sz w:val="20"/>
        </w:rPr>
        <w:t xml:space="preserve"> It asks for the pitching moment to about twenty-two degrees at low dynamic pressure, on the outboard half of the wing — the inboard half lies in the slipstream and sees four to eight degrees — and for trim at cruise incidence.</w:t>
      </w:r>
    </w:p>
    <w:p>
      <w:pPr>
        <w:spacing w:before="200" w:after="80"/>
      </w:pPr>
      <w:r>
        <w:rPr>
          <w:rFonts w:ascii="Palatino Linotype" w:hAnsi="Palatino Linotype" w:eastAsia="Palatino Linotype"/>
          <w:b/>
          <w:i w:val="0"/>
          <w:sz w:val="22"/>
        </w:rPr>
        <w:t>4.5 What is assumed rather than derived</w:t>
      </w:r>
    </w:p>
    <w:p>
      <w:pPr>
        <w:spacing w:before="0" w:after="80" w:line="240" w:lineRule="auto"/>
        <w:jc w:val="both"/>
      </w:pPr>
      <w:r>
        <w:rPr>
          <w:rFonts w:ascii="Palatino Linotype" w:hAnsi="Palatino Linotype" w:eastAsia="Palatino Linotype"/>
          <w:b w:val="0"/>
          <w:i w:val="0"/>
          <w:sz w:val="20"/>
        </w:rPr>
        <w:t xml:space="preserve">The planform's sweep, taper and thickness distributions were </w:t>
      </w:r>
      <w:r>
        <w:rPr>
          <w:rFonts w:ascii="Palatino Linotype" w:hAnsi="Palatino Linotype" w:eastAsia="Palatino Linotype"/>
          <w:b/>
          <w:i w:val="0"/>
          <w:sz w:val="20"/>
        </w:rPr>
        <w:t>chosen, not optimised</w:t>
      </w:r>
      <w:r>
        <w:rPr>
          <w:rFonts w:ascii="Palatino Linotype" w:hAnsi="Palatino Linotype" w:eastAsia="Palatino Linotype"/>
          <w:b w:val="0"/>
          <w:i w:val="0"/>
          <w:sz w:val="20"/>
        </w:rPr>
        <w:t xml:space="preserve">. The centre of gravity is a packaging assumption. The zero-lift drag coefficient of 0.0248 and the span efficiency of 0.85 are assumptions; Section 3.10 bounds both by calculation and neither replaces its assumption — the span efficiency computes to </w:t>
      </w:r>
      <w:r>
        <w:rPr>
          <w:rFonts w:ascii="Palatino Linotype" w:hAnsi="Palatino Linotype" w:eastAsia="Palatino Linotype"/>
          <w:b/>
          <w:i w:val="0"/>
          <w:sz w:val="20"/>
        </w:rPr>
        <w:t>0.817, optimistic by 3.9 percent</w:t>
      </w:r>
      <w:r>
        <w:rPr>
          <w:rFonts w:ascii="Palatino Linotype" w:hAnsi="Palatino Linotype" w:eastAsia="Palatino Linotype"/>
          <w:b w:val="0"/>
          <w:i w:val="0"/>
          <w:sz w:val="20"/>
        </w:rPr>
        <w:t xml:space="preserve">, worth 1.4 percent of cruise lift-to-drag ratio and of the ranges quoted. </w:t>
      </w:r>
      <w:r>
        <w:rPr>
          <w:rFonts w:ascii="Palatino Linotype" w:hAnsi="Palatino Linotype" w:eastAsia="Palatino Linotype"/>
          <w:b/>
          <w:i w:val="0"/>
          <w:sz w:val="20"/>
        </w:rPr>
        <w:t>The drag assumption is the more serious of the two and it moved this round.</w:t>
      </w:r>
      <w:r>
        <w:rPr>
          <w:rFonts w:ascii="Palatino Linotype" w:hAnsi="Palatino Linotype" w:eastAsia="Palatino Linotype"/>
          <w:b w:val="0"/>
          <w:i w:val="0"/>
          <w:sz w:val="20"/>
        </w:rPr>
        <w:t xml:space="preserve"> Counting the free-wheeling rotors of Section 3.3, which no earlier version of the build-up contained, puts the computed bracket at 0.0285 to 0.0381 with 0.0248 below both ends rather than above them. Every lift-to-drag ratio, range and architectural comparison in this paper is computed on 0.0248; </w:t>
      </w:r>
      <w:r>
        <w:rPr>
          <w:rFonts w:ascii="Palatino Linotype" w:hAnsi="Palatino Linotype" w:eastAsia="Palatino Linotype"/>
          <w:b/>
          <w:i w:val="0"/>
          <w:sz w:val="20"/>
        </w:rPr>
        <w:t>re-deriving them on a bracket that now surrounds it is the largest single piece of unfinished work here</w:t>
      </w:r>
      <w:r>
        <w:rPr>
          <w:rFonts w:ascii="Palatino Linotype" w:hAnsi="Palatino Linotype" w:eastAsia="Palatino Linotype"/>
          <w:b w:val="0"/>
          <w:i w:val="0"/>
          <w:sz w:val="20"/>
        </w:rPr>
        <w:t>, and it is more likely to move the comparative results of Section 3.6 than anything else left open. Torque balance is exact at cruise only, leaving a small residual in hover. The comparative sizing of Section 3.6 is conditional on the two competing architectures being modelled at the same level of detail as this one, which they are not: they are modelled from published fractions.</w:t>
      </w:r>
    </w:p>
    <w:p>
      <w:pPr>
        <w:spacing w:before="0" w:after="80" w:line="240" w:lineRule="auto"/>
        <w:jc w:val="both"/>
      </w:pPr>
      <w:r>
        <w:rPr>
          <w:rFonts w:ascii="Palatino Linotype" w:hAnsi="Palatino Linotype" w:eastAsia="Palatino Linotype"/>
          <w:b/>
          <w:i w:val="0"/>
          <w:sz w:val="20"/>
        </w:rPr>
        <w:t>The vortex-lattice results carry an untested magnitude error, and the part of the chain it threatens is not the part that was defended.</w:t>
      </w:r>
      <w:r>
        <w:rPr>
          <w:rFonts w:ascii="Palatino Linotype" w:hAnsi="Palatino Linotype" w:eastAsia="Palatino Linotype"/>
          <w:b w:val="0"/>
          <w:i w:val="0"/>
          <w:sz w:val="20"/>
        </w:rPr>
        <w:t xml:space="preserve"> A published comparison on a blended-wing-body of this class found the vortex-lattice lift coefficient low by thirty to thirty-eight percent against RANS [39]. Section 3.10 argues that a near-constant multiplicative error of that kind cancels in the ratios this paper takes from the solution — neutral point, static margin, twist effectiveness — but the check that would confirm it is withheld in that source, so the argument stands unverified. An earlier version of this section called this the one exposure in the aerodynamic chain with no bound at all. </w:t>
      </w:r>
      <w:r>
        <w:rPr>
          <w:rFonts w:ascii="Palatino Linotype" w:hAnsi="Palatino Linotype" w:eastAsia="Palatino Linotype"/>
          <w:b/>
          <w:i w:val="0"/>
          <w:sz w:val="20"/>
        </w:rPr>
        <w:t>It now has one, and the bound points somewhere else.</w:t>
      </w:r>
      <w:r>
        <w:rPr>
          <w:rFonts w:ascii="Palatino Linotype" w:hAnsi="Palatino Linotype" w:eastAsia="Palatino Linotype"/>
          <w:b w:val="0"/>
          <w:i w:val="0"/>
          <w:sz w:val="20"/>
        </w:rPr>
        <w:t xml:space="preserve"> Perturbing the spanwise loading shape and re-solving shows that a one-degree mid-span redistribution moves the neutral point by 0.15 percent of mean chord and the trim twist by 0.38 degrees; the neutral point would need a redistribution of 33 degrees to matter and the trim twist one of 2.6. </w:t>
      </w:r>
      <w:r>
        <w:rPr>
          <w:rFonts w:ascii="Palatino Linotype" w:hAnsi="Palatino Linotype" w:eastAsia="Palatino Linotype"/>
          <w:b/>
          <w:i w:val="0"/>
          <w:sz w:val="20"/>
        </w:rPr>
        <w:t>The static margin — the quantity the cancellation argument exists to protect — is the robust half. The trim twist is thirteen times more sensitive and the argument never covered it.</w:t>
      </w:r>
    </w:p>
    <w:p>
      <w:pPr>
        <w:spacing w:before="0" w:after="80" w:line="240" w:lineRule="auto"/>
        <w:jc w:val="both"/>
      </w:pPr>
      <w:r>
        <w:rPr>
          <w:rFonts w:ascii="Palatino Linotype" w:hAnsi="Palatino Linotype" w:eastAsia="Palatino Linotype"/>
          <w:b/>
          <w:i w:val="0"/>
          <w:sz w:val="20"/>
        </w:rPr>
        <w:t>A Reynolds-averaged solution has since supplied the missing redistribution, on three meshes rather than one, and the answer is that the threshold is exceeded and the exceedance does not matter much.</w:t>
      </w:r>
      <w:r>
        <w:rPr>
          <w:rFonts w:ascii="Palatino Linotype" w:hAnsi="Palatino Linotype" w:eastAsia="Palatino Linotype"/>
          <w:b w:val="0"/>
          <w:i w:val="0"/>
          <w:sz w:val="20"/>
        </w:rPr>
        <w:t xml:space="preserve"> The local loading ratio holds to within five percent of a constant across nine tenths of the span, which is direct support for the cancellation argument and the first evidence for it of any kind. Refinement matters: the coarse mesh put the residual at 1.7 degrees of equivalent redistribution and the converged solution puts it at </w:t>
      </w:r>
      <w:r>
        <w:rPr>
          <w:rFonts w:ascii="Palatino Linotype" w:hAnsi="Palatino Linotype" w:eastAsia="Palatino Linotype"/>
          <w:b/>
          <w:i w:val="0"/>
          <w:sz w:val="20"/>
        </w:rPr>
        <w:t>2.75 against a 2.6-degree threshold</w:t>
      </w:r>
      <w:r>
        <w:rPr>
          <w:rFonts w:ascii="Palatino Linotype" w:hAnsi="Palatino Linotype" w:eastAsia="Palatino Linotype"/>
          <w:b w:val="0"/>
          <w:i w:val="0"/>
          <w:sz w:val="20"/>
        </w:rPr>
        <w:t xml:space="preserve">, so the first reading was under-resolution rather than agreement. </w:t>
      </w:r>
      <w:r>
        <w:rPr>
          <w:rFonts w:ascii="Palatino Linotype" w:hAnsi="Palatino Linotype" w:eastAsia="Palatino Linotype"/>
          <w:b/>
          <w:i w:val="0"/>
          <w:sz w:val="20"/>
        </w:rPr>
        <w:t>Carrying the exceedance through the measured chain moves the trim twist by one degree, the span efficiency from 0.817 to 0.799, and every cruise efficiency and range in this paper by 0.8 percent</w:t>
      </w:r>
      <w:r>
        <w:rPr>
          <w:rFonts w:ascii="Palatino Linotype" w:hAnsi="Palatino Linotype" w:eastAsia="Palatino Linotype"/>
          <w:b w:val="0"/>
          <w:i w:val="0"/>
          <w:sz w:val="20"/>
        </w:rPr>
        <w:t xml:space="preserve"> — an order of magnitude inside the drag bracket already applied to the same numbers. The exposure that had no bound is therefore bounded, exceeded and quantified, in that order, and the trim chain stands.</w:t>
      </w:r>
    </w:p>
    <w:p>
      <w:pPr>
        <w:spacing w:before="0" w:after="80" w:line="240" w:lineRule="auto"/>
        <w:jc w:val="both"/>
      </w:pPr>
      <w:r>
        <w:rPr>
          <w:rFonts w:ascii="Palatino Linotype" w:hAnsi="Palatino Linotype" w:eastAsia="Palatino Linotype"/>
          <w:b w:val="0"/>
          <w:i w:val="0"/>
          <w:sz w:val="20"/>
        </w:rPr>
        <w:t>What does not resolve with refinement is the outboard tenth of the span, where the disagreement is undiminished across a threefold change in cell count. That is where a vortex-lattice method would be expected to fail and nothing in this paper is taken from that region alone, but a strip-based estimate that depended on it would not be safe. Two limits belong with all of it: the runs are untwisted, because the mesh generator has no field for twist; and the overall lift ratio runs opposite to the published comparison cited above, which the paper reports rather than reconciles.</w:t>
      </w:r>
    </w:p>
    <w:p>
      <w:pPr>
        <w:spacing w:before="200" w:after="80"/>
      </w:pPr>
      <w:r>
        <w:rPr>
          <w:rFonts w:ascii="Palatino Linotype" w:hAnsi="Palatino Linotype" w:eastAsia="Palatino Linotype"/>
          <w:b/>
          <w:i w:val="0"/>
          <w:sz w:val="22"/>
        </w:rPr>
        <w:t>4.6 What is sized but not closed</w:t>
      </w:r>
    </w:p>
    <w:p>
      <w:pPr>
        <w:spacing w:before="0" w:after="80" w:line="240" w:lineRule="auto"/>
        <w:jc w:val="both"/>
      </w:pPr>
      <w:r>
        <w:rPr>
          <w:rFonts w:ascii="Palatino Linotype" w:hAnsi="Palatino Linotype" w:eastAsia="Palatino Linotype"/>
          <w:b w:val="0"/>
          <w:i w:val="0"/>
          <w:sz w:val="20"/>
        </w:rPr>
        <w:t xml:space="preserve">Attitude control is sized in every axis and closed in none. Roll asks for </w:t>
      </w:r>
      <w:r>
        <w:rPr>
          <w:rFonts w:ascii="Palatino Linotype" w:hAnsi="Palatino Linotype" w:eastAsia="Palatino Linotype"/>
          <w:b/>
          <w:i w:val="0"/>
          <w:sz w:val="20"/>
        </w:rPr>
        <w:t>ΔC_L ≈ 0.12</w:t>
      </w:r>
      <w:r>
        <w:rPr>
          <w:rFonts w:ascii="Palatino Linotype" w:hAnsi="Palatino Linotype" w:eastAsia="Palatino Linotype"/>
          <w:b w:val="0"/>
          <w:i w:val="0"/>
          <w:sz w:val="20"/>
        </w:rPr>
        <w:t xml:space="preserve"> from the strip, which published fence and Gurney data make plausible without establishing it for this geometry, and the strip's measured weaknesses — degradation in turbulence, contested post-stall behaviour, a dead band below seven percent of travel — all fall in conditions this configuration uses it in. Directional stability asks for a </w:t>
      </w:r>
      <w:r>
        <w:rPr>
          <w:rFonts w:ascii="Palatino Linotype" w:hAnsi="Palatino Linotype" w:eastAsia="Palatino Linotype"/>
          <w:b/>
          <w:i w:val="0"/>
          <w:sz w:val="20"/>
        </w:rPr>
        <w:t>39 mm</w:t>
      </w:r>
      <w:r>
        <w:rPr>
          <w:rFonts w:ascii="Palatino Linotype" w:hAnsi="Palatino Linotype" w:eastAsia="Palatino Linotype"/>
          <w:b w:val="0"/>
          <w:i w:val="0"/>
          <w:sz w:val="20"/>
        </w:rPr>
        <w:t xml:space="preserve"> fairing chord on a frame that already exists, at a Reynolds number near 80 000 where thin symmetric sections are measured to be nonlinear about zero incidence; whether such a fairing develops the side force credited to it is not established, and the toe-out its aspect ratio requires carries a stall-related failure mode at large sideslip that has not been computed. Hover disturbance rejection, ground handling, crosswind and vertical descent have been checked only to order of magnitude or not at all.</w:t>
      </w:r>
    </w:p>
    <w:p>
      <w:pPr>
        <w:spacing w:before="0" w:after="80" w:line="240" w:lineRule="auto"/>
        <w:jc w:val="both"/>
      </w:pPr>
      <w:r>
        <w:rPr>
          <w:rFonts w:ascii="Palatino Linotype" w:hAnsi="Palatino Linotype" w:eastAsia="Palatino Linotype"/>
          <w:b/>
          <w:i w:val="0"/>
          <w:sz w:val="20"/>
        </w:rPr>
        <w:t>The landing transition belongs on this list and had been left off it.</w:t>
      </w:r>
      <w:r>
        <w:rPr>
          <w:rFonts w:ascii="Palatino Linotype" w:hAnsi="Palatino Linotype" w:eastAsia="Palatino Linotype"/>
          <w:b w:val="0"/>
          <w:i w:val="0"/>
          <w:sz w:val="20"/>
        </w:rPr>
        <w:t xml:space="preserve"> The forward transition is treated in six subsections of Section 3 and the reverse — decelerate, rotate nose-up, descend — in a clause. The two are not symmetric: the forward rotation gains dynamic pressure while it turns, so lift arrives as the vertical component of thrust departs, and Section 3.15 shows the altitude loss turns on that race; the reverse loses dynamic pressure while turning, so lift departs before the thrust vector has returned to vertical. Nothing in this paper models that case, no number here describes it, and the take-off transition must not be read backwards to supply one. Together with the vertical descent above it, the landing is the least examined phase of the flight profile.</w:t>
      </w:r>
    </w:p>
    <w:p>
      <w:pPr>
        <w:spacing w:before="200" w:after="80"/>
      </w:pPr>
      <w:r>
        <w:rPr>
          <w:rFonts w:ascii="Palatino Linotype" w:hAnsi="Palatino Linotype" w:eastAsia="Palatino Linotype"/>
          <w:b/>
          <w:i w:val="0"/>
          <w:sz w:val="22"/>
        </w:rPr>
        <w:t>4.7 Where this could most efficiently be attacked</w:t>
      </w:r>
    </w:p>
    <w:p>
      <w:pPr>
        <w:spacing w:before="0" w:after="80" w:line="240" w:lineRule="auto"/>
        <w:jc w:val="both"/>
      </w:pPr>
      <w:r>
        <w:rPr>
          <w:rFonts w:ascii="Palatino Linotype" w:hAnsi="Palatino Linotype" w:eastAsia="Palatino Linotype"/>
          <w:b w:val="0"/>
          <w:i w:val="0"/>
          <w:sz w:val="20"/>
        </w:rPr>
        <w:t xml:space="preserve">Supplementary S5 lists six places. Two have been carried out and are folded into Section 3.10: a three-dimensional solution for the centre body, and a viscous solution of the twisted planform station by station. Of the remaining four, the most valuable is a Reynolds-averaged or panel solution of this planform's loading — no longer because that exposure is unbounded, but because it is now the one input a single number would close: Section 3.10 supplies the sensitivity to a redistribution, and such a solution would supply the redistribution. </w:t>
      </w:r>
      <w:r>
        <w:rPr>
          <w:rFonts w:ascii="Palatino Linotype" w:hAnsi="Palatino Linotype" w:eastAsia="Palatino Linotype"/>
          <w:b/>
          <w:i w:val="0"/>
          <w:sz w:val="20"/>
        </w:rPr>
        <w:t>Three of the four can be carried out computationally; the fourth cannot, and saying otherwise was the most consequential thing this study got wrong about itself.</w:t>
      </w:r>
      <w:r>
        <w:rPr>
          <w:rFonts w:ascii="Palatino Linotype" w:hAnsi="Palatino Linotype" w:eastAsia="Palatino Linotype"/>
          <w:b w:val="0"/>
          <w:i w:val="0"/>
          <w:sz w:val="20"/>
        </w:rPr>
        <w:t xml:space="preserve"> Transition controllability rests on a pitching moment that three methods of three different fidelities fail to predict above roughly ten degrees of incidence, the highest of them against wind-tunnel measurement, so it is blocked on data rather than on effort — as is the fin derivative of Section 2.10, for the reason Supplementary S3 gives. An earlier version of this section stated that none of the four required an experiment. The configuration is described in enough detail in Sections 2 and 3 for another group to attempt any of them independently, by whichever of the two routes each one needs. The computational setup, the grid-convergence study and the record of what failed along the way are in the repository, so every result here can be re-run and checked rather than taken on trust.</w:t>
      </w:r>
    </w:p>
    <w:p>
      <w:pPr>
        <w:spacing w:before="200" w:after="80"/>
      </w:pPr>
      <w:r>
        <w:rPr>
          <w:rFonts w:ascii="Palatino Linotype" w:hAnsi="Palatino Linotype" w:eastAsia="Palatino Linotype"/>
          <w:b/>
          <w:i w:val="0"/>
          <w:sz w:val="26"/>
        </w:rPr>
        <w:t>5. Conclusions</w:t>
      </w:r>
    </w:p>
    <w:p>
      <w:pPr>
        <w:spacing w:before="0" w:after="80" w:line="240" w:lineRule="auto"/>
        <w:jc w:val="both"/>
      </w:pPr>
      <w:r>
        <w:rPr>
          <w:rFonts w:ascii="Palatino Linotype" w:hAnsi="Palatino Linotype" w:eastAsia="Palatino Linotype"/>
          <w:b w:val="0"/>
          <w:i w:val="0"/>
          <w:sz w:val="20"/>
        </w:rPr>
        <w:t xml:space="preserve">Hybrid vertical take-off aircraft pay for their vertical capability, and the payment is architectural rather than a defect of implementation. It appears in three currencies — the mass of hardware carried but unused, the drag of hardware exposed but inactive, and a power system sized by a condition that holds for about two percent of the flight — and </w:t>
      </w:r>
      <w:r>
        <w:rPr>
          <w:rFonts w:ascii="Palatino Linotype" w:hAnsi="Palatino Linotype" w:eastAsia="Palatino Linotype"/>
          <w:b/>
          <w:i w:val="0"/>
          <w:sz w:val="20"/>
        </w:rPr>
        <w:t>each of the architectural moves surveyed here reduces one of them by increasing another</w:t>
      </w:r>
      <w:r>
        <w:rPr>
          <w:rFonts w:ascii="Palatino Linotype" w:hAnsi="Palatino Linotype" w:eastAsia="Palatino Linotype"/>
          <w:b w:val="0"/>
          <w:i w:val="0"/>
          <w:sz w:val="20"/>
        </w:rPr>
        <w:t>. They are not offered as the only costs a VTOL aircraft carries; they are the three that follow from the duty-cycle mismatch, and the claim is about them. A NASA sizing study of four VTOL architectures reaches the same conclusion from the opposite direction, finding the lift-plus-cruise concept the heaviest of those examined while also the most efficient in cruise, and naming the cause as the empty weight carried for hover.</w:t>
      </w:r>
    </w:p>
    <w:p>
      <w:pPr>
        <w:spacing w:before="0" w:after="80" w:line="240" w:lineRule="auto"/>
        <w:jc w:val="both"/>
      </w:pPr>
      <w:r>
        <w:rPr>
          <w:rFonts w:ascii="Palatino Linotype" w:hAnsi="Palatino Linotype" w:eastAsia="Palatino Linotype"/>
          <w:b w:val="0"/>
          <w:i w:val="0"/>
          <w:sz w:val="20"/>
        </w:rPr>
        <w:t xml:space="preserve">Stating the tax that way makes its escape condition explicit, and it has four parts: </w:t>
      </w:r>
      <w:r>
        <w:rPr>
          <w:rFonts w:ascii="Palatino Linotype" w:hAnsi="Palatino Linotype" w:eastAsia="Palatino Linotype"/>
          <w:b/>
          <w:i w:val="0"/>
          <w:sz w:val="20"/>
        </w:rPr>
        <w:t>it is charged unless hover and cruise are served by the same hardware, doing the same job, in the same orientation, with the hover peak drawn from a buffer rather than from permanently installed continuous power.</w:t>
      </w:r>
      <w:r>
        <w:rPr>
          <w:rFonts w:ascii="Palatino Linotype" w:hAnsi="Palatino Linotype" w:eastAsia="Palatino Linotype"/>
          <w:b w:val="0"/>
          <w:i w:val="0"/>
          <w:sz w:val="20"/>
        </w:rPr>
        <w:t xml:space="preserve"> The configuration described here satisfies that condition </w:t>
      </w:r>
      <w:r>
        <w:rPr>
          <w:rFonts w:ascii="Palatino Linotype" w:hAnsi="Palatino Linotype" w:eastAsia="Palatino Linotype"/>
          <w:b/>
          <w:i w:val="0"/>
          <w:sz w:val="20"/>
        </w:rPr>
        <w:t>in the propulsor that carries it</w:t>
      </w:r>
      <w:r>
        <w:rPr>
          <w:rFonts w:ascii="Palatino Linotype" w:hAnsi="Palatino Linotype" w:eastAsia="Palatino Linotype"/>
          <w:b w:val="0"/>
          <w:i w:val="0"/>
          <w:sz w:val="20"/>
        </w:rPr>
        <w:t>, rather than compensating for failing it — and re-opens the drag bill in the attitude system that controls it, which is a result of this study rather than a caveat on it. The aircraft rotates; nothing on the aircraft rotates relative to it. A single coaxial pair at the nose provides all thrust in both regimes; four small coaxial pairs at the tips provide attitude moments and the take-off thrust margin; and a strip on the lower surface is assigned the one gap propellers cannot close — the rolling moment, which parallel thrust vectors cannot produce at any setting or mounting position. There are no elevons, no rudder, no tilting mechanism, no retraction mechanism and no dedicated lift system.</w:t>
      </w:r>
    </w:p>
    <w:p>
      <w:pPr>
        <w:spacing w:before="0" w:after="80" w:line="240" w:lineRule="auto"/>
        <w:jc w:val="both"/>
      </w:pPr>
      <w:r>
        <w:rPr>
          <w:rFonts w:ascii="Palatino Linotype" w:hAnsi="Palatino Linotype" w:eastAsia="Palatino Linotype"/>
          <w:b w:val="0"/>
          <w:i w:val="0"/>
          <w:sz w:val="20"/>
        </w:rPr>
        <w:t>The configuration was sized at 50 kg and at 1000 kg with the same equations, twenty times apart in mass. Disc loading is constant by design, which is what keeps hover power growing linearly with mass instead of as the classical L^3.5; the buffer that decouples the engine from the hover peak stays under four percent of take-off mass at both points; and the drag fraction charged to the tip frames is preserved. Three things do not scale, and all three are reported rather than smoothed: the larger aircraft must rotate more slowly; its propeller grows faster than its span, so the heavy design is not the light design seen from further away; and these are properties of the sizing rules, while a component build-up of the structure meets the mass fractions at 50 kg and does not at 1000 kg.</w:t>
      </w:r>
    </w:p>
    <w:p>
      <w:pPr>
        <w:spacing w:before="0" w:after="80" w:line="240" w:lineRule="auto"/>
        <w:jc w:val="both"/>
      </w:pPr>
      <w:r>
        <w:rPr>
          <w:rFonts w:ascii="Palatino Linotype" w:hAnsi="Palatino Linotype" w:eastAsia="Palatino Linotype"/>
          <w:b w:val="0"/>
          <w:i w:val="0"/>
          <w:sz w:val="20"/>
        </w:rPr>
        <w:t>Two results emerged during the study that changed it. The tip frames, left as circular tubing, would produce nearly as much drag as the rest of the aircraft — fairing them is a requirement rather than an option, and the same fairing turns out to be the aircraft's directional stability surface. And *</w:t>
      </w:r>
      <w:r>
        <w:rPr>
          <w:rFonts w:ascii="Palatino Linotype" w:hAnsi="Palatino Linotype" w:eastAsia="Palatino Linotype"/>
          <w:b w:val="0"/>
          <w:i/>
          <w:sz w:val="20"/>
        </w:rPr>
        <w:t xml:space="preserve">a slower rotation loses </w:t>
      </w:r>
      <w:r>
        <w:rPr>
          <w:rFonts w:ascii="Palatino Linotype" w:hAnsi="Palatino Linotype" w:eastAsia="Palatino Linotype"/>
          <w:b w:val="0"/>
          <w:i w:val="0"/>
          <w:sz w:val="20"/>
        </w:rPr>
        <w:t>less</w:t>
      </w:r>
      <w:r>
        <w:rPr>
          <w:rFonts w:ascii="Palatino Linotype" w:hAnsi="Palatino Linotype" w:eastAsia="Palatino Linotype"/>
          <w:b w:val="0"/>
          <w:i/>
          <w:sz w:val="20"/>
        </w:rPr>
        <w:t xml:space="preserve"> altitude, not more</w:t>
      </w:r>
      <w:r>
        <w:rPr>
          <w:rFonts w:ascii="Palatino Linotype" w:hAnsi="Palatino Linotype" w:eastAsia="Palatino Linotype"/>
          <w:b w:val="0"/>
          <w:i w:val="0"/>
          <w:sz w:val="20"/>
        </w:rPr>
        <w:t>*, because the aircraft is supported during the manoeuvre rather than falling through it, so entering the rotation while still climbing removes the altitude penalty entirely in the point-mass model. That second result survived a correction that might have removed it. The primary propulsor is sized at thrust equal to weight and therefore supplies no climb at all; the margin comes from the four tip propellers, which raises the achievable ratio to 1.066 for the light design and 1.041 for the heavy one with full rotation authority retained, and to 1.132 and 1.082 with none retained, rather than the 1.2 an earlier version assumed. Recomputed there, the altitude loss at both reference rotation times is still zero — but acquiring the entry climb now takes twice as long, a rotation begun from rest is worse than reported, and the take-off margin and the attitude authority are drawn from the same four propellers and compete for them.</w:t>
      </w:r>
    </w:p>
    <w:p>
      <w:pPr>
        <w:spacing w:before="0" w:after="80" w:line="240" w:lineRule="auto"/>
        <w:jc w:val="both"/>
      </w:pPr>
      <w:r>
        <w:rPr>
          <w:rFonts w:ascii="Palatino Linotype" w:hAnsi="Palatino Linotype" w:eastAsia="Palatino Linotype"/>
          <w:b/>
          <w:i w:val="0"/>
          <w:sz w:val="20"/>
        </w:rPr>
        <w:t>A second correction did remove it, and that is the sharper limitation of the two.</w:t>
      </w:r>
      <w:r>
        <w:rPr>
          <w:rFonts w:ascii="Palatino Linotype" w:hAnsi="Palatino Linotype" w:eastAsia="Palatino Linotype"/>
          <w:b w:val="0"/>
          <w:i w:val="0"/>
          <w:sz w:val="20"/>
        </w:rPr>
        <w:t xml:space="preserve"> The point-mass model prescribes the attitude and so cannot charge for the time the aircraft spends rotating into it. Solved instead with rotational dynamics and a finite control moment, and with the aerodynamic pitching moment set to exactly zero so that nothing is borrowed, the light design loses </w:t>
      </w:r>
      <w:r>
        <w:rPr>
          <w:rFonts w:ascii="Palatino Linotype" w:hAnsi="Palatino Linotype" w:eastAsia="Palatino Linotype"/>
          <w:b/>
          <w:i w:val="0"/>
          <w:sz w:val="20"/>
        </w:rPr>
        <w:t>5.4 m</w:t>
      </w:r>
      <w:r>
        <w:rPr>
          <w:rFonts w:ascii="Palatino Linotype" w:hAnsi="Palatino Linotype" w:eastAsia="Palatino Linotype"/>
          <w:b w:val="0"/>
          <w:i w:val="0"/>
          <w:sz w:val="20"/>
        </w:rPr>
        <w:t xml:space="preserve"> at the same reference condition where the point-mass model reports none, and the loss grows rather than shrinks as the controller is tightened. The zero-altitude-loss result is therefore a property of the model that produced it. What replaces it is not a prediction — the aerodynamic moment that would make it one is the quantity Section 4 says no current method supplies — but a floor: the manoeuvre costs altitude even in the most favourable case that can be constructed.</w:t>
      </w:r>
    </w:p>
    <w:p>
      <w:pPr>
        <w:spacing w:before="0" w:after="80" w:line="240" w:lineRule="auto"/>
        <w:jc w:val="both"/>
      </w:pPr>
      <w:r>
        <w:rPr>
          <w:rFonts w:ascii="Palatino Linotype" w:hAnsi="Palatino Linotype" w:eastAsia="Palatino Linotype"/>
          <w:b/>
          <w:i w:val="0"/>
          <w:sz w:val="20"/>
        </w:rPr>
        <w:t>What this paper offers is a configuration and its numbers, not a validated aircraft.</w:t>
      </w:r>
      <w:r>
        <w:rPr>
          <w:rFonts w:ascii="Palatino Linotype" w:hAnsi="Palatino Linotype" w:eastAsia="Palatino Linotype"/>
          <w:b w:val="0"/>
          <w:i w:val="0"/>
          <w:sz w:val="20"/>
        </w:rPr>
        <w:t xml:space="preserve"> There is no wind-tunnel data here and no flight test. Three of the analyses Section 4 lists as tests of these results have been carried out, and they are named so that the count can be checked against that section. A three-dimensional solution for the centre body narrowed the zero-lift drag without overturning the assumption. A component build-up closes the light design with 2.2 kg in hand, conditional on a shell areal density at or below 1.78 kg m⁻² </w:t>
      </w:r>
      <w:r>
        <w:rPr>
          <w:rFonts w:ascii="Palatino Linotype" w:hAnsi="Palatino Linotype" w:eastAsia="Palatino Linotype"/>
          <w:b w:val="0"/>
          <w:i/>
          <w:sz w:val="20"/>
        </w:rPr>
        <w:t>and</w:t>
      </w:r>
      <w:r>
        <w:rPr>
          <w:rFonts w:ascii="Palatino Linotype" w:hAnsi="Palatino Linotype" w:eastAsia="Palatino Linotype"/>
          <w:b w:val="0"/>
          <w:i w:val="0"/>
          <w:sz w:val="20"/>
        </w:rPr>
        <w:t xml:space="preserve"> on a battery buffer no measured cell can yet supply, and leaves the heavy design's closure undetermined. And a rotational check shows the tip propellers can turn the aircraft's own inertia through the transition with a margin of 1.49 at 50 kg and 1.57 at 1000 kg on the cheapest profile — </w:t>
      </w:r>
      <w:r>
        <w:rPr>
          <w:rFonts w:ascii="Palatino Linotype" w:hAnsi="Palatino Linotype" w:eastAsia="Palatino Linotype"/>
          <w:b/>
          <w:i w:val="0"/>
          <w:sz w:val="20"/>
        </w:rPr>
        <w:t>0.99 and 1.05 on a smooth one</w:t>
      </w:r>
      <w:r>
        <w:rPr>
          <w:rFonts w:ascii="Palatino Linotype" w:hAnsi="Palatino Linotype" w:eastAsia="Palatino Linotype"/>
          <w:b w:val="0"/>
          <w:i w:val="0"/>
          <w:sz w:val="20"/>
        </w:rPr>
        <w:t>, and 1.14 and 0.76 at 50 kg if the tip thrust is recomputed on the figure of merit used elsewhere in the paper rather than the one its design table implies. Under every basis, both reference rotation times are actuator-limited lower bounds rather than comfortable choices.</w:t>
      </w:r>
    </w:p>
    <w:p>
      <w:pPr>
        <w:spacing w:before="0" w:after="80" w:line="240" w:lineRule="auto"/>
        <w:jc w:val="both"/>
      </w:pPr>
      <w:r>
        <w:rPr>
          <w:rFonts w:ascii="Palatino Linotype" w:hAnsi="Palatino Linotype" w:eastAsia="Palatino Linotype"/>
          <w:b w:val="0"/>
          <w:i w:val="0"/>
          <w:sz w:val="20"/>
        </w:rPr>
        <w:t xml:space="preserve">Resolving that check along the trajectory changed the question. The aircraft does not reach ninety degrees of incidence: the body rotates through ninety but the relative wind rotates with it, and peak incidence is seventeen to twenty-two degrees — four to eight over the half of the wing lying in the nose propeller's slipstream. </w:t>
      </w:r>
      <w:r>
        <w:rPr>
          <w:rFonts w:ascii="Palatino Linotype" w:hAnsi="Palatino Linotype" w:eastAsia="Palatino Linotype"/>
          <w:b/>
          <w:i w:val="0"/>
          <w:sz w:val="20"/>
        </w:rPr>
        <w:t>The tight case is not the high-incidence middle but the end of the rotation</w:t>
      </w:r>
      <w:r>
        <w:rPr>
          <w:rFonts w:ascii="Palatino Linotype" w:hAnsi="Palatino Linotype" w:eastAsia="Palatino Linotype"/>
          <w:b w:val="0"/>
          <w:i w:val="0"/>
          <w:sz w:val="20"/>
        </w:rPr>
        <w:t xml:space="preserve">, where incidence is small and speed is high, which makes it a trim question rather than a stall one. The configuration is statically stable, with a neutral point at 34 percent of mean aerodynamic chord and a margin of 12.5 percent, and the moment to be balanced at cruise is 0.056. Reflex does not supply it: nine reflexed and low-moment sections have been measured in tunnels that measure moment, exactly one returns a positive value — one fourteenth of what is needed [17] — and the rest lie between zero and −0.03, because reflex as actually built is a device for removing negative pitching moment rather than producing positive moment [45,46]. </w:t>
      </w:r>
      <w:r>
        <w:rPr>
          <w:rFonts w:ascii="Palatino Linotype" w:hAnsi="Palatino Linotype" w:eastAsia="Palatino Linotype"/>
          <w:b/>
          <w:i w:val="0"/>
          <w:sz w:val="20"/>
        </w:rPr>
        <w:t>Nine degrees of tip washout does supply it</w:t>
      </w:r>
      <w:r>
        <w:rPr>
          <w:rFonts w:ascii="Palatino Linotype" w:hAnsi="Palatino Linotype" w:eastAsia="Palatino Linotype"/>
          <w:b w:val="0"/>
          <w:i w:val="0"/>
          <w:sz w:val="20"/>
        </w:rPr>
        <w:t>, at a cost of 4.3 percent of cruise efficiency: the price of having no tail.</w:t>
      </w:r>
    </w:p>
    <w:p>
      <w:pPr>
        <w:spacing w:before="0" w:after="80" w:line="240" w:lineRule="auto"/>
        <w:jc w:val="both"/>
      </w:pPr>
      <w:r>
        <w:rPr>
          <w:rFonts w:ascii="Palatino Linotype" w:hAnsi="Palatino Linotype" w:eastAsia="Palatino Linotype"/>
          <w:b w:val="0"/>
          <w:i w:val="0"/>
          <w:sz w:val="20"/>
        </w:rPr>
        <w:t xml:space="preserve">That twist also settled an assumption, and not in the paper's favour. Computing the profile drag of the trimmed wing station by station at each station's own local lift coefficient gives an Oswald span efficiency of </w:t>
      </w:r>
      <w:r>
        <w:rPr>
          <w:rFonts w:ascii="Palatino Linotype" w:hAnsi="Palatino Linotype" w:eastAsia="Palatino Linotype"/>
          <w:b/>
          <w:i w:val="0"/>
          <w:sz w:val="20"/>
        </w:rPr>
        <w:t>0.817</w:t>
      </w:r>
      <w:r>
        <w:rPr>
          <w:rFonts w:ascii="Palatino Linotype" w:hAnsi="Palatino Linotype" w:eastAsia="Palatino Linotype"/>
          <w:b w:val="0"/>
          <w:i w:val="0"/>
          <w:sz w:val="20"/>
        </w:rPr>
        <w:t xml:space="preserve"> against the 0.85 assumed — optimistic by 3.9 percent, worth 1.4 percent of the ranges quoted.</w:t>
      </w:r>
    </w:p>
    <w:p>
      <w:pPr>
        <w:spacing w:before="0" w:after="80" w:line="240" w:lineRule="auto"/>
        <w:jc w:val="both"/>
      </w:pPr>
      <w:r>
        <w:rPr>
          <w:rFonts w:ascii="Palatino Linotype" w:hAnsi="Palatino Linotype" w:eastAsia="Palatino Linotype"/>
          <w:b/>
          <w:i w:val="0"/>
          <w:sz w:val="20"/>
        </w:rPr>
        <w:t>Attitude control is sized in every axis and closed in none, and that is the honest summary of its control case.</w:t>
      </w:r>
      <w:r>
        <w:rPr>
          <w:rFonts w:ascii="Palatino Linotype" w:hAnsi="Palatino Linotype" w:eastAsia="Palatino Linotype"/>
          <w:b w:val="0"/>
          <w:i w:val="0"/>
          <w:sz w:val="20"/>
        </w:rPr>
        <w:t xml:space="preserve"> Roll asks for ΔC_L ≈ 0.12 from the strip, which published fence and Gurney data make plausible without establishing it here. Yaw is the strongest axis the arrangement has, at 2.4 times the pitch moment, because differential thrust between the left and right tip pairs acts through the semi-span; what yaw lacks is not authority but stability, and the surfaces that must supply it are the same tip-frame fairings. That one member serves as landing structure, moment arm, propeller mount and directional stability surface is the configuration's own argument made once more; that none of the four roles has been verified together is its principal limitation.</w:t>
      </w:r>
    </w:p>
    <w:p>
      <w:pPr>
        <w:spacing w:before="0" w:after="80" w:line="240" w:lineRule="auto"/>
        <w:jc w:val="both"/>
      </w:pPr>
      <w:r>
        <w:rPr>
          <w:rFonts w:ascii="Palatino Linotype" w:hAnsi="Palatino Linotype" w:eastAsia="Palatino Linotype"/>
          <w:b w:val="0"/>
          <w:i w:val="0"/>
          <w:sz w:val="20"/>
        </w:rPr>
        <w:t xml:space="preserve">An earlier version of this section stated that none of the remaining analyses required an experiment. </w:t>
      </w:r>
      <w:r>
        <w:rPr>
          <w:rFonts w:ascii="Palatino Linotype" w:hAnsi="Palatino Linotype" w:eastAsia="Palatino Linotype"/>
          <w:b/>
          <w:i w:val="0"/>
          <w:sz w:val="20"/>
        </w:rPr>
        <w:t>That is no longer true, and the change is the most important thing this study learned about itself.</w:t>
      </w:r>
      <w:r>
        <w:rPr>
          <w:rFonts w:ascii="Palatino Linotype" w:hAnsi="Palatino Linotype" w:eastAsia="Palatino Linotype"/>
          <w:b w:val="0"/>
          <w:i w:val="0"/>
          <w:sz w:val="20"/>
        </w:rPr>
        <w:t xml:space="preserve"> Transition controllability rests on a pitching moment that three methods of three different fidelities fail to predict above roughly ten degrees of incidence — the highest of them against wind-tunnel measurement — and the paper declines to substitute a reduced calculation for a measurement.</w:t>
      </w:r>
    </w:p>
    <w:p>
      <w:pPr>
        <w:spacing w:before="0" w:after="80" w:line="240" w:lineRule="auto"/>
        <w:jc w:val="both"/>
      </w:pPr>
      <w:r>
        <w:rPr>
          <w:rFonts w:ascii="Palatino Linotype" w:hAnsi="Palatino Linotype" w:eastAsia="Palatino Linotype"/>
          <w:b/>
          <w:i w:val="0"/>
          <w:sz w:val="20"/>
        </w:rPr>
        <w:t>What survives independently of that is the framework.</w:t>
      </w:r>
      <w:r>
        <w:rPr>
          <w:rFonts w:ascii="Palatino Linotype" w:hAnsi="Palatino Linotype" w:eastAsia="Palatino Linotype"/>
          <w:b w:val="0"/>
          <w:i w:val="0"/>
          <w:sz w:val="20"/>
        </w:rPr>
        <w:t xml:space="preserve"> The three currencies, the demonstration that architectural remedies transfer the penalty rather than remove it, the escape condition, and the finding that architectural comparisons change their ranking with the sizing contract chosen — none of these depends on whether this particular aircraft is ever built. meryemAircraft is the case that shows the escape condition can be instantiated in a real geometry and carried through to reference designs at two scales. It is not offered as a validated vehicle, and the paper is careful throughout to say which of its statements are demonstrated, which are conditional, and which are open. The configuration is described in enough detail for another group to attempt any of the outstanding analyses independently, and that is the outcome this paper is written to invite.</w:t>
      </w:r>
    </w:p>
    <w:p>
      <w:pPr>
        <w:spacing w:before="160" w:after="40"/>
      </w:pPr>
      <w:r>
        <w:rPr>
          <w:rFonts w:ascii="Palatino Linotype" w:hAnsi="Palatino Linotype" w:eastAsia="Palatino Linotype"/>
          <w:b/>
          <w:i w:val="0"/>
          <w:sz w:val="20"/>
        </w:rPr>
        <w:t>Supplementary Materials</w:t>
      </w:r>
    </w:p>
    <w:p>
      <w:pPr>
        <w:spacing w:before="0" w:after="80" w:line="240" w:lineRule="auto"/>
        <w:jc w:val="both"/>
      </w:pPr>
      <w:r>
        <w:rPr>
          <w:rFonts w:ascii="Palatino Linotype" w:hAnsi="Palatino Linotype" w:eastAsia="Palatino Linotype"/>
          <w:b w:val="0"/>
          <w:i w:val="0"/>
          <w:sz w:val="18"/>
        </w:rPr>
        <w:t xml:space="preserve">The following supplementary material is available: </w:t>
      </w:r>
      <w:r>
        <w:rPr>
          <w:rFonts w:ascii="Palatino Linotype" w:hAnsi="Palatino Linotype" w:eastAsia="Palatino Linotype"/>
          <w:b/>
          <w:i w:val="0"/>
          <w:sz w:val="18"/>
        </w:rPr>
        <w:t>S1</w:t>
      </w:r>
      <w:r>
        <w:rPr>
          <w:rFonts w:ascii="Palatino Linotype" w:hAnsi="Palatino Linotype" w:eastAsia="Palatino Linotype"/>
          <w:b w:val="0"/>
          <w:i w:val="0"/>
          <w:sz w:val="18"/>
        </w:rPr>
        <w:t xml:space="preserve"> — independent checks on the two assumed aerodynamic coefficients (the full version of Section 3.10); </w:t>
      </w:r>
      <w:r>
        <w:rPr>
          <w:rFonts w:ascii="Palatino Linotype" w:hAnsi="Palatino Linotype" w:eastAsia="Palatino Linotype"/>
          <w:b/>
          <w:i w:val="0"/>
          <w:sz w:val="18"/>
        </w:rPr>
        <w:t>S2</w:t>
      </w:r>
      <w:r>
        <w:rPr>
          <w:rFonts w:ascii="Palatino Linotype" w:hAnsi="Palatino Linotype" w:eastAsia="Palatino Linotype"/>
          <w:b w:val="0"/>
          <w:i w:val="0"/>
          <w:sz w:val="18"/>
        </w:rPr>
        <w:t xml:space="preserve"> — a component build-up of the mass budget (Section 3.11); </w:t>
      </w:r>
      <w:r>
        <w:rPr>
          <w:rFonts w:ascii="Palatino Linotype" w:hAnsi="Palatino Linotype" w:eastAsia="Palatino Linotype"/>
          <w:b/>
          <w:i w:val="0"/>
          <w:sz w:val="18"/>
        </w:rPr>
        <w:t>S3</w:t>
      </w:r>
      <w:r>
        <w:rPr>
          <w:rFonts w:ascii="Palatino Linotype" w:hAnsi="Palatino Linotype" w:eastAsia="Palatino Linotype"/>
          <w:b w:val="0"/>
          <w:i w:val="0"/>
          <w:sz w:val="18"/>
        </w:rPr>
        <w:t xml:space="preserve"> — the control axes in full (Section 2.10); </w:t>
      </w:r>
      <w:r>
        <w:rPr>
          <w:rFonts w:ascii="Palatino Linotype" w:hAnsi="Palatino Linotype" w:eastAsia="Palatino Linotype"/>
          <w:b/>
          <w:i w:val="0"/>
          <w:sz w:val="18"/>
        </w:rPr>
        <w:t>S4</w:t>
      </w:r>
      <w:r>
        <w:rPr>
          <w:rFonts w:ascii="Palatino Linotype" w:hAnsi="Palatino Linotype" w:eastAsia="Palatino Linotype"/>
          <w:b w:val="0"/>
          <w:i w:val="0"/>
          <w:sz w:val="18"/>
        </w:rPr>
        <w:t xml:space="preserve"> — rotational authority, trim and the transition envelope (Section 3.17); </w:t>
      </w:r>
      <w:r>
        <w:rPr>
          <w:rFonts w:ascii="Palatino Linotype" w:hAnsi="Palatino Linotype" w:eastAsia="Palatino Linotype"/>
          <w:b/>
          <w:i w:val="0"/>
          <w:sz w:val="18"/>
        </w:rPr>
        <w:t>S5</w:t>
      </w:r>
      <w:r>
        <w:rPr>
          <w:rFonts w:ascii="Palatino Linotype" w:hAnsi="Palatino Linotype" w:eastAsia="Palatino Linotype"/>
          <w:b w:val="0"/>
          <w:i w:val="0"/>
          <w:sz w:val="18"/>
        </w:rPr>
        <w:t xml:space="preserve"> — the limitations in full (Section 4); </w:t>
      </w:r>
      <w:r>
        <w:rPr>
          <w:rFonts w:ascii="Palatino Linotype" w:hAnsi="Palatino Linotype" w:eastAsia="Palatino Linotype"/>
          <w:b/>
          <w:i w:val="0"/>
          <w:sz w:val="18"/>
        </w:rPr>
        <w:t>S6</w:t>
      </w:r>
      <w:r>
        <w:rPr>
          <w:rFonts w:ascii="Palatino Linotype" w:hAnsi="Palatino Linotype" w:eastAsia="Palatino Linotype"/>
          <w:b w:val="0"/>
          <w:i w:val="0"/>
          <w:sz w:val="18"/>
        </w:rPr>
        <w:t xml:space="preserve"> — the three bills stated formally and the comparative sizing under three contracts (Sections 3.1 and 3.6).</w:t>
      </w:r>
    </w:p>
    <w:p>
      <w:pPr>
        <w:spacing w:before="160" w:after="40"/>
      </w:pPr>
      <w:r>
        <w:rPr>
          <w:rFonts w:ascii="Palatino Linotype" w:hAnsi="Palatino Linotype" w:eastAsia="Palatino Linotype"/>
          <w:b/>
          <w:i w:val="0"/>
          <w:sz w:val="20"/>
        </w:rPr>
        <w:t>Author Contributions</w:t>
      </w:r>
    </w:p>
    <w:p>
      <w:pPr>
        <w:spacing w:before="0" w:after="80" w:line="240" w:lineRule="auto"/>
        <w:jc w:val="both"/>
      </w:pPr>
      <w:r>
        <w:rPr>
          <w:rFonts w:ascii="Palatino Linotype" w:hAnsi="Palatino Linotype" w:eastAsia="Palatino Linotype"/>
          <w:b w:val="0"/>
          <w:i w:val="0"/>
          <w:sz w:val="18"/>
        </w:rPr>
        <w:t>Conceptualization, Ö.G. and M.G.; Methodology, Ö.G. and M.G.; Software, B.G.; Formal Analysis, M.G. and B.G.; Investigation, M.G., B.G. and Ö.G.; Data Curation, B.G.; Writing — Original Draft Preparation, M.G.; Writing — Review &amp; Editing, M.G., B.G. and Ö.G.; Visualization, B.G.; Supervision, Ö.G.; Project Administration, M.G. All authors have read and agreed to the published version of the manuscript.</w:t>
      </w:r>
    </w:p>
    <w:p>
      <w:pPr>
        <w:spacing w:before="160" w:after="40"/>
      </w:pPr>
      <w:r>
        <w:rPr>
          <w:rFonts w:ascii="Palatino Linotype" w:hAnsi="Palatino Linotype" w:eastAsia="Palatino Linotype"/>
          <w:b/>
          <w:i w:val="0"/>
          <w:sz w:val="20"/>
        </w:rPr>
        <w:t>Funding</w:t>
      </w:r>
    </w:p>
    <w:p>
      <w:pPr>
        <w:spacing w:before="0" w:after="80" w:line="240" w:lineRule="auto"/>
        <w:jc w:val="both"/>
      </w:pPr>
      <w:r>
        <w:rPr>
          <w:rFonts w:ascii="Palatino Linotype" w:hAnsi="Palatino Linotype" w:eastAsia="Palatino Linotype"/>
          <w:b w:val="0"/>
          <w:i w:val="0"/>
          <w:sz w:val="18"/>
        </w:rPr>
        <w:t>This research received no external funding.</w:t>
      </w:r>
    </w:p>
    <w:p>
      <w:pPr>
        <w:spacing w:before="160" w:after="40"/>
      </w:pPr>
      <w:r>
        <w:rPr>
          <w:rFonts w:ascii="Palatino Linotype" w:hAnsi="Palatino Linotype" w:eastAsia="Palatino Linotype"/>
          <w:b/>
          <w:i w:val="0"/>
          <w:sz w:val="20"/>
        </w:rPr>
        <w:t>Data Availability</w:t>
      </w:r>
    </w:p>
    <w:p>
      <w:pPr>
        <w:spacing w:before="0" w:after="80" w:line="240" w:lineRule="auto"/>
        <w:jc w:val="both"/>
      </w:pPr>
      <w:r>
        <w:rPr>
          <w:rFonts w:ascii="Palatino Linotype" w:hAnsi="Palatino Linotype" w:eastAsia="Palatino Linotype"/>
          <w:b w:val="0"/>
          <w:i w:val="0"/>
          <w:sz w:val="18"/>
        </w:rPr>
        <w:t>All data supporting the reported results are contained within the article. The parametric geometry model, the figure-generation scripts and the transition simulation, together with the aerodynamic calculations of Section 3.10 — including the mesh generator, the case setup, the grid-convergence study and the wall-resolution and turbulence-model sensitivity runs behind the computed zero-lift drag — are openly available at https://github.com/LORDTEK/meryemAircraft, and an archived version of this manuscript with its supplementary material is deposited at https://doi.org/10.5281/zenodo.22144194 (concept DOI, resolving to the latest version).</w:t>
      </w:r>
    </w:p>
    <w:p>
      <w:pPr>
        <w:spacing w:before="160" w:after="40"/>
      </w:pPr>
      <w:r>
        <w:rPr>
          <w:rFonts w:ascii="Palatino Linotype" w:hAnsi="Palatino Linotype" w:eastAsia="Palatino Linotype"/>
          <w:b/>
          <w:i w:val="0"/>
          <w:sz w:val="20"/>
        </w:rPr>
        <w:t>Acknowledgements</w:t>
      </w:r>
    </w:p>
    <w:p>
      <w:pPr>
        <w:spacing w:before="0" w:after="80" w:line="240" w:lineRule="auto"/>
        <w:jc w:val="both"/>
      </w:pPr>
      <w:r>
        <w:rPr>
          <w:rFonts w:ascii="Palatino Linotype" w:hAnsi="Palatino Linotype" w:eastAsia="Palatino Linotype"/>
          <w:b w:val="0"/>
          <w:i w:val="0"/>
          <w:sz w:val="18"/>
        </w:rPr>
        <w:t>During the preparation of this study, the authors used large-language-model assistants for the purposes of literature searching and triage, numerical checking of the authors' own calculations, and language editing. Section 2.14 states the scope of that use and the rules under which it was admitted. No source was cited on a model's description of it, and no correction was adopted until it had been reproduced independently from the underlying model. All design decisions, engineering judgements and claims presented in this paper are the authors' own. The authors have reviewed and edited the output and take full responsibility for the content of this publication.</w:t>
      </w:r>
    </w:p>
    <w:p>
      <w:pPr>
        <w:spacing w:before="160" w:after="40"/>
      </w:pPr>
      <w:r>
        <w:rPr>
          <w:rFonts w:ascii="Palatino Linotype" w:hAnsi="Palatino Linotype" w:eastAsia="Palatino Linotype"/>
          <w:b/>
          <w:i w:val="0"/>
          <w:sz w:val="20"/>
        </w:rPr>
        <w:t>Conflicts of Interest</w:t>
      </w:r>
    </w:p>
    <w:p>
      <w:pPr>
        <w:spacing w:before="0" w:after="80" w:line="240" w:lineRule="auto"/>
        <w:jc w:val="both"/>
      </w:pPr>
      <w:r>
        <w:rPr>
          <w:rFonts w:ascii="Palatino Linotype" w:hAnsi="Palatino Linotype" w:eastAsia="Palatino Linotype"/>
          <w:b w:val="0"/>
          <w:i w:val="0"/>
          <w:sz w:val="18"/>
        </w:rPr>
        <w:t>The authors have filed a patent application covering the aircraft configuration described in this paper (Türkpatent application 2026/014570).</w:t>
      </w:r>
    </w:p>
    <w:p>
      <w:pPr>
        <w:spacing w:before="160" w:after="40"/>
      </w:pPr>
      <w:r>
        <w:rPr>
          <w:rFonts w:ascii="Palatino Linotype" w:hAnsi="Palatino Linotype" w:eastAsia="Palatino Linotype"/>
          <w:b/>
          <w:i w:val="0"/>
          <w:sz w:val="20"/>
        </w:rPr>
        <w:t>Dual-Use Research of Concern</w:t>
      </w:r>
    </w:p>
    <w:p>
      <w:pPr>
        <w:spacing w:before="0" w:after="80" w:line="240" w:lineRule="auto"/>
        <w:jc w:val="both"/>
      </w:pPr>
      <w:r>
        <w:rPr>
          <w:rFonts w:ascii="Palatino Linotype" w:hAnsi="Palatino Linotype" w:eastAsia="Palatino Linotype"/>
          <w:b w:val="0"/>
          <w:i w:val="0"/>
          <w:sz w:val="18"/>
        </w:rPr>
        <w:t>This paper is a civil aircraft configuration study. The applications the configuration was conceived for are civil ones — wildfire observation and response, and cargo carriage to places without a runway — and no military organization, mission, weapon or payload is named or analysed anywhere in this work. It reports no experimental hardware and no controlled technical data.</w:t>
      </w:r>
    </w:p>
    <w:p>
      <w:pPr>
        <w:spacing w:before="0" w:after="80" w:line="240" w:lineRule="auto"/>
        <w:jc w:val="both"/>
      </w:pPr>
      <w:r>
        <w:rPr>
          <w:rFonts w:ascii="Palatino Linotype" w:hAnsi="Palatino Linotype" w:eastAsia="Palatino Linotype"/>
          <w:b/>
          <w:i w:val="0"/>
          <w:sz w:val="18"/>
        </w:rPr>
        <w:t>The authors acknowledge the dual-use potential inherent in the subject matter.</w:t>
      </w:r>
      <w:r>
        <w:rPr>
          <w:rFonts w:ascii="Palatino Linotype" w:hAnsi="Palatino Linotype" w:eastAsia="Palatino Linotype"/>
          <w:b w:val="0"/>
          <w:i w:val="0"/>
          <w:sz w:val="18"/>
        </w:rPr>
        <w:t xml:space="preserve"> A long-endurance unmanned aircraft is dual-use in principle, as most aircraft configurations are, and the authors note for completeness that the heavier of the two analytical scale cases — a 1000 kg vehicle with a computed range of 1 571 km — falls within the range band by which unmanned aerial vehicles are listed under international export-control arrangements. What is published here is an open configuration study and its equations, offered so that others may check or refute it; the authors neither direct it at, nor undertake to police, any particular downstream use, and they remain available to provide whatever further declaration the editors require.</w:t>
      </w:r>
    </w:p>
    <w:p>
      <w:pPr>
        <w:spacing w:before="160" w:after="40"/>
      </w:pPr>
      <w:r>
        <w:rPr>
          <w:rFonts w:ascii="Palatino Linotype" w:hAnsi="Palatino Linotype" w:eastAsia="Palatino Linotype"/>
          <w:b/>
          <w:i w:val="0"/>
          <w:sz w:val="20"/>
        </w:rPr>
        <w:t>Patents</w:t>
      </w:r>
    </w:p>
    <w:p>
      <w:pPr>
        <w:spacing w:before="0" w:after="80" w:line="240" w:lineRule="auto"/>
        <w:jc w:val="both"/>
      </w:pPr>
      <w:r>
        <w:rPr>
          <w:rFonts w:ascii="Palatino Linotype" w:hAnsi="Palatino Linotype" w:eastAsia="Palatino Linotype"/>
          <w:b w:val="0"/>
          <w:i w:val="0"/>
          <w:sz w:val="18"/>
        </w:rPr>
        <w:t>A patent application covering the aircraft configuration described in this paper has been filed with the Turkish Patent and Trademark Office (application 2026/014570).</w:t>
      </w:r>
    </w:p>
    <w:p>
      <w:pPr>
        <w:spacing w:before="280"/>
      </w:pPr>
      <w:r>
        <w:rPr>
          <w:rFonts w:ascii="Palatino Linotype" w:hAnsi="Palatino Linotype" w:eastAsia="Palatino Linotype"/>
          <w:b/>
          <w:i w:val="0"/>
          <w:sz w:val="24"/>
        </w:rPr>
        <w:t>References</w:t>
      </w:r>
    </w:p>
    <w:p>
      <w:pPr>
        <w:spacing w:before="0" w:after="40" w:line="240" w:lineRule="auto"/>
        <w:ind w:left="454" w:hanging="454"/>
        <w:jc w:val="both"/>
      </w:pPr>
      <w:r>
        <w:rPr>
          <w:rFonts w:ascii="Palatino Linotype" w:hAnsi="Palatino Linotype" w:eastAsia="Palatino Linotype"/>
          <w:b w:val="0"/>
          <w:i w:val="0"/>
          <w:sz w:val="18"/>
        </w:rPr>
        <w:t xml:space="preserve">1. Anderson, S. B. </w:t>
      </w:r>
      <w:r>
        <w:rPr>
          <w:rFonts w:ascii="Palatino Linotype" w:hAnsi="Palatino Linotype" w:eastAsia="Palatino Linotype"/>
          <w:b w:val="0"/>
          <w:i/>
          <w:sz w:val="18"/>
        </w:rPr>
        <w:t>Historical Overview of V/STOL Aircraft Technology.</w:t>
      </w:r>
      <w:r>
        <w:rPr>
          <w:rFonts w:ascii="Palatino Linotype" w:hAnsi="Palatino Linotype" w:eastAsia="Palatino Linotype"/>
          <w:b w:val="0"/>
          <w:i w:val="0"/>
          <w:sz w:val="18"/>
        </w:rPr>
        <w:t xml:space="preserve"> NASA Technical Memorandum 81280, NASA Ames Research Center, Moffett Field, CA, March 1981.</w:t>
      </w:r>
    </w:p>
    <w:p>
      <w:pPr>
        <w:spacing w:before="0" w:after="40" w:line="240" w:lineRule="auto"/>
        <w:ind w:left="454" w:hanging="454"/>
        <w:jc w:val="both"/>
      </w:pPr>
      <w:r>
        <w:rPr>
          <w:rFonts w:ascii="Palatino Linotype" w:hAnsi="Palatino Linotype" w:eastAsia="Palatino Linotype"/>
          <w:b w:val="0"/>
          <w:i w:val="0"/>
          <w:sz w:val="18"/>
        </w:rPr>
        <w:t xml:space="preserve">2. Nelms, W. P.; Anderson, S. B. </w:t>
      </w:r>
      <w:r>
        <w:rPr>
          <w:rFonts w:ascii="Palatino Linotype" w:hAnsi="Palatino Linotype" w:eastAsia="Palatino Linotype"/>
          <w:b w:val="0"/>
          <w:i/>
          <w:sz w:val="18"/>
        </w:rPr>
        <w:t>V/STOL Concepts in the United States — Past, Present, and Future.</w:t>
      </w:r>
      <w:r>
        <w:rPr>
          <w:rFonts w:ascii="Palatino Linotype" w:hAnsi="Palatino Linotype" w:eastAsia="Palatino Linotype"/>
          <w:b w:val="0"/>
          <w:i w:val="0"/>
          <w:sz w:val="18"/>
        </w:rPr>
        <w:t xml:space="preserve"> NASA Technical Memorandum 85938 (Report A-9695), NASA Ames Research Center, Moffett Field, CA, April 1984.</w:t>
      </w:r>
    </w:p>
    <w:p>
      <w:pPr>
        <w:spacing w:before="0" w:after="40" w:line="240" w:lineRule="auto"/>
        <w:ind w:left="454" w:hanging="454"/>
        <w:jc w:val="both"/>
      </w:pPr>
      <w:r>
        <w:rPr>
          <w:rFonts w:ascii="Palatino Linotype" w:hAnsi="Palatino Linotype" w:eastAsia="Palatino Linotype"/>
          <w:b w:val="0"/>
          <w:i w:val="0"/>
          <w:sz w:val="18"/>
        </w:rPr>
        <w:t xml:space="preserve">3. Bacchini, A. </w:t>
      </w:r>
      <w:r>
        <w:rPr>
          <w:rFonts w:ascii="Palatino Linotype" w:hAnsi="Palatino Linotype" w:eastAsia="Palatino Linotype"/>
          <w:b w:val="0"/>
          <w:i/>
          <w:sz w:val="18"/>
        </w:rPr>
        <w:t>Electric VTOL Preliminary Design and Wind Tunnel Tests.</w:t>
      </w:r>
      <w:r>
        <w:rPr>
          <w:rFonts w:ascii="Palatino Linotype" w:hAnsi="Palatino Linotype" w:eastAsia="Palatino Linotype"/>
          <w:b w:val="0"/>
          <w:i w:val="0"/>
          <w:sz w:val="18"/>
        </w:rPr>
        <w:t xml:space="preserve"> Doctoral thesis, Politecnico di Torino, Department of Mechanical and Aerospace Engineering, XXXII cycle, March 2020.</w:t>
      </w:r>
    </w:p>
    <w:p>
      <w:pPr>
        <w:spacing w:before="0" w:after="40" w:line="240" w:lineRule="auto"/>
        <w:ind w:left="454" w:hanging="454"/>
        <w:jc w:val="both"/>
      </w:pPr>
      <w:r>
        <w:rPr>
          <w:rFonts w:ascii="Palatino Linotype" w:hAnsi="Palatino Linotype" w:eastAsia="Palatino Linotype"/>
          <w:b w:val="0"/>
          <w:i w:val="0"/>
          <w:sz w:val="18"/>
        </w:rPr>
        <w:t xml:space="preserve">4. Mathur, A.; Atkins, E. </w:t>
      </w:r>
      <w:r>
        <w:rPr>
          <w:rFonts w:ascii="Palatino Linotype" w:hAnsi="Palatino Linotype" w:eastAsia="Palatino Linotype"/>
          <w:b w:val="0"/>
          <w:i/>
          <w:sz w:val="18"/>
        </w:rPr>
        <w:t>Wind Tunnel Testing and Aerodynamic Characterization of a QuadPlane Uncrewed Aircraft System.</w:t>
      </w:r>
      <w:r>
        <w:rPr>
          <w:rFonts w:ascii="Palatino Linotype" w:hAnsi="Palatino Linotype" w:eastAsia="Palatino Linotype"/>
          <w:b w:val="0"/>
          <w:i w:val="0"/>
          <w:sz w:val="18"/>
        </w:rPr>
        <w:t xml:space="preserve"> arXiv:2301.12316, 2023.</w:t>
      </w:r>
    </w:p>
    <w:p>
      <w:pPr>
        <w:spacing w:before="0" w:after="40" w:line="240" w:lineRule="auto"/>
        <w:ind w:left="454" w:hanging="454"/>
        <w:jc w:val="both"/>
      </w:pPr>
      <w:r>
        <w:rPr>
          <w:rFonts w:ascii="Palatino Linotype" w:hAnsi="Palatino Linotype" w:eastAsia="Palatino Linotype"/>
          <w:b w:val="0"/>
          <w:i w:val="0"/>
          <w:sz w:val="18"/>
        </w:rPr>
        <w:t xml:space="preserve">5. Sahwee, Z.; Mohd Kamal, N. L.; Abdul Hamid, S.; Norhashim, N.; Lotta, N.; Mohd Asri, M. H. Drag Assessment of Vertical Lift Propeller in Forward Flight for Electric Fixed-Wing VTOL Unmanned Aerial Vehicle. </w:t>
      </w:r>
      <w:r>
        <w:rPr>
          <w:rFonts w:ascii="Palatino Linotype" w:hAnsi="Palatino Linotype" w:eastAsia="Palatino Linotype"/>
          <w:b w:val="0"/>
          <w:i/>
          <w:sz w:val="18"/>
        </w:rPr>
        <w:t>IOP Conference Series: Materials Science and Engineering</w:t>
      </w:r>
      <w:r>
        <w:rPr>
          <w:rFonts w:ascii="Palatino Linotype" w:hAnsi="Palatino Linotype" w:eastAsia="Palatino Linotype"/>
          <w:b w:val="0"/>
          <w:i w:val="0"/>
          <w:sz w:val="18"/>
        </w:rPr>
        <w:t xml:space="preserve"> </w:t>
      </w:r>
      <w:r>
        <w:rPr>
          <w:rFonts w:ascii="Palatino Linotype" w:hAnsi="Palatino Linotype" w:eastAsia="Palatino Linotype"/>
          <w:b/>
          <w:i w:val="0"/>
          <w:sz w:val="18"/>
        </w:rPr>
        <w:t>705</w:t>
      </w:r>
      <w:r>
        <w:rPr>
          <w:rFonts w:ascii="Palatino Linotype" w:hAnsi="Palatino Linotype" w:eastAsia="Palatino Linotype"/>
          <w:b w:val="0"/>
          <w:i w:val="0"/>
          <w:sz w:val="18"/>
        </w:rPr>
        <w:t>, 012007, 2019. doi:10.1088/1757-899X/705/1/012007</w:t>
      </w:r>
    </w:p>
    <w:p>
      <w:pPr>
        <w:spacing w:before="0" w:after="40" w:line="240" w:lineRule="auto"/>
        <w:ind w:left="454" w:hanging="454"/>
        <w:jc w:val="both"/>
      </w:pPr>
      <w:r>
        <w:rPr>
          <w:rFonts w:ascii="Palatino Linotype" w:hAnsi="Palatino Linotype" w:eastAsia="Palatino Linotype"/>
          <w:b w:val="0"/>
          <w:i w:val="0"/>
          <w:sz w:val="18"/>
        </w:rPr>
        <w:t xml:space="preserve">6. Silva, C.; Johnson, W.; Antcliff, K. R.; Patterson, M. D. </w:t>
      </w:r>
      <w:r>
        <w:rPr>
          <w:rFonts w:ascii="Palatino Linotype" w:hAnsi="Palatino Linotype" w:eastAsia="Palatino Linotype"/>
          <w:b w:val="0"/>
          <w:i/>
          <w:sz w:val="18"/>
        </w:rPr>
        <w:t>VTOL Urban Air Mobility Concept Vehicles for Technology Development.</w:t>
      </w:r>
      <w:r>
        <w:rPr>
          <w:rFonts w:ascii="Palatino Linotype" w:hAnsi="Palatino Linotype" w:eastAsia="Palatino Linotype"/>
          <w:b w:val="0"/>
          <w:i w:val="0"/>
          <w:sz w:val="18"/>
        </w:rPr>
        <w:t xml:space="preserve"> AIAA Paper 2018-3847, 2018 Aviation Technology, Integration, and Operations Conference, Atlanta, GA, June 2018. doi:10.2514/6.2018-3847</w:t>
      </w:r>
    </w:p>
    <w:p>
      <w:pPr>
        <w:spacing w:before="0" w:after="40" w:line="240" w:lineRule="auto"/>
        <w:ind w:left="454" w:hanging="454"/>
        <w:jc w:val="both"/>
      </w:pPr>
      <w:r>
        <w:rPr>
          <w:rFonts w:ascii="Palatino Linotype" w:hAnsi="Palatino Linotype" w:eastAsia="Palatino Linotype"/>
          <w:b w:val="0"/>
          <w:i w:val="0"/>
          <w:sz w:val="18"/>
        </w:rPr>
        <w:t xml:space="preserve">7. Xu, W.; Gu, H.; Qing, Y.; Lin, J.; Zhang, F. </w:t>
      </w:r>
      <w:r>
        <w:rPr>
          <w:rFonts w:ascii="Palatino Linotype" w:hAnsi="Palatino Linotype" w:eastAsia="Palatino Linotype"/>
          <w:b w:val="0"/>
          <w:i/>
          <w:sz w:val="18"/>
        </w:rPr>
        <w:t>Full Attitude Control of an Efficient Quadrotor Tail-sitter VTOL UAV with Flexible Modes.</w:t>
      </w:r>
      <w:r>
        <w:rPr>
          <w:rFonts w:ascii="Palatino Linotype" w:hAnsi="Palatino Linotype" w:eastAsia="Palatino Linotype"/>
          <w:b w:val="0"/>
          <w:i w:val="0"/>
          <w:sz w:val="18"/>
        </w:rPr>
        <w:t xml:space="preserve"> arXiv:1903.06393, 2019.</w:t>
      </w:r>
    </w:p>
    <w:p>
      <w:pPr>
        <w:spacing w:before="0" w:after="40" w:line="240" w:lineRule="auto"/>
        <w:ind w:left="454" w:hanging="454"/>
        <w:jc w:val="both"/>
      </w:pPr>
      <w:r>
        <w:rPr>
          <w:rFonts w:ascii="Palatino Linotype" w:hAnsi="Palatino Linotype" w:eastAsia="Palatino Linotype"/>
          <w:b w:val="0"/>
          <w:i w:val="0"/>
          <w:sz w:val="18"/>
        </w:rPr>
        <w:t xml:space="preserve">8. HAVELSAN. </w:t>
      </w:r>
      <w:r>
        <w:rPr>
          <w:rFonts w:ascii="Palatino Linotype" w:hAnsi="Palatino Linotype" w:eastAsia="Palatino Linotype"/>
          <w:b w:val="0"/>
          <w:i/>
          <w:sz w:val="18"/>
        </w:rPr>
        <w:t>BAHA — Sub-Cloud Autonomous UAV.</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9. Textron Systems. </w:t>
      </w:r>
      <w:r>
        <w:rPr>
          <w:rFonts w:ascii="Palatino Linotype" w:hAnsi="Palatino Linotype" w:eastAsia="Palatino Linotype"/>
          <w:b w:val="0"/>
          <w:i/>
          <w:sz w:val="18"/>
        </w:rPr>
        <w:t>Aerosonde Mk 4.7 HQ (VTOL).</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10. Baykar. </w:t>
      </w:r>
      <w:r>
        <w:rPr>
          <w:rFonts w:ascii="Palatino Linotype" w:hAnsi="Palatino Linotype" w:eastAsia="Palatino Linotype"/>
          <w:b w:val="0"/>
          <w:i/>
          <w:sz w:val="18"/>
        </w:rPr>
        <w:t>KALKAN.</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11. HAVELSAN. </w:t>
      </w:r>
      <w:r>
        <w:rPr>
          <w:rFonts w:ascii="Palatino Linotype" w:hAnsi="Palatino Linotype" w:eastAsia="Palatino Linotype"/>
          <w:b w:val="0"/>
          <w:i/>
          <w:sz w:val="18"/>
        </w:rPr>
        <w:t>BULUT.</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12. Elroy Air. </w:t>
      </w:r>
      <w:r>
        <w:rPr>
          <w:rFonts w:ascii="Palatino Linotype" w:hAnsi="Palatino Linotype" w:eastAsia="Palatino Linotype"/>
          <w:b w:val="0"/>
          <w:i/>
          <w:sz w:val="18"/>
        </w:rPr>
        <w:t>Chaparral.</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13. Sabrewing Aircraft Company. </w:t>
      </w:r>
      <w:r>
        <w:rPr>
          <w:rFonts w:ascii="Palatino Linotype" w:hAnsi="Palatino Linotype" w:eastAsia="Palatino Linotype"/>
          <w:b w:val="0"/>
          <w:i/>
          <w:sz w:val="18"/>
        </w:rPr>
        <w:t>Rhaegal-A.</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14. Pipistrel. </w:t>
      </w:r>
      <w:r>
        <w:rPr>
          <w:rFonts w:ascii="Palatino Linotype" w:hAnsi="Palatino Linotype" w:eastAsia="Palatino Linotype"/>
          <w:b w:val="0"/>
          <w:i/>
          <w:sz w:val="18"/>
        </w:rPr>
        <w:t>Nuuva V300.</w:t>
      </w:r>
      <w:r>
        <w:rPr>
          <w:rFonts w:ascii="Palatino Linotype" w:hAnsi="Palatino Linotype" w:eastAsia="Palatino Linotype"/>
          <w:b w:val="0"/>
          <w:i w:val="0"/>
          <w:sz w:val="18"/>
        </w:rPr>
        <w:t xml:space="preserve"> Manufacturer product sheet. Accessed 27 August 2026.</w:t>
      </w:r>
    </w:p>
    <w:p>
      <w:pPr>
        <w:spacing w:before="0" w:after="40" w:line="240" w:lineRule="auto"/>
        <w:ind w:left="454" w:hanging="454"/>
        <w:jc w:val="both"/>
      </w:pPr>
      <w:r>
        <w:rPr>
          <w:rFonts w:ascii="Palatino Linotype" w:hAnsi="Palatino Linotype" w:eastAsia="Palatino Linotype"/>
          <w:b w:val="0"/>
          <w:i w:val="0"/>
          <w:sz w:val="18"/>
        </w:rPr>
        <w:t xml:space="preserve">15. Sharpe, P. D. </w:t>
      </w:r>
      <w:r>
        <w:rPr>
          <w:rFonts w:ascii="Palatino Linotype" w:hAnsi="Palatino Linotype" w:eastAsia="Palatino Linotype"/>
          <w:b w:val="0"/>
          <w:i/>
          <w:sz w:val="18"/>
        </w:rPr>
        <w:t>AeroSandbox: A Differentiable Framework for Aircraft Design Optimization.</w:t>
      </w:r>
      <w:r>
        <w:rPr>
          <w:rFonts w:ascii="Palatino Linotype" w:hAnsi="Palatino Linotype" w:eastAsia="Palatino Linotype"/>
          <w:b w:val="0"/>
          <w:i w:val="0"/>
          <w:sz w:val="18"/>
        </w:rPr>
        <w:t xml:space="preserve"> S.M. thesis, Massachusetts Institute of Technology, 2021. Software: https://github.com/peterdsharpe/AeroSandbox</w:t>
      </w:r>
    </w:p>
    <w:p>
      <w:pPr>
        <w:spacing w:before="0" w:after="40" w:line="240" w:lineRule="auto"/>
        <w:ind w:left="454" w:hanging="454"/>
        <w:jc w:val="both"/>
      </w:pPr>
      <w:r>
        <w:rPr>
          <w:rFonts w:ascii="Palatino Linotype" w:hAnsi="Palatino Linotype" w:eastAsia="Palatino Linotype"/>
          <w:b w:val="0"/>
          <w:i w:val="0"/>
          <w:sz w:val="18"/>
        </w:rPr>
        <w:t xml:space="preserve">16. Sharpe, P. D. </w:t>
      </w:r>
      <w:r>
        <w:rPr>
          <w:rFonts w:ascii="Palatino Linotype" w:hAnsi="Palatino Linotype" w:eastAsia="Palatino Linotype"/>
          <w:b w:val="0"/>
          <w:i/>
          <w:sz w:val="18"/>
        </w:rPr>
        <w:t>NeuralFoil: An airfoil aerodynamics analysis tool using physics-informed machine learning.</w:t>
      </w:r>
      <w:r>
        <w:rPr>
          <w:rFonts w:ascii="Palatino Linotype" w:hAnsi="Palatino Linotype" w:eastAsia="Palatino Linotype"/>
          <w:b w:val="0"/>
          <w:i w:val="0"/>
          <w:sz w:val="18"/>
        </w:rPr>
        <w:t xml:space="preserve"> 2023. Software: https://github.com/peterdsharpe/NeuralFoil</w:t>
      </w:r>
    </w:p>
    <w:p>
      <w:pPr>
        <w:spacing w:before="0" w:after="40" w:line="240" w:lineRule="auto"/>
        <w:ind w:left="454" w:hanging="454"/>
        <w:jc w:val="both"/>
      </w:pPr>
      <w:r>
        <w:rPr>
          <w:rFonts w:ascii="Palatino Linotype" w:hAnsi="Palatino Linotype" w:eastAsia="Palatino Linotype"/>
          <w:b w:val="0"/>
          <w:i w:val="0"/>
          <w:sz w:val="18"/>
        </w:rPr>
        <w:t xml:space="preserve">17. Jacobs, E. N.; Ward, K. E.; Pinkerton, R. M. </w:t>
      </w:r>
      <w:r>
        <w:rPr>
          <w:rFonts w:ascii="Palatino Linotype" w:hAnsi="Palatino Linotype" w:eastAsia="Palatino Linotype"/>
          <w:b w:val="0"/>
          <w:i/>
          <w:sz w:val="18"/>
        </w:rPr>
        <w:t>The Characteristics of 78 Related Airfoil Sections from Tests in the Variable-Density Wind Tunnel.</w:t>
      </w:r>
      <w:r>
        <w:rPr>
          <w:rFonts w:ascii="Palatino Linotype" w:hAnsi="Palatino Linotype" w:eastAsia="Palatino Linotype"/>
          <w:b w:val="0"/>
          <w:i w:val="0"/>
          <w:sz w:val="18"/>
        </w:rPr>
        <w:t xml:space="preserve"> NACA Report No. 460, National Advisory Committee for Aeronautics, 1933. (Reflexed mean-line sections NACA 2R112 and 2R212, pp. 52–53.)</w:t>
      </w:r>
    </w:p>
    <w:p>
      <w:pPr>
        <w:spacing w:before="0" w:after="40" w:line="240" w:lineRule="auto"/>
        <w:ind w:left="454" w:hanging="454"/>
        <w:jc w:val="both"/>
      </w:pPr>
      <w:r>
        <w:rPr>
          <w:rFonts w:ascii="Palatino Linotype" w:hAnsi="Palatino Linotype" w:eastAsia="Palatino Linotype"/>
          <w:b w:val="0"/>
          <w:i w:val="0"/>
          <w:sz w:val="18"/>
        </w:rPr>
        <w:t xml:space="preserve">18. Traub, L. W. </w:t>
      </w:r>
      <w:r>
        <w:rPr>
          <w:rFonts w:ascii="Palatino Linotype" w:hAnsi="Palatino Linotype" w:eastAsia="Palatino Linotype"/>
          <w:b w:val="0"/>
          <w:i/>
          <w:sz w:val="18"/>
        </w:rPr>
        <w:t>Effect of Gurney Flaps on Non-Planar Wings at Low Reynolds Number.</w:t>
      </w:r>
      <w:r>
        <w:rPr>
          <w:rFonts w:ascii="Palatino Linotype" w:hAnsi="Palatino Linotype" w:eastAsia="Palatino Linotype"/>
          <w:b w:val="0"/>
          <w:i w:val="0"/>
          <w:sz w:val="18"/>
        </w:rPr>
        <w:t xml:space="preserve"> Aerospace, 2024, 11 (9), 728. https://doi.org/10.3390/aerospace11090728</w:t>
      </w:r>
    </w:p>
    <w:p>
      <w:pPr>
        <w:spacing w:before="0" w:after="40" w:line="240" w:lineRule="auto"/>
        <w:ind w:left="454" w:hanging="454"/>
        <w:jc w:val="both"/>
      </w:pPr>
      <w:r>
        <w:rPr>
          <w:rFonts w:ascii="Palatino Linotype" w:hAnsi="Palatino Linotype" w:eastAsia="Palatino Linotype"/>
          <w:b w:val="0"/>
          <w:i w:val="0"/>
          <w:sz w:val="18"/>
        </w:rPr>
        <w:t xml:space="preserve">19. </w:t>
      </w:r>
      <w:r>
        <w:rPr>
          <w:rFonts w:ascii="Palatino Linotype" w:hAnsi="Palatino Linotype" w:eastAsia="Palatino Linotype"/>
          <w:b w:val="0"/>
          <w:i/>
          <w:sz w:val="18"/>
        </w:rPr>
        <w:t>An Interim Report on the Stability and Control of Tailless Airplanes.</w:t>
      </w:r>
      <w:r>
        <w:rPr>
          <w:rFonts w:ascii="Palatino Linotype" w:hAnsi="Palatino Linotype" w:eastAsia="Palatino Linotype"/>
          <w:b w:val="0"/>
          <w:i w:val="0"/>
          <w:sz w:val="18"/>
        </w:rPr>
        <w:t xml:space="preserve"> NACA Report No. 796, Langley Research Division, National Advisory Committee for Aeronautics, 1944. (Tip fins on swept tailless aircraft, pp. 428–429.)</w:t>
      </w:r>
    </w:p>
    <w:p>
      <w:pPr>
        <w:spacing w:before="0" w:after="40" w:line="240" w:lineRule="auto"/>
        <w:ind w:left="454" w:hanging="454"/>
        <w:jc w:val="both"/>
      </w:pPr>
      <w:r>
        <w:rPr>
          <w:rFonts w:ascii="Palatino Linotype" w:hAnsi="Palatino Linotype" w:eastAsia="Palatino Linotype"/>
          <w:b w:val="0"/>
          <w:i w:val="0"/>
          <w:sz w:val="18"/>
        </w:rPr>
        <w:t xml:space="preserve">20. Moul, T. M.; Fears, S. P.; Ross, H. M.; Foster, J. V. </w:t>
      </w:r>
      <w:r>
        <w:rPr>
          <w:rFonts w:ascii="Palatino Linotype" w:hAnsi="Palatino Linotype" w:eastAsia="Palatino Linotype"/>
          <w:b w:val="0"/>
          <w:i/>
          <w:sz w:val="18"/>
        </w:rPr>
        <w:t>Low-Speed Wind-Tunnel Investigation of the Stability and Control Characteristics of a Series of Flying Wings With Sweep Angles of 60°.</w:t>
      </w:r>
      <w:r>
        <w:rPr>
          <w:rFonts w:ascii="Palatino Linotype" w:hAnsi="Palatino Linotype" w:eastAsia="Palatino Linotype"/>
          <w:b w:val="0"/>
          <w:i w:val="0"/>
          <w:sz w:val="18"/>
        </w:rPr>
        <w:t xml:space="preserve"> NASA Technical Memorandum 4649, Langley Research Center, August 1995.</w:t>
      </w:r>
    </w:p>
    <w:p>
      <w:pPr>
        <w:spacing w:before="0" w:after="40" w:line="240" w:lineRule="auto"/>
        <w:ind w:left="454" w:hanging="454"/>
        <w:jc w:val="both"/>
      </w:pPr>
      <w:r>
        <w:rPr>
          <w:rFonts w:ascii="Palatino Linotype" w:hAnsi="Palatino Linotype" w:eastAsia="Palatino Linotype"/>
          <w:b w:val="0"/>
          <w:i w:val="0"/>
          <w:sz w:val="18"/>
        </w:rPr>
        <w:t xml:space="preserve">21. Bacchini, A.; Cestino, E. Electric VTOL Configurations Comparison.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2019</w:t>
      </w:r>
      <w:r>
        <w:rPr>
          <w:rFonts w:ascii="Palatino Linotype" w:hAnsi="Palatino Linotype" w:eastAsia="Palatino Linotype"/>
          <w:b w:val="0"/>
          <w:i w:val="0"/>
          <w:sz w:val="18"/>
        </w:rPr>
        <w:t>, 6 (3), 26. https://doi.org/10.3390/aerospace6030026</w:t>
      </w:r>
    </w:p>
    <w:p>
      <w:pPr>
        <w:spacing w:before="0" w:after="40" w:line="240" w:lineRule="auto"/>
        <w:ind w:left="454" w:hanging="454"/>
        <w:jc w:val="both"/>
      </w:pPr>
      <w:r>
        <w:rPr>
          <w:rFonts w:ascii="Palatino Linotype" w:hAnsi="Palatino Linotype" w:eastAsia="Palatino Linotype"/>
          <w:b w:val="0"/>
          <w:i w:val="0"/>
          <w:sz w:val="18"/>
        </w:rPr>
        <w:t xml:space="preserve">22. Johnson, W.; Silva, C. NASA concept vehicles and the engineering of advanced air mobility aircraft. </w:t>
      </w:r>
      <w:r>
        <w:rPr>
          <w:rFonts w:ascii="Palatino Linotype" w:hAnsi="Palatino Linotype" w:eastAsia="Palatino Linotype"/>
          <w:b w:val="0"/>
          <w:i/>
          <w:sz w:val="18"/>
        </w:rPr>
        <w:t>The Aeronautical Journal</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2022</w:t>
      </w:r>
      <w:r>
        <w:rPr>
          <w:rFonts w:ascii="Palatino Linotype" w:hAnsi="Palatino Linotype" w:eastAsia="Palatino Linotype"/>
          <w:b w:val="0"/>
          <w:i w:val="0"/>
          <w:sz w:val="18"/>
        </w:rPr>
        <w:t>, 126 (1295), 59–91. doi:10.1017/aer.2021.92</w:t>
      </w:r>
    </w:p>
    <w:p>
      <w:pPr>
        <w:spacing w:before="0" w:after="40" w:line="240" w:lineRule="auto"/>
        <w:ind w:left="454" w:hanging="454"/>
        <w:jc w:val="both"/>
      </w:pPr>
      <w:r>
        <w:rPr>
          <w:rFonts w:ascii="Palatino Linotype" w:hAnsi="Palatino Linotype" w:eastAsia="Palatino Linotype"/>
          <w:b w:val="0"/>
          <w:i w:val="0"/>
          <w:sz w:val="18"/>
        </w:rPr>
        <w:t xml:space="preserve">23. Folk, S. </w:t>
      </w:r>
      <w:r>
        <w:rPr>
          <w:rFonts w:ascii="Palatino Linotype" w:hAnsi="Palatino Linotype" w:eastAsia="Palatino Linotype"/>
          <w:b w:val="0"/>
          <w:i/>
          <w:sz w:val="18"/>
        </w:rPr>
        <w:t>Modeling, Planning, and Control for Hybrid UAV Transition Maneuvers.</w:t>
      </w:r>
      <w:r>
        <w:rPr>
          <w:rFonts w:ascii="Palatino Linotype" w:hAnsi="Palatino Linotype" w:eastAsia="Palatino Linotype"/>
          <w:b w:val="0"/>
          <w:i w:val="0"/>
          <w:sz w:val="18"/>
        </w:rPr>
        <w:t xml:space="preserve"> Qualifying examination report, Department of Mechanical Engineering and Applied Mechanics, University of Pennsylvania, 2020; arXiv:2412.06197, 2024.</w:t>
      </w:r>
    </w:p>
    <w:p>
      <w:pPr>
        <w:spacing w:before="0" w:after="40" w:line="240" w:lineRule="auto"/>
        <w:ind w:left="454" w:hanging="454"/>
        <w:jc w:val="both"/>
      </w:pPr>
      <w:r>
        <w:rPr>
          <w:rFonts w:ascii="Palatino Linotype" w:hAnsi="Palatino Linotype" w:eastAsia="Palatino Linotype"/>
          <w:b w:val="0"/>
          <w:i w:val="0"/>
          <w:sz w:val="18"/>
        </w:rPr>
        <w:t xml:space="preserve">24. Falkner, V. M. </w:t>
      </w:r>
      <w:r>
        <w:rPr>
          <w:rFonts w:ascii="Palatino Linotype" w:hAnsi="Palatino Linotype" w:eastAsia="Palatino Linotype"/>
          <w:b w:val="0"/>
          <w:i/>
          <w:sz w:val="18"/>
        </w:rPr>
        <w:t>The Scope and Accuracy of Vortex Lattice Theory.</w:t>
      </w:r>
      <w:r>
        <w:rPr>
          <w:rFonts w:ascii="Palatino Linotype" w:hAnsi="Palatino Linotype" w:eastAsia="Palatino Linotype"/>
          <w:b w:val="0"/>
          <w:i w:val="0"/>
          <w:sz w:val="18"/>
        </w:rPr>
        <w:t xml:space="preserve"> Aeronautical Research Council Reports and Memoranda No. 2749, Ministry of Supply, London, 1952.</w:t>
      </w:r>
    </w:p>
    <w:p>
      <w:pPr>
        <w:spacing w:before="0" w:after="40" w:line="240" w:lineRule="auto"/>
        <w:ind w:left="454" w:hanging="454"/>
        <w:jc w:val="both"/>
      </w:pPr>
      <w:r>
        <w:rPr>
          <w:rFonts w:ascii="Palatino Linotype" w:hAnsi="Palatino Linotype" w:eastAsia="Palatino Linotype"/>
          <w:b w:val="0"/>
          <w:i w:val="0"/>
          <w:sz w:val="18"/>
        </w:rPr>
        <w:t xml:space="preserve">25. Smith, C. W.; Bhateley, I. C. </w:t>
      </w:r>
      <w:r>
        <w:rPr>
          <w:rFonts w:ascii="Palatino Linotype" w:hAnsi="Palatino Linotype" w:eastAsia="Palatino Linotype"/>
          <w:b w:val="0"/>
          <w:i/>
          <w:sz w:val="18"/>
        </w:rPr>
        <w:t>Application of the Vortex-Lattice Technique to the Analysis of Thin Wings with Vortex Separation and Thick Multi-Element Wings.</w:t>
      </w:r>
      <w:r>
        <w:rPr>
          <w:rFonts w:ascii="Palatino Linotype" w:hAnsi="Palatino Linotype" w:eastAsia="Palatino Linotype"/>
          <w:b w:val="0"/>
          <w:i w:val="0"/>
          <w:sz w:val="18"/>
        </w:rPr>
        <w:t xml:space="preserve"> NASA report, Fort Worth Division of General Dynamics, 1976.</w:t>
      </w:r>
    </w:p>
    <w:p>
      <w:pPr>
        <w:spacing w:before="0" w:after="40" w:line="240" w:lineRule="auto"/>
        <w:ind w:left="454" w:hanging="454"/>
        <w:jc w:val="both"/>
      </w:pPr>
      <w:r>
        <w:rPr>
          <w:rFonts w:ascii="Palatino Linotype" w:hAnsi="Palatino Linotype" w:eastAsia="Palatino Linotype"/>
          <w:b w:val="0"/>
          <w:i w:val="0"/>
          <w:sz w:val="18"/>
        </w:rPr>
        <w:t xml:space="preserve">26. Ugwueze, O.; Statheros, T.; Bromfield, M. A.; Horri, N. An Efficient and Robust Sizing Method for eVTOL Aircraft Configurations in Conceptual Design.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2023</w:t>
      </w:r>
      <w:r>
        <w:rPr>
          <w:rFonts w:ascii="Palatino Linotype" w:hAnsi="Palatino Linotype" w:eastAsia="Palatino Linotype"/>
          <w:b w:val="0"/>
          <w:i w:val="0"/>
          <w:sz w:val="18"/>
        </w:rPr>
        <w:t>, 10 (3), 311. https://doi.org/10.3390/aerospace10030311</w:t>
      </w:r>
    </w:p>
    <w:p>
      <w:pPr>
        <w:spacing w:before="0" w:after="40" w:line="240" w:lineRule="auto"/>
        <w:ind w:left="454" w:hanging="454"/>
        <w:jc w:val="both"/>
      </w:pPr>
      <w:r>
        <w:rPr>
          <w:rFonts w:ascii="Palatino Linotype" w:hAnsi="Palatino Linotype" w:eastAsia="Palatino Linotype"/>
          <w:b w:val="0"/>
          <w:i w:val="0"/>
          <w:sz w:val="18"/>
        </w:rPr>
        <w:t xml:space="preserve">27. Shinde, S. D.; Patel, A. A.; Mehta, M. A.; Mehta, A. B.; Kotecha, K. Airfoil Selection Procedure, Wind Tunnel Experimentation and Implementation of 6DOF Modeling on a Flying Wing Micro Aerial Vehicle. </w:t>
      </w:r>
      <w:r>
        <w:rPr>
          <w:rFonts w:ascii="Palatino Linotype" w:hAnsi="Palatino Linotype" w:eastAsia="Palatino Linotype"/>
          <w:b w:val="0"/>
          <w:i/>
          <w:sz w:val="18"/>
        </w:rPr>
        <w:t>Micromachines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2020</w:t>
      </w:r>
      <w:r>
        <w:rPr>
          <w:rFonts w:ascii="Palatino Linotype" w:hAnsi="Palatino Linotype" w:eastAsia="Palatino Linotype"/>
          <w:b w:val="0"/>
          <w:i w:val="0"/>
          <w:sz w:val="18"/>
        </w:rPr>
        <w:t>, 11 (6), 553. https://doi.org/10.3390/mi11060553</w:t>
      </w:r>
    </w:p>
    <w:p>
      <w:pPr>
        <w:spacing w:before="0" w:after="40" w:line="240" w:lineRule="auto"/>
        <w:ind w:left="454" w:hanging="454"/>
        <w:jc w:val="both"/>
      </w:pPr>
      <w:r>
        <w:rPr>
          <w:rFonts w:ascii="Palatino Linotype" w:hAnsi="Palatino Linotype" w:eastAsia="Palatino Linotype"/>
          <w:b w:val="0"/>
          <w:i w:val="0"/>
          <w:sz w:val="18"/>
        </w:rPr>
        <w:t xml:space="preserve">28. Li, B.; Sun, J.; Zhou, W.; Wen, C.-Y.; Low, K. H.; Chen, C.-K. Transition Optimization for a VTOL Tail-sitter UAV. </w:t>
      </w:r>
      <w:r>
        <w:rPr>
          <w:rFonts w:ascii="Palatino Linotype" w:hAnsi="Palatino Linotype" w:eastAsia="Palatino Linotype"/>
          <w:b w:val="0"/>
          <w:i/>
          <w:sz w:val="18"/>
        </w:rPr>
        <w:t>IEEE/ASME Transactions on Mechatronics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2020</w:t>
      </w:r>
      <w:r>
        <w:rPr>
          <w:rFonts w:ascii="Palatino Linotype" w:hAnsi="Palatino Linotype" w:eastAsia="Palatino Linotype"/>
          <w:b w:val="0"/>
          <w:i w:val="0"/>
          <w:sz w:val="18"/>
        </w:rPr>
        <w:t>. doi:10.1109/TMECH.2020.2983255</w:t>
      </w:r>
    </w:p>
    <w:p>
      <w:pPr>
        <w:spacing w:before="0" w:after="40" w:line="240" w:lineRule="auto"/>
        <w:ind w:left="454" w:hanging="454"/>
        <w:jc w:val="both"/>
      </w:pPr>
      <w:r>
        <w:rPr>
          <w:rFonts w:ascii="Palatino Linotype" w:hAnsi="Palatino Linotype" w:eastAsia="Palatino Linotype"/>
          <w:b w:val="0"/>
          <w:i w:val="0"/>
          <w:sz w:val="18"/>
        </w:rPr>
        <w:t xml:space="preserve">29. Lyu, X.; Gu, H.; Zhou, J.; Li, Z.; Shen, S.; Zhang, F. </w:t>
      </w:r>
      <w:r>
        <w:rPr>
          <w:rFonts w:ascii="Palatino Linotype" w:hAnsi="Palatino Linotype" w:eastAsia="Palatino Linotype"/>
          <w:b w:val="0"/>
          <w:i/>
          <w:sz w:val="18"/>
        </w:rPr>
        <w:t>A Hierarchical Control Approach for a Quadrotor Tail-Sitter VTOL UAV and Experimental Verification.</w:t>
      </w:r>
      <w:r>
        <w:rPr>
          <w:rFonts w:ascii="Palatino Linotype" w:hAnsi="Palatino Linotype" w:eastAsia="Palatino Linotype"/>
          <w:b w:val="0"/>
          <w:i w:val="0"/>
          <w:sz w:val="18"/>
        </w:rPr>
        <w:t xml:space="preserve"> IEEE/RSJ International Conference on Intelligent Robots and Systems (IROS), 2017.</w:t>
      </w:r>
    </w:p>
    <w:p>
      <w:pPr>
        <w:spacing w:before="0" w:after="40" w:line="240" w:lineRule="auto"/>
        <w:ind w:left="454" w:hanging="454"/>
        <w:jc w:val="both"/>
      </w:pPr>
      <w:r>
        <w:rPr>
          <w:rFonts w:ascii="Palatino Linotype" w:hAnsi="Palatino Linotype" w:eastAsia="Palatino Linotype"/>
          <w:b w:val="0"/>
          <w:i w:val="0"/>
          <w:sz w:val="18"/>
        </w:rPr>
        <w:t xml:space="preserve">30. Carter, G. I. </w:t>
      </w:r>
      <w:r>
        <w:rPr>
          <w:rFonts w:ascii="Palatino Linotype" w:hAnsi="Palatino Linotype" w:eastAsia="Palatino Linotype"/>
          <w:b w:val="0"/>
          <w:i/>
          <w:sz w:val="18"/>
        </w:rPr>
        <w:t>Adaptive Control of the Transition from Vertical to Horizontal Flight Regime of a Quad-Tailsitter UAV.</w:t>
      </w:r>
      <w:r>
        <w:rPr>
          <w:rFonts w:ascii="Palatino Linotype" w:hAnsi="Palatino Linotype" w:eastAsia="Palatino Linotype"/>
          <w:b w:val="0"/>
          <w:i w:val="0"/>
          <w:sz w:val="18"/>
        </w:rPr>
        <w:t xml:space="preserve"> M.S. thesis, Virginia Polytechnic Institute and State University, 2021.</w:t>
      </w:r>
    </w:p>
    <w:p>
      <w:pPr>
        <w:spacing w:before="0" w:after="40" w:line="240" w:lineRule="auto"/>
        <w:ind w:left="454" w:hanging="454"/>
        <w:jc w:val="both"/>
      </w:pPr>
      <w:r>
        <w:rPr>
          <w:rFonts w:ascii="Palatino Linotype" w:hAnsi="Palatino Linotype" w:eastAsia="Palatino Linotype"/>
          <w:b w:val="0"/>
          <w:i w:val="0"/>
          <w:sz w:val="18"/>
        </w:rPr>
        <w:t xml:space="preserve">31. Cheng, Z.; Pei, H. Time Optimal Altitude-Hold Flight Mode Transition Strategy for a Class of Ducted Fan Tail Sitter UAV.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2024</w:t>
      </w:r>
      <w:r>
        <w:rPr>
          <w:rFonts w:ascii="Palatino Linotype" w:hAnsi="Palatino Linotype" w:eastAsia="Palatino Linotype"/>
          <w:b w:val="0"/>
          <w:i w:val="0"/>
          <w:sz w:val="18"/>
        </w:rPr>
        <w:t>, 11 (8), 654. https://doi.org/10.3390/aerospace11080654</w:t>
      </w:r>
    </w:p>
    <w:p>
      <w:pPr>
        <w:spacing w:before="0" w:after="40" w:line="240" w:lineRule="auto"/>
        <w:ind w:left="454" w:hanging="454"/>
        <w:jc w:val="both"/>
      </w:pPr>
      <w:r>
        <w:rPr>
          <w:rFonts w:ascii="Palatino Linotype" w:hAnsi="Palatino Linotype" w:eastAsia="Palatino Linotype"/>
          <w:b w:val="0"/>
          <w:i w:val="0"/>
          <w:sz w:val="18"/>
        </w:rPr>
        <w:t xml:space="preserve">32. Ross, J. C.; Storms, B. L.; Carrannanto, P. G. </w:t>
      </w:r>
      <w:r>
        <w:rPr>
          <w:rFonts w:ascii="Palatino Linotype" w:hAnsi="Palatino Linotype" w:eastAsia="Palatino Linotype"/>
          <w:b w:val="0"/>
          <w:i/>
          <w:sz w:val="18"/>
        </w:rPr>
        <w:t>Lift-Enhancing Tabs on Multielement Airfoils.</w:t>
      </w:r>
      <w:r>
        <w:rPr>
          <w:rFonts w:ascii="Palatino Linotype" w:hAnsi="Palatino Linotype" w:eastAsia="Palatino Linotype"/>
          <w:b w:val="0"/>
          <w:i w:val="0"/>
          <w:sz w:val="18"/>
        </w:rPr>
        <w:t xml:space="preserve"> NASA Technical Memorandum 112990, Ames Research Center, 1997.</w:t>
      </w:r>
    </w:p>
    <w:p>
      <w:pPr>
        <w:spacing w:before="0" w:after="40" w:line="240" w:lineRule="auto"/>
        <w:ind w:left="454" w:hanging="454"/>
        <w:jc w:val="both"/>
      </w:pPr>
      <w:r>
        <w:rPr>
          <w:rFonts w:ascii="Palatino Linotype" w:hAnsi="Palatino Linotype" w:eastAsia="Palatino Linotype"/>
          <w:b w:val="0"/>
          <w:i w:val="0"/>
          <w:sz w:val="18"/>
        </w:rPr>
        <w:t xml:space="preserve">33. Buchholz, M. D. </w:t>
      </w:r>
      <w:r>
        <w:rPr>
          <w:rFonts w:ascii="Palatino Linotype" w:hAnsi="Palatino Linotype" w:eastAsia="Palatino Linotype"/>
          <w:b w:val="0"/>
          <w:i/>
          <w:sz w:val="18"/>
        </w:rPr>
        <w:t>Lift Augmentation on a Delta Wing via Leading Edge Fences and the Gurney Flap.</w:t>
      </w:r>
      <w:r>
        <w:rPr>
          <w:rFonts w:ascii="Palatino Linotype" w:hAnsi="Palatino Linotype" w:eastAsia="Palatino Linotype"/>
          <w:b w:val="0"/>
          <w:i w:val="0"/>
          <w:sz w:val="18"/>
        </w:rPr>
        <w:t xml:space="preserve"> M.S. thesis; NASA Contractor Report 194793, 1993.</w:t>
      </w:r>
    </w:p>
    <w:p>
      <w:pPr>
        <w:spacing w:before="0" w:after="40" w:line="240" w:lineRule="auto"/>
        <w:ind w:left="454" w:hanging="454"/>
        <w:jc w:val="both"/>
      </w:pPr>
      <w:r>
        <w:rPr>
          <w:rFonts w:ascii="Palatino Linotype" w:hAnsi="Palatino Linotype" w:eastAsia="Palatino Linotype"/>
          <w:b w:val="0"/>
          <w:i w:val="0"/>
          <w:sz w:val="18"/>
        </w:rPr>
        <w:t xml:space="preserve">34. </w:t>
      </w:r>
      <w:r>
        <w:rPr>
          <w:rFonts w:ascii="Palatino Linotype" w:hAnsi="Palatino Linotype" w:eastAsia="Palatino Linotype"/>
          <w:b w:val="0"/>
          <w:i/>
          <w:sz w:val="18"/>
        </w:rPr>
        <w:t>Wind Tunnel Tests on a Tail-less Swept Wing Span-Distributed Cargo Aircraft Configuration.</w:t>
      </w:r>
      <w:r>
        <w:rPr>
          <w:rFonts w:ascii="Palatino Linotype" w:hAnsi="Palatino Linotype" w:eastAsia="Palatino Linotype"/>
          <w:b w:val="0"/>
          <w:i w:val="0"/>
          <w:sz w:val="18"/>
        </w:rPr>
        <w:t xml:space="preserve"> NASA Technical Memorandum 78767, 1978.</w:t>
      </w:r>
    </w:p>
    <w:p>
      <w:pPr>
        <w:spacing w:before="0" w:after="40" w:line="240" w:lineRule="auto"/>
        <w:ind w:left="454" w:hanging="454"/>
        <w:jc w:val="both"/>
      </w:pPr>
      <w:r>
        <w:rPr>
          <w:rFonts w:ascii="Palatino Linotype" w:hAnsi="Palatino Linotype" w:eastAsia="Palatino Linotype"/>
          <w:b w:val="0"/>
          <w:i w:val="0"/>
          <w:sz w:val="18"/>
        </w:rPr>
        <w:t xml:space="preserve">35. Yang, J.; Yang, H.; Zhu, W.; Li, N.; Yuan, Y. Experimental Study on Aerodynamic Characteristics of a Gurney Flap on a Wind Turbine Airfoil under High Turbulent Flow Condition. </w:t>
      </w:r>
      <w:r>
        <w:rPr>
          <w:rFonts w:ascii="Palatino Linotype" w:hAnsi="Palatino Linotype" w:eastAsia="Palatino Linotype"/>
          <w:b w:val="0"/>
          <w:i/>
          <w:sz w:val="18"/>
        </w:rPr>
        <w:t>Applied Sciences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2020</w:t>
      </w:r>
      <w:r>
        <w:rPr>
          <w:rFonts w:ascii="Palatino Linotype" w:hAnsi="Palatino Linotype" w:eastAsia="Palatino Linotype"/>
          <w:b w:val="0"/>
          <w:i w:val="0"/>
          <w:sz w:val="18"/>
        </w:rPr>
        <w:t>, 10 (20), 7258. https://doi.org/10.3390/app10207258</w:t>
      </w:r>
    </w:p>
    <w:p>
      <w:pPr>
        <w:spacing w:before="0" w:after="40" w:line="240" w:lineRule="auto"/>
        <w:ind w:left="454" w:hanging="454"/>
        <w:jc w:val="both"/>
      </w:pPr>
      <w:r>
        <w:rPr>
          <w:rFonts w:ascii="Palatino Linotype" w:hAnsi="Palatino Linotype" w:eastAsia="Palatino Linotype"/>
          <w:b w:val="0"/>
          <w:i w:val="0"/>
          <w:sz w:val="18"/>
        </w:rPr>
        <w:t xml:space="preserve">36. Selig, M. S.; Lyon, C. A.; Giguère, P.; Ninham, C. N.; Guglielmo, J. J. </w:t>
      </w:r>
      <w:r>
        <w:rPr>
          <w:rFonts w:ascii="Palatino Linotype" w:hAnsi="Palatino Linotype" w:eastAsia="Palatino Linotype"/>
          <w:b w:val="0"/>
          <w:i/>
          <w:sz w:val="18"/>
        </w:rPr>
        <w:t>Summary of Low-Speed Airfoil Data, Volume 2.</w:t>
      </w:r>
      <w:r>
        <w:rPr>
          <w:rFonts w:ascii="Palatino Linotype" w:hAnsi="Palatino Linotype" w:eastAsia="Palatino Linotype"/>
          <w:b w:val="0"/>
          <w:i w:val="0"/>
          <w:sz w:val="18"/>
        </w:rPr>
        <w:t xml:space="preserve"> SoarTech Publications: Virginia Beach, VA, 1996. (Volume 1: Selig, M. S.; Guglielmo, J. J.; Broeren, A. P.; Giguère, P., 1995.)</w:t>
      </w:r>
    </w:p>
    <w:p>
      <w:pPr>
        <w:spacing w:before="0" w:after="40" w:line="240" w:lineRule="auto"/>
        <w:ind w:left="454" w:hanging="454"/>
        <w:jc w:val="both"/>
      </w:pPr>
      <w:r>
        <w:rPr>
          <w:rFonts w:ascii="Palatino Linotype" w:hAnsi="Palatino Linotype" w:eastAsia="Palatino Linotype"/>
          <w:b w:val="0"/>
          <w:i w:val="0"/>
          <w:sz w:val="18"/>
        </w:rPr>
        <w:t xml:space="preserve">37. Liu, Z.; Li, K.; Sun, X. Influence of Gurney Flap and Leading-Edge/Trailing-Edge Flaps on the Stall Characteristics and Aeroacoustic Performance of Airfoils. </w:t>
      </w:r>
      <w:r>
        <w:rPr>
          <w:rFonts w:ascii="Palatino Linotype" w:hAnsi="Palatino Linotype" w:eastAsia="Palatino Linotype"/>
          <w:b w:val="0"/>
          <w:i/>
          <w:sz w:val="18"/>
        </w:rPr>
        <w:t>Fluids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2025</w:t>
      </w:r>
      <w:r>
        <w:rPr>
          <w:rFonts w:ascii="Palatino Linotype" w:hAnsi="Palatino Linotype" w:eastAsia="Palatino Linotype"/>
          <w:b w:val="0"/>
          <w:i w:val="0"/>
          <w:sz w:val="18"/>
        </w:rPr>
        <w:t>, 10 (6), 152. https://doi.org/10.3390/fluids10060152</w:t>
      </w:r>
    </w:p>
    <w:p>
      <w:pPr>
        <w:spacing w:before="0" w:after="40" w:line="240" w:lineRule="auto"/>
        <w:ind w:left="454" w:hanging="454"/>
        <w:jc w:val="both"/>
      </w:pPr>
      <w:r>
        <w:rPr>
          <w:rFonts w:ascii="Palatino Linotype" w:hAnsi="Palatino Linotype" w:eastAsia="Palatino Linotype"/>
          <w:b w:val="0"/>
          <w:i w:val="0"/>
          <w:sz w:val="18"/>
        </w:rPr>
        <w:t xml:space="preserve">38. Neuhart, D. H.; Pendergraft, O. C., Jr. </w:t>
      </w:r>
      <w:r>
        <w:rPr>
          <w:rFonts w:ascii="Palatino Linotype" w:hAnsi="Palatino Linotype" w:eastAsia="Palatino Linotype"/>
          <w:b w:val="0"/>
          <w:i/>
          <w:sz w:val="18"/>
        </w:rPr>
        <w:t>A Water Tunnel Study of Gurney Flaps.</w:t>
      </w:r>
      <w:r>
        <w:rPr>
          <w:rFonts w:ascii="Palatino Linotype" w:hAnsi="Palatino Linotype" w:eastAsia="Palatino Linotype"/>
          <w:b w:val="0"/>
          <w:i w:val="0"/>
          <w:sz w:val="18"/>
        </w:rPr>
        <w:t xml:space="preserve"> NASA Technical Memorandum 4071, Langley Research Center, 1988.</w:t>
      </w:r>
    </w:p>
    <w:p>
      <w:pPr>
        <w:spacing w:before="0" w:after="40" w:line="240" w:lineRule="auto"/>
        <w:ind w:left="454" w:hanging="454"/>
        <w:jc w:val="both"/>
      </w:pPr>
      <w:r>
        <w:rPr>
          <w:rFonts w:ascii="Palatino Linotype" w:hAnsi="Palatino Linotype" w:eastAsia="Palatino Linotype"/>
          <w:b w:val="0"/>
          <w:i w:val="0"/>
          <w:sz w:val="18"/>
        </w:rPr>
        <w:t xml:space="preserve">39. Panagiotou, P.; Dimopoulos, T.; Dimitriou, S.; Yakinthos, K. Quasi-3D Aerodynamic Analysis Method for Blended-Wing-Body UAV Configurations.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2021</w:t>
      </w:r>
      <w:r>
        <w:rPr>
          <w:rFonts w:ascii="Palatino Linotype" w:hAnsi="Palatino Linotype" w:eastAsia="Palatino Linotype"/>
          <w:b w:val="0"/>
          <w:i w:val="0"/>
          <w:sz w:val="18"/>
        </w:rPr>
        <w:t>, 8 (1), 13. https://doi.org/10.3390/aerospace8010013</w:t>
      </w:r>
    </w:p>
    <w:p>
      <w:pPr>
        <w:spacing w:before="0" w:after="40" w:line="240" w:lineRule="auto"/>
        <w:ind w:left="454" w:hanging="454"/>
        <w:jc w:val="both"/>
      </w:pPr>
      <w:r>
        <w:rPr>
          <w:rFonts w:ascii="Palatino Linotype" w:hAnsi="Palatino Linotype" w:eastAsia="Palatino Linotype"/>
          <w:b w:val="0"/>
          <w:i w:val="0"/>
          <w:sz w:val="18"/>
        </w:rPr>
        <w:t xml:space="preserve">40. Şugar Gabor, O.; Koreanschi, A.; Botez, R. M. A New Non-Linear Vortex Lattice Method: Applications to Wing Aerodynamic Optimizations. </w:t>
      </w:r>
      <w:r>
        <w:rPr>
          <w:rFonts w:ascii="Palatino Linotype" w:hAnsi="Palatino Linotype" w:eastAsia="Palatino Linotype"/>
          <w:b w:val="0"/>
          <w:i/>
          <w:sz w:val="18"/>
        </w:rPr>
        <w:t>Chinese Journal of Aeronautics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2016</w:t>
      </w:r>
      <w:r>
        <w:rPr>
          <w:rFonts w:ascii="Palatino Linotype" w:hAnsi="Palatino Linotype" w:eastAsia="Palatino Linotype"/>
          <w:b w:val="0"/>
          <w:i w:val="0"/>
          <w:sz w:val="18"/>
        </w:rPr>
        <w:t>, 29 (5), 1178–1195. https://doi.org/10.1016/j.cja.2016.08.001</w:t>
      </w:r>
    </w:p>
    <w:p>
      <w:pPr>
        <w:spacing w:before="0" w:after="40" w:line="240" w:lineRule="auto"/>
        <w:ind w:left="454" w:hanging="454"/>
        <w:jc w:val="both"/>
      </w:pPr>
      <w:r>
        <w:rPr>
          <w:rFonts w:ascii="Palatino Linotype" w:hAnsi="Palatino Linotype" w:eastAsia="Palatino Linotype"/>
          <w:b w:val="0"/>
          <w:i w:val="0"/>
          <w:sz w:val="18"/>
        </w:rPr>
        <w:t xml:space="preserve">41. Lampropoulos, N.; Vouros, A.; Templalexis, I.; Lekas, T. On the Aerodynamic Performance of a Blended-Wing-Body, Low-Mach Number Unmanned Aerial Vehicle. </w:t>
      </w:r>
      <w:r>
        <w:rPr>
          <w:rFonts w:ascii="Palatino Linotype" w:hAnsi="Palatino Linotype" w:eastAsia="Palatino Linotype"/>
          <w:b w:val="0"/>
          <w:i/>
          <w:sz w:val="18"/>
        </w:rPr>
        <w:t>Fluids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2025</w:t>
      </w:r>
      <w:r>
        <w:rPr>
          <w:rFonts w:ascii="Palatino Linotype" w:hAnsi="Palatino Linotype" w:eastAsia="Palatino Linotype"/>
          <w:b w:val="0"/>
          <w:i w:val="0"/>
          <w:sz w:val="18"/>
        </w:rPr>
        <w:t>, 10 (3), 54. https://doi.org/10.3390/fluids10030054</w:t>
      </w:r>
    </w:p>
    <w:p>
      <w:pPr>
        <w:spacing w:before="0" w:after="40" w:line="240" w:lineRule="auto"/>
        <w:ind w:left="454" w:hanging="454"/>
        <w:jc w:val="both"/>
      </w:pPr>
      <w:r>
        <w:rPr>
          <w:rFonts w:ascii="Palatino Linotype" w:hAnsi="Palatino Linotype" w:eastAsia="Palatino Linotype"/>
          <w:b w:val="0"/>
          <w:i w:val="0"/>
          <w:sz w:val="18"/>
        </w:rPr>
        <w:t xml:space="preserve">42. Zhong, J.; Wang, C.; Zhang, H. Transition Control of a Tail-Sitter Unmanned Aerial Vehicle with L1 Neural Network Adaptive Control. </w:t>
      </w:r>
      <w:r>
        <w:rPr>
          <w:rFonts w:ascii="Palatino Linotype" w:hAnsi="Palatino Linotype" w:eastAsia="Palatino Linotype"/>
          <w:b w:val="0"/>
          <w:i/>
          <w:sz w:val="18"/>
        </w:rPr>
        <w:t>Chinese Journal of Aeronautics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2023</w:t>
      </w:r>
      <w:r>
        <w:rPr>
          <w:rFonts w:ascii="Palatino Linotype" w:hAnsi="Palatino Linotype" w:eastAsia="Palatino Linotype"/>
          <w:b w:val="0"/>
          <w:i w:val="0"/>
          <w:sz w:val="18"/>
        </w:rPr>
        <w:t>, 36 (7), 460–475. https://doi.org/10.1016/j.cja.2023.04.002</w:t>
      </w:r>
    </w:p>
    <w:p>
      <w:pPr>
        <w:spacing w:before="0" w:after="40" w:line="240" w:lineRule="auto"/>
        <w:ind w:left="454" w:hanging="454"/>
        <w:jc w:val="both"/>
      </w:pPr>
      <w:r>
        <w:rPr>
          <w:rFonts w:ascii="Palatino Linotype" w:hAnsi="Palatino Linotype" w:eastAsia="Palatino Linotype"/>
          <w:b w:val="0"/>
          <w:i w:val="0"/>
          <w:sz w:val="18"/>
        </w:rPr>
        <w:t xml:space="preserve">43. McIntosh, K. F.; Mishra, S.; Reddinger, J.-P. </w:t>
      </w:r>
      <w:r>
        <w:rPr>
          <w:rFonts w:ascii="Palatino Linotype" w:hAnsi="Palatino Linotype" w:eastAsia="Palatino Linotype"/>
          <w:b w:val="0"/>
          <w:i/>
          <w:sz w:val="18"/>
        </w:rPr>
        <w:t>An Aerodynamic Feedforward-Feedback Architecture for Tailsitter Control in Hybrid Flight Regimes.</w:t>
      </w:r>
      <w:r>
        <w:rPr>
          <w:rFonts w:ascii="Palatino Linotype" w:hAnsi="Palatino Linotype" w:eastAsia="Palatino Linotype"/>
          <w:b w:val="0"/>
          <w:i w:val="0"/>
          <w:sz w:val="18"/>
        </w:rPr>
        <w:t xml:space="preserve"> arXiv:2312.10761, 2023.</w:t>
      </w:r>
    </w:p>
    <w:p>
      <w:pPr>
        <w:spacing w:before="0" w:after="40" w:line="240" w:lineRule="auto"/>
        <w:ind w:left="454" w:hanging="454"/>
        <w:jc w:val="both"/>
      </w:pPr>
      <w:r>
        <w:rPr>
          <w:rFonts w:ascii="Palatino Linotype" w:hAnsi="Palatino Linotype" w:eastAsia="Palatino Linotype"/>
          <w:b w:val="0"/>
          <w:i w:val="0"/>
          <w:sz w:val="18"/>
        </w:rPr>
        <w:t xml:space="preserve">44. Wang, K.; Zhou, Z. Aerodynamic Design, Analysis and Validation of a Small Blended-Wing-Body Unmanned Aerial Vehicle. </w:t>
      </w:r>
      <w:r>
        <w:rPr>
          <w:rFonts w:ascii="Palatino Linotype" w:hAnsi="Palatino Linotype" w:eastAsia="Palatino Linotype"/>
          <w:b w:val="0"/>
          <w:i/>
          <w:sz w:val="18"/>
        </w:rPr>
        <w:t>Aerospace</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2022</w:t>
      </w:r>
      <w:r>
        <w:rPr>
          <w:rFonts w:ascii="Palatino Linotype" w:hAnsi="Palatino Linotype" w:eastAsia="Palatino Linotype"/>
          <w:b w:val="0"/>
          <w:i w:val="0"/>
          <w:sz w:val="18"/>
        </w:rPr>
        <w:t>, 9 (1), 36. https://doi.org/10.3390/aerospace9010036</w:t>
      </w:r>
    </w:p>
    <w:p>
      <w:pPr>
        <w:spacing w:before="0" w:after="40" w:line="240" w:lineRule="auto"/>
        <w:ind w:left="454" w:hanging="454"/>
        <w:jc w:val="both"/>
      </w:pPr>
      <w:r>
        <w:rPr>
          <w:rFonts w:ascii="Palatino Linotype" w:hAnsi="Palatino Linotype" w:eastAsia="Palatino Linotype"/>
          <w:b w:val="0"/>
          <w:i w:val="0"/>
          <w:sz w:val="18"/>
        </w:rPr>
        <w:t xml:space="preserve">45. Defoe, G. L. </w:t>
      </w:r>
      <w:r>
        <w:rPr>
          <w:rFonts w:ascii="Palatino Linotype" w:hAnsi="Palatino Linotype" w:eastAsia="Palatino Linotype"/>
          <w:b w:val="0"/>
          <w:i/>
          <w:sz w:val="18"/>
        </w:rPr>
        <w:t>A Comparison of the Aerodynamic Characteristics of Three Simple Reflexed Airfoils in the Normal and Variable Density Wind Tunnel.</w:t>
      </w:r>
      <w:r>
        <w:rPr>
          <w:rFonts w:ascii="Palatino Linotype" w:hAnsi="Palatino Linotype" w:eastAsia="Palatino Linotype"/>
          <w:b w:val="0"/>
          <w:i w:val="0"/>
          <w:sz w:val="18"/>
        </w:rPr>
        <w:t xml:space="preserve"> NACA Technical Note No. 388, Langley Memorial Aeronautical Laboratory, 1931.</w:t>
      </w:r>
    </w:p>
    <w:p>
      <w:pPr>
        <w:spacing w:before="0" w:after="40" w:line="240" w:lineRule="auto"/>
        <w:ind w:left="454" w:hanging="454"/>
        <w:jc w:val="both"/>
      </w:pPr>
      <w:r>
        <w:rPr>
          <w:rFonts w:ascii="Palatino Linotype" w:hAnsi="Palatino Linotype" w:eastAsia="Palatino Linotype"/>
          <w:b w:val="0"/>
          <w:i w:val="0"/>
          <w:sz w:val="18"/>
        </w:rPr>
        <w:t xml:space="preserve">46. </w:t>
      </w:r>
      <w:r>
        <w:rPr>
          <w:rFonts w:ascii="Palatino Linotype" w:hAnsi="Palatino Linotype" w:eastAsia="Palatino Linotype"/>
          <w:b w:val="0"/>
          <w:i/>
          <w:sz w:val="18"/>
        </w:rPr>
        <w:t>Preliminary Report on the Characteristics of the NACA 4400R Series Airfoils.</w:t>
      </w:r>
      <w:r>
        <w:rPr>
          <w:rFonts w:ascii="Palatino Linotype" w:hAnsi="Palatino Linotype" w:eastAsia="Palatino Linotype"/>
          <w:b w:val="0"/>
          <w:i w:val="0"/>
          <w:sz w:val="18"/>
        </w:rPr>
        <w:t xml:space="preserve"> NACA Wartime Report, Langley Memorial Aeronautical Laboratory, 1939.</w:t>
      </w:r>
    </w:p>
    <w:p>
      <w:pPr>
        <w:spacing w:before="0" w:after="40" w:line="240" w:lineRule="auto"/>
        <w:ind w:left="454" w:hanging="454"/>
        <w:jc w:val="both"/>
      </w:pPr>
      <w:r>
        <w:rPr>
          <w:rFonts w:ascii="Palatino Linotype" w:hAnsi="Palatino Linotype" w:eastAsia="Palatino Linotype"/>
          <w:b w:val="0"/>
          <w:i w:val="0"/>
          <w:sz w:val="18"/>
        </w:rPr>
        <w:t xml:space="preserve">47. Yu, S.; Jung, Y.-J.; Cho, B.-D.; Lee, G.-S. Design, Fabrication, and In-Flight Demonstration of a 24S NCM Battery System for an eVTOL Aircraft. </w:t>
      </w:r>
      <w:r>
        <w:rPr>
          <w:rFonts w:ascii="Palatino Linotype" w:hAnsi="Palatino Linotype" w:eastAsia="Palatino Linotype"/>
          <w:b w:val="0"/>
          <w:i/>
          <w:sz w:val="18"/>
        </w:rPr>
        <w:t>Batteries</w:t>
      </w:r>
      <w:r>
        <w:rPr>
          <w:rFonts w:ascii="Palatino Linotype" w:hAnsi="Palatino Linotype" w:eastAsia="Palatino Linotype"/>
          <w:b w:val="0"/>
          <w:i w:val="0"/>
          <w:sz w:val="18"/>
        </w:rPr>
        <w:t xml:space="preserve"> </w:t>
      </w:r>
      <w:r>
        <w:rPr>
          <w:rFonts w:ascii="Palatino Linotype" w:hAnsi="Palatino Linotype" w:eastAsia="Palatino Linotype"/>
          <w:b/>
          <w:i w:val="0"/>
          <w:sz w:val="18"/>
        </w:rPr>
        <w:t>2026</w:t>
      </w:r>
      <w:r>
        <w:rPr>
          <w:rFonts w:ascii="Palatino Linotype" w:hAnsi="Palatino Linotype" w:eastAsia="Palatino Linotype"/>
          <w:b w:val="0"/>
          <w:i w:val="0"/>
          <w:sz w:val="18"/>
        </w:rPr>
        <w:t>, 12 (9), 317. https://doi.org/10.3390/batteries12090317</w:t>
      </w:r>
    </w:p>
    <w:p>
      <w:pPr>
        <w:spacing w:before="0" w:after="40" w:line="240" w:lineRule="auto"/>
        <w:ind w:left="454" w:hanging="454"/>
        <w:jc w:val="both"/>
      </w:pPr>
      <w:r>
        <w:rPr>
          <w:rFonts w:ascii="Palatino Linotype" w:hAnsi="Palatino Linotype" w:eastAsia="Palatino Linotype"/>
          <w:b w:val="0"/>
          <w:i w:val="0"/>
          <w:sz w:val="18"/>
        </w:rPr>
        <w:t xml:space="preserve">48. Barrett, S. R. H.; Brown, A.; Gomez-Vega, N. </w:t>
      </w:r>
      <w:r>
        <w:rPr>
          <w:rFonts w:ascii="Palatino Linotype" w:hAnsi="Palatino Linotype" w:eastAsia="Palatino Linotype"/>
          <w:b w:val="0"/>
          <w:i/>
          <w:sz w:val="18"/>
        </w:rPr>
        <w:t>Silent, Solid-State Propulsion for Advanced Air Mobility Vehicles.</w:t>
      </w:r>
      <w:r>
        <w:rPr>
          <w:rFonts w:ascii="Palatino Linotype" w:hAnsi="Palatino Linotype" w:eastAsia="Palatino Linotype"/>
          <w:b w:val="0"/>
          <w:i w:val="0"/>
          <w:sz w:val="18"/>
        </w:rPr>
        <w:t xml:space="preserve"> NASA Innovative Advanced Concepts Phase I Final Report, Massachusetts Institute of Technology, 2023.</w:t>
      </w:r>
    </w:p>
    <w:p>
      <w:pPr>
        <w:spacing w:before="0" w:after="40" w:line="240" w:lineRule="auto"/>
        <w:ind w:left="454" w:hanging="454"/>
        <w:jc w:val="both"/>
      </w:pPr>
      <w:r>
        <w:rPr>
          <w:rFonts w:ascii="Palatino Linotype" w:hAnsi="Palatino Linotype" w:eastAsia="Palatino Linotype"/>
          <w:b w:val="0"/>
          <w:i w:val="0"/>
          <w:sz w:val="18"/>
        </w:rPr>
        <w:t xml:space="preserve">49. Fischel, J.; Watson, J. M. </w:t>
      </w:r>
      <w:r>
        <w:rPr>
          <w:rFonts w:ascii="Palatino Linotype" w:hAnsi="Palatino Linotype" w:eastAsia="Palatino Linotype"/>
          <w:b w:val="0"/>
          <w:i/>
          <w:sz w:val="18"/>
        </w:rPr>
        <w:t>Investigation of Spoiler Ailerons for Use as Speed Brakes or Glide-Path Controls on Two NACA 65-Series Wings Equipped with Full-Span Slotted Flaps.</w:t>
      </w:r>
      <w:r>
        <w:rPr>
          <w:rFonts w:ascii="Palatino Linotype" w:hAnsi="Palatino Linotype" w:eastAsia="Palatino Linotype"/>
          <w:b w:val="0"/>
          <w:i w:val="0"/>
          <w:sz w:val="18"/>
        </w:rPr>
        <w:t xml:space="preserve"> NACA Report 1034, Langley Aeronautical Laboratory, 1951.</w:t>
      </w:r>
    </w:p>
    <w:p>
      <w:pPr>
        <w:spacing w:before="0" w:after="40" w:line="240" w:lineRule="auto"/>
        <w:ind w:left="454" w:hanging="454"/>
        <w:jc w:val="both"/>
      </w:pPr>
      <w:r>
        <w:rPr>
          <w:rFonts w:ascii="Palatino Linotype" w:hAnsi="Palatino Linotype" w:eastAsia="Palatino Linotype"/>
          <w:b w:val="0"/>
          <w:i w:val="0"/>
          <w:sz w:val="18"/>
        </w:rPr>
        <w:t xml:space="preserve">50. Pollet, F. </w:t>
      </w:r>
      <w:r>
        <w:rPr>
          <w:rFonts w:ascii="Palatino Linotype" w:hAnsi="Palatino Linotype" w:eastAsia="Palatino Linotype"/>
          <w:b w:val="0"/>
          <w:i/>
          <w:sz w:val="18"/>
        </w:rPr>
        <w:t>Design Optimization of Unmanned Aerial Vehicles: A Multidisciplinary Approach with Uncertainty, Fault-Tolerance, and Environmental Impact Assessments.</w:t>
      </w:r>
      <w:r>
        <w:rPr>
          <w:rFonts w:ascii="Palatino Linotype" w:hAnsi="Palatino Linotype" w:eastAsia="Palatino Linotype"/>
          <w:b w:val="0"/>
          <w:i w:val="0"/>
          <w:sz w:val="18"/>
        </w:rPr>
        <w:t xml:space="preserve"> Doctoral thesis, ISAE-SUPAERO, Université de Toulouse, 2024. (The 1.05 kg m⁻² figure is attributed there to Stahl, P.; Roessler, C.; Hornung, M., 2020, doi:10.25967/490207.)</w:t>
      </w:r>
    </w:p>
    <w:p>
      <w:pPr>
        <w:spacing w:before="0" w:after="40" w:line="240" w:lineRule="auto"/>
        <w:ind w:left="454" w:hanging="454"/>
        <w:jc w:val="both"/>
      </w:pPr>
      <w:r>
        <w:rPr>
          <w:rFonts w:ascii="Palatino Linotype" w:hAnsi="Palatino Linotype" w:eastAsia="Palatino Linotype"/>
          <w:b w:val="0"/>
          <w:i w:val="0"/>
          <w:sz w:val="18"/>
        </w:rPr>
        <w:t xml:space="preserve">51. Lee, H.; Lee, J. D.; Bang, H. </w:t>
      </w:r>
      <w:r>
        <w:rPr>
          <w:rFonts w:ascii="Palatino Linotype" w:hAnsi="Palatino Linotype" w:eastAsia="Palatino Linotype"/>
          <w:b w:val="0"/>
          <w:i/>
          <w:sz w:val="18"/>
        </w:rPr>
        <w:t>Aerodynamic Model Identification of a VTOL Tailsitter UAV Using Sparse Identification of Nonlinear Dynamics.</w:t>
      </w:r>
      <w:r>
        <w:rPr>
          <w:rFonts w:ascii="Palatino Linotype" w:hAnsi="Palatino Linotype" w:eastAsia="Palatino Linotype"/>
          <w:b w:val="0"/>
          <w:i w:val="0"/>
          <w:sz w:val="18"/>
        </w:rPr>
        <w:t xml:space="preserve"> 34th Congress of the International Council of the Aeronautical Sciences (ICAS), 2024, paper 0653.</w:t>
      </w:r>
    </w:p>
    <w:sectPr w:rsidR="00FC693F" w:rsidRPr="0006063C" w:rsidSect="00034616">
      <w:pgSz w:w="12240" w:h="15840"/>
      <w:pgMar w:top="1361" w:right="1134" w:bottom="1361"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