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reaches the escape condition by a route the tilting architectures do not take — the airframe rotates and the propulsors stay fixed — so it carries no tilting mechanism, no variable-pitch hub and no control surface, every moment coming from differential thrust between fixed-pitch propellers.</w:t>
      </w:r>
    </w:p>
    <w:p>
      <w:pPr>
        <w:spacing w:before="0" w:after="60" w:line="240" w:lineRule="auto"/>
        <w:ind w:left="280"/>
        <w:jc w:val="both"/>
      </w:pPr>
      <w:r>
        <w:rPr>
          <w:rFonts w:ascii="Palatino Linotype" w:hAnsi="Palatino Linotype" w:eastAsia="Palatino Linotype"/>
          <w:b w:val="0"/>
          <w:i w:val="0"/>
          <w:sz w:val="18"/>
        </w:rPr>
        <w:t>•  Carrying that case far enough to audit shows what it costs: the free-wheeling drag of its own attitude rotors is a bill the configuration was assumed to avoid, and charging it reverses one of the three range comparisons and leaves a mass advantage of 32 to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r>
        <w:rPr>
          <w:rFonts w:ascii="Palatino Linotype" w:hAnsi="Palatino Linotype" w:eastAsia="Palatino Linotype"/>
          <w:b w:val="0"/>
          <w:i w:val="0"/>
          <w:sz w:val="18"/>
        </w:rPr>
        <w:t xml:space="preserve"> The architectural claim made here is on a different axis from all of these: it is the absence of a rotating mechanism, which no contract moves.</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That cost is architectural, charged in three coupled currencies — hover hardware carried through cruise, its drag when exposed, and continuous power sized by a two-percent-of-flight condition — and every remedy reduces one by raising another. Escape requires one set of hardware serving both regimes in one orientation, with the hover peak from a buffer. Tilting architectures meet it by rotating their propulsors, at the cost of a pivot, actuators and a transition control problem. </w:t>
      </w:r>
      <w:r>
        <w:rPr>
          <w:rFonts w:ascii="Palatino Linotype" w:hAnsi="Palatino Linotype" w:eastAsia="Palatino Linotype"/>
          <w:b/>
          <w:i w:val="0"/>
          <w:sz w:val="18"/>
        </w:rPr>
        <w:t>An uncrewed tail-sitting blended-wing body is proposed as an alternative route to it: the airframe rotates and the propulsors do not</w:t>
      </w:r>
      <w:r>
        <w:rPr>
          <w:rFonts w:ascii="Palatino Linotype" w:hAnsi="Palatino Linotype" w:eastAsia="Palatino Linotype"/>
          <w:b w:val="0"/>
          <w:i w:val="0"/>
          <w:sz w:val="18"/>
        </w:rPr>
        <w:t xml:space="preserve">, leaving no tilting mechanism, no variable-pitch hub and no control surface, every moment coming from differential thrust between fixed-pitch propellers. </w:t>
      </w:r>
      <w:r>
        <w:rPr>
          <w:rFonts w:ascii="Palatino Linotype" w:hAnsi="Palatino Linotype" w:eastAsia="Palatino Linotype"/>
          <w:b/>
          <w:i w:val="0"/>
          <w:sz w:val="18"/>
        </w:rPr>
        <w:t>Architectural rankings belong to sizing contracts, not to architectures</w:t>
      </w:r>
      <w:r>
        <w:rPr>
          <w:rFonts w:ascii="Palatino Linotype" w:hAnsi="Palatino Linotype" w:eastAsia="Palatino Linotype"/>
          <w:b w:val="0"/>
          <w:i w:val="0"/>
          <w:sz w:val="18"/>
        </w:rPr>
        <w:t xml:space="preserve">; three are reported, and the configuration holds a 32 to 36 percent mass advantage over a lift-plus-cruise layout under all three but loses range under equal fuel fractions — a reversal driven by the free-wheeling drag of its own attitude rotors. </w:t>
      </w:r>
      <w:r>
        <w:rPr>
          <w:rFonts w:ascii="Palatino Linotype" w:hAnsi="Palatino Linotype" w:eastAsia="Palatino Linotype"/>
          <w:b/>
          <w:i w:val="0"/>
          <w:sz w:val="18"/>
        </w:rPr>
        <w:t>No range superiority is claimed; the architectural claim is the absence of mechanism.</w:t>
      </w:r>
      <w:r>
        <w:rPr>
          <w:rFonts w:ascii="Palatino Linotype" w:hAnsi="Palatino Linotype" w:eastAsia="Palatino Linotype"/>
          <w:b w:val="0"/>
          <w:i w:val="0"/>
          <w:sz w:val="18"/>
        </w:rPr>
        <w:t xml:space="preserve"> It is not shown to be flyable: the budget needs 3.8 times the highest measured battery specific power.</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Three architectural claims are made and a fourth is not, and each is made against a different competitor on a different axis.</w:t>
      </w:r>
      <w:r>
        <w:rPr>
          <w:rFonts w:ascii="Palatino Linotype" w:hAnsi="Palatino Linotype" w:eastAsia="Palatino Linotype"/>
          <w:b w:val="0"/>
          <w:i w:val="0"/>
          <w:sz w:val="20"/>
        </w:rPr>
        <w:t xml:space="preserve"> Keeping them apart is what makes them defensible, and running them together is what would make them indefensible.</w:t>
      </w:r>
    </w:p>
    <w:p>
      <w:pPr>
        <w:spacing w:before="0" w:after="80" w:line="240" w:lineRule="auto"/>
        <w:jc w:val="both"/>
      </w:pPr>
      <w:r>
        <w:rPr>
          <w:rFonts w:ascii="Palatino Linotype" w:hAnsi="Palatino Linotype" w:eastAsia="Palatino Linotype"/>
          <w:b/>
          <w:i w:val="0"/>
          <w:sz w:val="20"/>
        </w:rPr>
        <w:t>First, against the fixed-wing family: this configuration does not need a runway.</w:t>
      </w:r>
      <w:r>
        <w:rPr>
          <w:rFonts w:ascii="Palatino Linotype" w:hAnsi="Palatino Linotype" w:eastAsia="Palatino Linotype"/>
          <w:b w:val="0"/>
          <w:i w:val="0"/>
          <w:sz w:val="20"/>
        </w:rPr>
        <w:t xml:space="preserve"> It takes off and lands vertically from its own five contact points. No fixed-wing aircraft does this, and no assumption in this paper can take it away.</w:t>
      </w:r>
    </w:p>
    <w:p>
      <w:pPr>
        <w:spacing w:before="0" w:after="80" w:line="240" w:lineRule="auto"/>
        <w:jc w:val="both"/>
      </w:pPr>
      <w:r>
        <w:rPr>
          <w:rFonts w:ascii="Palatino Linotype" w:hAnsi="Palatino Linotype" w:eastAsia="Palatino Linotype"/>
          <w:b/>
          <w:i w:val="0"/>
          <w:sz w:val="20"/>
        </w:rPr>
        <w:t>Second, against the multirotor family: it cruises on a wing.</w:t>
      </w:r>
      <w:r>
        <w:rPr>
          <w:rFonts w:ascii="Palatino Linotype" w:hAnsi="Palatino Linotype" w:eastAsia="Palatino Linotype"/>
          <w:b w:val="0"/>
          <w:i w:val="0"/>
          <w:sz w:val="20"/>
        </w:rPr>
        <w:t xml:space="preserve"> Lift in cruise is carried by a surface rather than by rotors, which is a structural difference and not a margin. For scale — and the two numbers are not the same kind of number — the sizing set discussed in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 system-level figure of merit,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across its computed drag bracket.</w:t>
      </w:r>
    </w:p>
    <w:p>
      <w:pPr>
        <w:spacing w:before="0" w:after="80" w:line="240" w:lineRule="auto"/>
        <w:jc w:val="both"/>
      </w:pPr>
      <w:r>
        <w:rPr>
          <w:rFonts w:ascii="Palatino Linotype" w:hAnsi="Palatino Linotype" w:eastAsia="Palatino Linotype"/>
          <w:b/>
          <w:i w:val="0"/>
          <w:sz w:val="20"/>
        </w:rPr>
        <w:t>Third, against the tilting architectures: it reaches the same regime transition with no mechanism that moves.</w:t>
      </w:r>
      <w:r>
        <w:rPr>
          <w:rFonts w:ascii="Palatino Linotype" w:hAnsi="Palatino Linotype" w:eastAsia="Palatino Linotype"/>
          <w:b w:val="0"/>
          <w:i w:val="0"/>
          <w:sz w:val="20"/>
        </w:rPr>
        <w:t xml:space="preserve"> Tilt-rotor, tilt-wing and tilt-nacelle layouts solve the duty-cycle problem by rotating their propulsors, and Table 2 records what that costs them — mechanical complexity, gyroscopic coupling during the rotation, and a transition control problem. Those costs are the reason the tilting solution is the less widely fielded of the two contemporary families. </w:t>
      </w:r>
      <w:r>
        <w:rPr>
          <w:rFonts w:ascii="Palatino Linotype" w:hAnsi="Palatino Linotype" w:eastAsia="Palatino Linotype"/>
          <w:b/>
          <w:i w:val="0"/>
          <w:sz w:val="20"/>
        </w:rPr>
        <w:t>This paper offers an alternative route to the same end.</w:t>
      </w:r>
      <w:r>
        <w:rPr>
          <w:rFonts w:ascii="Palatino Linotype" w:hAnsi="Palatino Linotype" w:eastAsia="Palatino Linotype"/>
          <w:b w:val="0"/>
          <w:i w:val="0"/>
          <w:sz w:val="20"/>
        </w:rPr>
        <w:t xml:space="preserve"> The aircraft rotates itself rather than its propulsors: it has no tilting mechanism, no elevons, no rudder, no variable-pitch hub and no retraction mechanism, and every moment about every axis is produced by differential thrust between fixed-pitch propellers that are already turning. The actuator inventory is the motors. </w:t>
      </w:r>
      <w:r>
        <w:rPr>
          <w:rFonts w:ascii="Palatino Linotype" w:hAnsi="Palatino Linotype" w:eastAsia="Palatino Linotype"/>
          <w:b/>
          <w:i w:val="0"/>
          <w:sz w:val="20"/>
        </w:rPr>
        <w:t>That is a claim about hardware, it is countable, and no sizing contract changes it.</w:t>
      </w:r>
    </w:p>
    <w:p>
      <w:pPr>
        <w:spacing w:before="0" w:after="80" w:line="240" w:lineRule="auto"/>
        <w:jc w:val="both"/>
      </w:pPr>
      <w:r>
        <w:rPr>
          <w:rFonts w:ascii="Palatino Linotype" w:hAnsi="Palatino Linotype" w:eastAsia="Palatino Linotype"/>
          <w:b/>
          <w:i w:val="0"/>
          <w:sz w:val="20"/>
        </w:rPr>
        <w:t>Those three claims together are why the configuration exists, and none of them is weakened by anything in this paper.</w:t>
      </w:r>
      <w:r>
        <w:rPr>
          <w:rFonts w:ascii="Palatino Linotype" w:hAnsi="Palatino Linotype" w:eastAsia="Palatino Linotype"/>
          <w:b w:val="0"/>
          <w:i w:val="0"/>
          <w:sz w:val="20"/>
        </w:rPr>
        <w:t xml:space="preserve"> They are claims against three different families on three different axes: runway independence against fixed wings, wing-borne cruise against multirotors, absence of mechanism against tilts.</w:t>
      </w:r>
    </w:p>
    <w:p>
      <w:pPr>
        <w:spacing w:before="0" w:after="80" w:line="240" w:lineRule="auto"/>
        <w:jc w:val="both"/>
      </w:pPr>
      <w:r>
        <w:rPr>
          <w:rFonts w:ascii="Palatino Linotype" w:hAnsi="Palatino Linotype" w:eastAsia="Palatino Linotype"/>
          <w:b w:val="0"/>
          <w:i w:val="0"/>
          <w:sz w:val="20"/>
        </w:rPr>
        <w:t>*</w:t>
      </w:r>
      <w:r>
        <w:rPr>
          <w:rFonts w:ascii="Palatino Linotype" w:hAnsi="Palatino Linotype" w:eastAsia="Palatino Linotype"/>
          <w:b w:val="0"/>
          <w:i/>
          <w:sz w:val="20"/>
        </w:rPr>
        <w:t xml:space="preserve">What is </w:t>
      </w:r>
      <w:r>
        <w:rPr>
          <w:rFonts w:ascii="Palatino Linotype" w:hAnsi="Palatino Linotype" w:eastAsia="Palatino Linotype"/>
          <w:b w:val="0"/>
          <w:i w:val="0"/>
          <w:sz w:val="20"/>
        </w:rPr>
        <w:t>not</w:t>
      </w:r>
      <w:r>
        <w:rPr>
          <w:rFonts w:ascii="Palatino Linotype" w:hAnsi="Palatino Linotype" w:eastAsia="Palatino Linotype"/>
          <w:b w:val="0"/>
          <w:i/>
          <w:sz w:val="20"/>
        </w:rPr>
        <w:t xml:space="preserve"> claimed is a range ranking against the other hybrid VTOL architectures</w:t>
      </w:r>
      <w:r>
        <w:rPr>
          <w:rFonts w:ascii="Palatino Linotype" w:hAnsi="Palatino Linotype" w:eastAsia="Palatino Linotype"/>
          <w:b w:val="0"/>
          <w:i w:val="0"/>
          <w:sz w:val="20"/>
        </w:rPr>
        <w:t>* — lift-plus-cruise and tilting — because Section 3.6 shows that ranking reverses with the sizing contract, and because it is not the axis on which this configuration is offered. Section 3.6 reports that ranking in full, including a range deficit against the lift-plus-cruise layout under one of the three contracts. That result is a property of a sizing case; it is not the thesis, and it neither supports nor damages the three claims above.</w:t>
      </w:r>
    </w:p>
    <w:p>
      <w:pPr>
        <w:spacing w:before="0" w:after="80" w:line="240" w:lineRule="auto"/>
        <w:jc w:val="both"/>
      </w:pPr>
      <w:r>
        <w:rPr>
          <w:rFonts w:ascii="Palatino Linotype" w:hAnsi="Palatino Linotype" w:eastAsia="Palatino Linotype"/>
          <w:b/>
          <w:i w:val="0"/>
          <w:sz w:val="20"/>
        </w:rPr>
        <w:t>The line between the three claims and the disclaimed fourth is not arbitrary, and it is worth stating as a criterion: each claim names the thing the competitor structurally lacks.</w:t>
      </w:r>
      <w:r>
        <w:rPr>
          <w:rFonts w:ascii="Palatino Linotype" w:hAnsi="Palatino Linotype" w:eastAsia="Palatino Linotype"/>
          <w:b w:val="0"/>
          <w:i w:val="0"/>
          <w:sz w:val="20"/>
        </w:rPr>
        <w:t xml:space="preserve"> A fixed-wing aircraft lacks vertical take-off; a multirotor lacks a cruising wing; a tilting layout lacks freedom from a rotating mechanism. None of those is a quantity a sizing contract can move. Range against a competitor that also cruises on a wing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such a quantity, which is exactly why it is reported as a case result rather than claimed as a property of the architecture.</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0" w:after="80" w:line="240" w:lineRule="auto"/>
        <w:jc w:val="both"/>
      </w:pPr>
      <w:r>
        <w:rPr>
          <w:rFonts w:ascii="Palatino Linotype" w:hAnsi="Palatino Linotype" w:eastAsia="Palatino Linotype"/>
          <w:b/>
          <w:i w:val="0"/>
          <w:sz w:val="20"/>
        </w:rPr>
        <w:t>The two families are not equally represented, and the reason matters to this paper.</w:t>
      </w:r>
      <w:r>
        <w:rPr>
          <w:rFonts w:ascii="Palatino Linotype" w:hAnsi="Palatino Linotype" w:eastAsia="Palatino Linotype"/>
          <w:b w:val="0"/>
          <w:i w:val="0"/>
          <w:sz w:val="20"/>
        </w:rPr>
        <w:t xml:space="preserve"> Lift-plus-cruise dominates the fielded population. The tilting architectures are the more elegant answer on paper — one propulsion group, no dead hardware in cruise — and the less common one in service, because rotating a propulsor in flight brings a pivot and its actuators, a gyroscopic moment during the rotation, and a control problem through a regime in which the aircraft is neither a rotorcraft nor an aeroplane. </w:t>
      </w:r>
      <w:r>
        <w:rPr>
          <w:rFonts w:ascii="Palatino Linotype" w:hAnsi="Palatino Linotype" w:eastAsia="Palatino Linotype"/>
          <w:b/>
          <w:i w:val="0"/>
          <w:sz w:val="20"/>
        </w:rPr>
        <w:t>The tilting idea is not rejected by the market; its implementation is.</w:t>
      </w:r>
    </w:p>
    <w:p>
      <w:pPr>
        <w:spacing w:before="0" w:after="80" w:line="240" w:lineRule="auto"/>
        <w:jc w:val="both"/>
      </w:pPr>
      <w:r>
        <w:rPr>
          <w:rFonts w:ascii="Palatino Linotype" w:hAnsi="Palatino Linotype" w:eastAsia="Palatino Linotype"/>
          <w:b/>
          <w:i w:val="0"/>
          <w:sz w:val="20"/>
        </w:rPr>
        <w:t>That is the gap this paper addresses.</w:t>
      </w:r>
      <w:r>
        <w:rPr>
          <w:rFonts w:ascii="Palatino Linotype" w:hAnsi="Palatino Linotype" w:eastAsia="Palatino Linotype"/>
          <w:b w:val="0"/>
          <w:i w:val="0"/>
          <w:sz w:val="20"/>
        </w:rPr>
        <w:t xml:space="preserve"> The configuration studied here reaches the same end as a tilting layout — one propulsion group serving both regimes — by a different route: the propulsors are fixed to the airframe and the </w:t>
      </w:r>
      <w:r>
        <w:rPr>
          <w:rFonts w:ascii="Palatino Linotype" w:hAnsi="Palatino Linotype" w:eastAsia="Palatino Linotype"/>
          <w:b w:val="0"/>
          <w:i/>
          <w:sz w:val="20"/>
        </w:rPr>
        <w:t>airframe</w:t>
      </w:r>
      <w:r>
        <w:rPr>
          <w:rFonts w:ascii="Palatino Linotype" w:hAnsi="Palatino Linotype" w:eastAsia="Palatino Linotype"/>
          <w:b w:val="0"/>
          <w:i w:val="0"/>
          <w:sz w:val="20"/>
        </w:rPr>
        <w:t xml:space="preserve"> rotates. Nothing pivots, nothing retracts, nothing changes pitch, and there is no aerodynamic control surface anywhere on the aircraft. Whether that trade is worth making is what the rest of the paper audits, bill by bill, including where the audit finds against it.</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three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three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was taken as generous for a clean blended-wing body on the grounds that it absorbs the tip-frame contribution of Section 3.3 — 0.0043, or seventeen percent of the assumed value. </w:t>
      </w:r>
      <w:r>
        <w:rPr>
          <w:rFonts w:ascii="Palatino Linotype" w:hAnsi="Palatino Linotype" w:eastAsia="Palatino Linotype"/>
          <w:b/>
          <w:i w:val="0"/>
          <w:sz w:val="20"/>
        </w:rPr>
        <w:t>Section 3.10 computes the coefficient and that reasoning does not survive:</w:t>
      </w:r>
      <w:r>
        <w:rPr>
          <w:rFonts w:ascii="Palatino Linotype" w:hAnsi="Palatino Linotype" w:eastAsia="Palatino Linotype"/>
          <w:b w:val="0"/>
          <w:i w:val="0"/>
          <w:sz w:val="20"/>
        </w:rPr>
        <w:t xml:space="preserve"> the computed bracket is 0.0285 to 0.0381 and the assumption lies below both ends, so it is an assumption and an optimistic one, not a self-consistent choice. It is carried unchanged so that every downstream figure rests on one stated basis, and every result that depends on it is also reported across the computed bracket.</w:t>
      </w:r>
    </w:p>
    <w:p>
      <w:pPr>
        <w:spacing w:before="0" w:after="80" w:line="240" w:lineRule="auto"/>
        <w:jc w:val="both"/>
      </w:pPr>
      <w:r>
        <w:rPr>
          <w:rFonts w:ascii="Palatino Linotype" w:hAnsi="Palatino Linotype" w:eastAsia="Palatino Linotype"/>
          <w:b/>
          <w:i w:val="0"/>
          <w:sz w:val="20"/>
        </w:rPr>
        <w:t>Sea-level density is a deliberate choice and not an oversight.</w:t>
      </w:r>
      <w:r>
        <w:rPr>
          <w:rFonts w:ascii="Palatino Linotype" w:hAnsi="Palatino Linotype" w:eastAsia="Palatino Linotype"/>
          <w:b w:val="0"/>
          <w:i w:val="0"/>
          <w:sz w:val="20"/>
        </w:rPr>
        <w:t xml:space="preserve"> An earlier version of this paragraph called it the conservative one, on the grounds that cruising at altitude would reduce drag with the density ratio and lengthen every range figure; </w:t>
      </w:r>
      <w:r>
        <w:rPr>
          <w:rFonts w:ascii="Palatino Linotype" w:hAnsi="Palatino Linotype" w:eastAsia="Palatino Linotype"/>
          <w:b/>
          <w:i w:val="0"/>
          <w:sz w:val="20"/>
        </w:rPr>
        <w:t>that reasoning is wrong and the paper's own range equation shows why.</w:t>
      </w:r>
      <w:r>
        <w:rPr>
          <w:rFonts w:ascii="Palatino Linotype" w:hAnsi="Palatino Linotype" w:eastAsia="Palatino Linotype"/>
          <w:b w:val="0"/>
          <w:i w:val="0"/>
          <w:sz w:val="20"/>
        </w:rPr>
        <w:t xml:space="preserve"> Range here is f_fuel · E* · η_chain · (L/D) / g, in which density does not appear: at a fixed lift coefficient a thinner atmosphere is flown faster for the same lift-to-drag ratio, and the range is unchanged. Altitude would move these figures only by moving L/D — which it can do in either direction, depending on where the trimmed cruise sits on the polar — so sea level is neither conservative nor generous, it is simply the one atmosphere everything here is computed on. The choice matches the intended missions — wildfire observation and cargo delivery to sites without a runway — which are flown low, and it keeps the hover and cruise calculations on one atmosphere so that the ratio between them, which is what the three bills are about, is not carrying a density change as well. A design intended to cruise high would need the whole chain re-run; nothing in the framework prevents that, and nothing in this paper does it.</w:t>
      </w:r>
    </w:p>
    <w:p>
      <w:pPr>
        <w:spacing w:before="0" w:after="80" w:line="240" w:lineRule="auto"/>
        <w:jc w:val="both"/>
      </w:pPr>
      <w:r>
        <w:rPr>
          <w:rFonts w:ascii="Palatino Linotype" w:hAnsi="Palatino Linotype" w:eastAsia="Palatino Linotype"/>
          <w:b w:val="0"/>
          <w:i w:val="0"/>
          <w:sz w:val="20"/>
        </w:rPr>
        <w:t xml:space="preserve">Section 3.10 computes </w:t>
      </w:r>
      <w:r>
        <w:rPr>
          <w:rFonts w:ascii="Palatino Linotype" w:hAnsi="Palatino Linotype" w:eastAsia="Palatino Linotype"/>
          <w:b/>
          <w:i w:val="0"/>
          <w:sz w:val="20"/>
        </w:rPr>
        <w:t>the drag coefficient and the span efficiency</w:t>
      </w:r>
      <w:r>
        <w:rPr>
          <w:rFonts w:ascii="Palatino Linotype" w:hAnsi="Palatino Linotype" w:eastAsia="Palatino Linotype"/>
          <w:b w:val="0"/>
          <w:i w:val="0"/>
          <w:sz w:val="20"/>
        </w:rPr>
        <w:t xml:space="preserve">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Charging the free-wheeling state also reopens a trade this paper has not priced, and that absence should be stated before the calculation rather than after it.</w:t>
      </w:r>
      <w:r>
        <w:rPr>
          <w:rFonts w:ascii="Palatino Linotype" w:hAnsi="Palatino Linotype" w:eastAsia="Palatino Linotype"/>
          <w:b w:val="0"/>
          <w:i w:val="0"/>
          <w:sz w:val="20"/>
        </w:rPr>
        <w:t xml:space="preserve"> The computed free-wheeling charge below is 0.0154;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is 0.0008 — </w:t>
      </w:r>
      <w:r>
        <w:rPr>
          <w:rFonts w:ascii="Palatino Linotype" w:hAnsi="Palatino Linotype" w:eastAsia="Palatino Linotype"/>
          <w:b/>
          <w:i w:val="0"/>
          <w:sz w:val="20"/>
        </w:rPr>
        <w:t>a factor of twenty cheaper in drag</w:t>
      </w:r>
      <w:r>
        <w:rPr>
          <w:rFonts w:ascii="Palatino Linotype" w:hAnsi="Palatino Linotype" w:eastAsia="Palatino Linotype"/>
          <w:b w:val="0"/>
          <w:i w:val="0"/>
          <w:sz w:val="20"/>
        </w:rPr>
        <w:t xml:space="preserve">. The configuration cannot be made to stop its rotors for free, because azimuth control is exactly the indexing mechanism Section 2.10 gives as a reason not to stop them; but "this configuration has no rotor to stop" is a design choice, not a consequence, and a reader is entitled to ask what the mechanism would cost against the twenty-fold drag saving. </w:t>
      </w:r>
      <w:r>
        <w:rPr>
          <w:rFonts w:ascii="Palatino Linotype" w:hAnsi="Palatino Linotype" w:eastAsia="Palatino Linotype"/>
          <w:b/>
          <w:i w:val="0"/>
          <w:sz w:val="20"/>
        </w:rPr>
        <w:t>The comparison is not made anywhere in this paper.</w:t>
      </w:r>
      <w:r>
        <w:rPr>
          <w:rFonts w:ascii="Palatino Linotype" w:hAnsi="Palatino Linotype" w:eastAsia="Palatino Linotype"/>
          <w:b w:val="0"/>
          <w:i w:val="0"/>
          <w:sz w:val="20"/>
        </w:rPr>
        <w:t xml:space="preserve"> Sizing an indexing mechanism for eight small discs, charging its mass and its failure modes, and re-solving the loop against a zero-lift drag reduced by 0.0146 is a bounded calculation and it has not been done. It is the single most likely question a reader of Section 3.3 will ask, and the honest answer is that the free-wheeling state was adopted because it needs no hardware, not because it was shown to beat the hardware.</w:t>
      </w:r>
    </w:p>
    <w:p>
      <w:pPr>
        <w:spacing w:before="0" w:after="80" w:line="240" w:lineRule="auto"/>
        <w:jc w:val="both"/>
      </w:pPr>
      <w:r>
        <w:rPr>
          <w:rFonts w:ascii="Palatino Linotype" w:hAnsi="Palatino Linotype" w:eastAsia="Palatino Linotype"/>
          <w:b/>
          <w:i w:val="0"/>
          <w:sz w:val="20"/>
        </w:rPr>
        <w:t>With that said, 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Seven designs were built, spanning target section lift coefficients from 0.40 to 0.85 and hover figures of merit from 0.65 down to 0.27. Each was then run at 30 m s⁻¹ and the shaft speed found at which net torque is zero. Table 4 collects them.</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Seven tip-propeller designs run to their zero-torque free-wheeling state at 30 m s⁻¹. Shaft speed and tip Mach number were not recorded for the two designs added by the later solver-stability sweep.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seven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Section 3.6 re-sizes.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Supplementary S2, summarised in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Supplementary S2: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This is the largest single payment the configuration makes, and it is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The rows for A are superseded twice below — first by charging its free-wheeling rotors, then by the bracket sweep of Table 9 — and are kept so the size of each correction can be read.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 </w:t>
      </w:r>
      <w:r>
        <w:rPr>
          <w:rFonts w:ascii="Palatino Linotype" w:hAnsi="Palatino Linotype" w:eastAsia="Palatino Linotype"/>
          <w:b/>
          <w:i w:val="0"/>
          <w:sz w:val="20"/>
        </w:rPr>
        <w:t>A mixed basis:</w:t>
      </w:r>
      <w:r>
        <w:rPr>
          <w:rFonts w:ascii="Palatino Linotype" w:hAnsi="Palatino Linotype" w:eastAsia="Palatino Linotype"/>
          <w:b w:val="0"/>
          <w:i w:val="0"/>
          <w:sz w:val="20"/>
        </w:rPr>
        <w:t xml:space="preserve"> the charge is applied to A and not to the clean-airframe drag coefficient the other two are sized on. Table 9 re-solves all three on a common basis and is the reportable form.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 </w:t>
      </w:r>
      <w:r>
        <w:rPr>
          <w:rFonts w:ascii="Palatino Linotype" w:hAnsi="Palatino Linotype" w:eastAsia="Palatino Linotype"/>
          <w:b/>
          <w:i w:val="0"/>
          <w:sz w:val="20"/>
        </w:rPr>
        <w:t>On the same mixed basis as Table 7:</w:t>
      </w:r>
      <w:r>
        <w:rPr>
          <w:rFonts w:ascii="Palatino Linotype" w:hAnsi="Palatino Linotype" w:eastAsia="Palatino Linotype"/>
          <w:b w:val="0"/>
          <w:i w:val="0"/>
          <w:sz w:val="20"/>
        </w:rPr>
        <w:t xml:space="preserve"> every row pairs A with its rotors charged against B and C at the published drag assumption — the pairing this section retires three paragraphs above. The rows are kept for the buffer trend, which is what they are used for; no mass difference should be read off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That statement inherits the mixed basis of the caption and should be read as a direction, not a margin.</w:t>
      </w:r>
      <w:r>
        <w:rPr>
          <w:rFonts w:ascii="Palatino Linotype" w:hAnsi="Palatino Linotype" w:eastAsia="Palatino Linotype"/>
          <w:b w:val="0"/>
          <w:i w:val="0"/>
          <w:sz w:val="20"/>
        </w:rPr>
        <w:t xml:space="preserve"> What carries it is B's hover power per unit mass, the highest of the three, and that ordering does not depend on the drag assumption; what would move with the basis is how far apart the two curves are, which is why no number from this table is quoted anywhere else in the paper.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 </w:t>
      </w:r>
      <w:r>
        <w:rPr>
          <w:rFonts w:ascii="Palatino Linotype" w:hAnsi="Palatino Linotype" w:eastAsia="Palatino Linotype"/>
          <w:b/>
          <w:i w:val="0"/>
          <w:sz w:val="20"/>
        </w:rPr>
        <w:t>at the single published drag assumption</w:t>
      </w:r>
      <w:r>
        <w:rPr>
          <w:rFonts w:ascii="Palatino Linotype" w:hAnsi="Palatino Linotype" w:eastAsia="Palatino Linotype"/>
          <w:b w:val="0"/>
          <w:i w:val="0"/>
          <w:sz w:val="20"/>
        </w:rPr>
        <w:t>. Table 9 sweeps the same comparison across the computed bracket and is the reportable form; the first column here reads +21.1 % where the bracket gives +24 to +45 %.</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w:t>
      </w:r>
      <w:r>
        <w:rPr>
          <w:rFonts w:ascii="Palatino Linotype" w:hAnsi="Palatino Linotype" w:eastAsia="Palatino Linotype"/>
          <w:b/>
          <w:i w:val="0"/>
          <w:sz w:val="20"/>
        </w:rPr>
        <w:t>the tilting layout</w:t>
      </w:r>
      <w:r>
        <w:rPr>
          <w:rFonts w:ascii="Palatino Linotype" w:hAnsi="Palatino Linotype" w:eastAsia="Palatino Linotype"/>
          <w:b w:val="0"/>
          <w:i w:val="0"/>
          <w:sz w:val="20"/>
        </w:rPr>
        <w:t xml:space="preserve"> leads under all three rules, where before </w:t>
      </w:r>
      <w:r>
        <w:rPr>
          <w:rFonts w:ascii="Palatino Linotype" w:hAnsi="Palatino Linotype" w:eastAsia="Palatino Linotype"/>
          <w:b/>
          <w:i w:val="0"/>
          <w:sz w:val="20"/>
        </w:rPr>
        <w:t>the tail-sitter</w:t>
      </w:r>
      <w:r>
        <w:rPr>
          <w:rFonts w:ascii="Palatino Linotype" w:hAnsi="Palatino Linotype" w:eastAsia="Palatino Linotype"/>
          <w:b w:val="0"/>
          <w:i w:val="0"/>
          <w:sz w:val="20"/>
        </w:rPr>
        <w:t xml:space="preserve">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w:t>
      </w:r>
      <w:r>
        <w:rPr>
          <w:rFonts w:ascii="Palatino Linotype" w:hAnsi="Palatino Linotype" w:eastAsia="Palatino Linotype"/>
          <w:b w:val="0"/>
          <w:i/>
          <w:sz w:val="20"/>
        </w:rPr>
        <w:t xml:space="preserve">no claim of </w:t>
      </w:r>
      <w:r>
        <w:rPr>
          <w:rFonts w:ascii="Palatino Linotype" w:hAnsi="Palatino Linotype" w:eastAsia="Palatino Linotype"/>
          <w:b w:val="0"/>
          <w:i w:val="0"/>
          <w:sz w:val="20"/>
        </w:rPr>
        <w:t>range</w:t>
      </w:r>
      <w:r>
        <w:rPr>
          <w:rFonts w:ascii="Palatino Linotype" w:hAnsi="Palatino Linotype" w:eastAsia="Palatino Linotype"/>
          <w:b w:val="0"/>
          <w:i/>
          <w:sz w:val="20"/>
        </w:rPr>
        <w:t xml:space="preserve"> superiority over the tilting family is made here in either direction.</w:t>
      </w:r>
      <w:r>
        <w:rPr>
          <w:rFonts w:ascii="Palatino Linotype" w:hAnsi="Palatino Linotype" w:eastAsia="Palatino Linotype"/>
          <w:b w:val="0"/>
          <w:i w:val="0"/>
          <w:sz w:val="20"/>
        </w:rPr>
        <w:t>* The claim this paper does make against that family is made in Section 1 and restated in Section 4.2, and it is not on this axis: it is that the same regime transition is reached with no pivot, no nacelle actuator, no variable-pitch hub and no control surface. Nothing in this section supports or damages it, because this section measures range and that claim is about parts.</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Table 12 re-solves it across the computed bracket; the cruise and range rows here are optimistic rather than central.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Tip-pair disc loading</w:t>
            </w:r>
          </w:p>
        </w:tc>
        <w:tc>
          <w:tcPr>
            <w:tcW w:type="dxa" w:w="4986"/>
          </w:tcPr>
          <w:p>
            <w:pPr>
              <w:spacing w:before="20" w:after="20"/>
            </w:pPr>
            <w:r/>
            <w:r>
              <w:rPr>
                <w:rFonts w:ascii="Palatino Linotype" w:hAnsi="Palatino Linotype" w:eastAsia="Palatino Linotype"/>
                <w:b w:val="0"/>
                <w:i w:val="0"/>
                <w:sz w:val="18"/>
              </w:rPr>
              <w:t>26.3 kg m⁻²</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1 814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carried value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xml:space="preserve"> — the interval around it spans a quarter to a half —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 and that is exactly why the charge above is a range rather than a single number.</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w:t>
      </w:r>
      <w:r>
        <w:rPr>
          <w:rFonts w:ascii="Palatino Linotype" w:hAnsi="Palatino Linotype" w:eastAsia="Palatino Linotype"/>
          <w:b/>
          <w:i w:val="0"/>
          <w:sz w:val="20"/>
        </w:rPr>
        <w:t>But this is where the heavy line differs from the light one in a way that has to be stated, because it weakens the number rather than strengthening it.</w:t>
      </w:r>
      <w:r>
        <w:rPr>
          <w:rFonts w:ascii="Palatino Linotype" w:hAnsi="Palatino Linotype" w:eastAsia="Palatino Linotype"/>
          <w:b w:val="0"/>
          <w:i w:val="0"/>
          <w:sz w:val="20"/>
        </w:rPr>
        <w:t xml:space="preserve"> In the light line the design is pinned: the figure of merit collapses from 0.633 to 0.350 above a target section lift coefficient of 0.68, so the least-draggy blade that still hovers is the one the cliff leaves standing, and the 0.0154 of Section 3.3 is selected by physics. In the heavy line there is no cliff — the figure of merit is still 0.657 at a target of 0.85 — so the same rule selects whichever design sits at the end of whatever range is swept. Across designs meeting the hover requirement the charge runs from </w:t>
      </w:r>
      <w:r>
        <w:rPr>
          <w:rFonts w:ascii="Palatino Linotype" w:hAnsi="Palatino Linotype" w:eastAsia="Palatino Linotype"/>
          <w:b/>
          <w:i w:val="0"/>
          <w:sz w:val="20"/>
        </w:rPr>
        <w:t>0.0074 down to 0.0035</w:t>
      </w:r>
      <w:r>
        <w:rPr>
          <w:rFonts w:ascii="Palatino Linotype" w:hAnsi="Palatino Linotype" w:eastAsia="Palatino Linotype"/>
          <w:b w:val="0"/>
          <w:i w:val="0"/>
          <w:sz w:val="20"/>
        </w:rPr>
        <w:t xml:space="preserve">, and applying the light line's rule literally would return the lowest of these, which is the end favourable to this configuration. </w:t>
      </w:r>
      <w:r>
        <w:rPr>
          <w:rFonts w:ascii="Palatino Linotype" w:hAnsi="Palatino Linotype" w:eastAsia="Palatino Linotype"/>
          <w:b/>
          <w:i w:val="0"/>
          <w:sz w:val="20"/>
        </w:rPr>
        <w:t>The 0.0051 carried above is the interior value the sizing was run at, not a minimum, and it is reported as such:</w:t>
      </w:r>
      <w:r>
        <w:rPr>
          <w:rFonts w:ascii="Palatino Linotype" w:hAnsi="Palatino Linotype" w:eastAsia="Palatino Linotype"/>
          <w:b w:val="0"/>
          <w:i w:val="0"/>
          <w:sz w:val="20"/>
        </w:rPr>
        <w:t xml:space="preserve"> the honest statement is that the heavy charge is bounded by 0.0035 and 0.0074 and is not pinned within that interval by any criterion this study applies. It remains between </w:t>
      </w:r>
      <w:r>
        <w:rPr>
          <w:rFonts w:ascii="Palatino Linotype" w:hAnsi="Palatino Linotype" w:eastAsia="Palatino Linotype"/>
          <w:b/>
          <w:i w:val="0"/>
          <w:sz w:val="20"/>
        </w:rPr>
        <w:t>a quarter and a half</w:t>
      </w:r>
      <w:r>
        <w:rPr>
          <w:rFonts w:ascii="Palatino Linotype" w:hAnsi="Palatino Linotype" w:eastAsia="Palatino Linotype"/>
          <w:b w:val="0"/>
          <w:i w:val="0"/>
          <w:sz w:val="20"/>
        </w:rPr>
        <w:t xml:space="preserve"> of the light design's charge at every point in the interval — 0.0035/0.0154 is 0.23 and 0.0074/0.0154 is 0.48 — so the qualitative statement that the heavy line pays a fraction of the light line's charge holds wherever in the interval the value falls. </w:t>
      </w:r>
      <w:r>
        <w:rPr>
          <w:rFonts w:ascii="Palatino Linotype" w:hAnsi="Palatino Linotype" w:eastAsia="Palatino Linotype"/>
          <w:b/>
          <w:i w:val="0"/>
          <w:sz w:val="20"/>
        </w:rPr>
        <w:t>One thing in Section 3.9 does not hold that way, and it is named there rather than buried here:</w:t>
      </w:r>
      <w:r>
        <w:rPr>
          <w:rFonts w:ascii="Palatino Linotype" w:hAnsi="Palatino Linotype" w:eastAsia="Palatino Linotype"/>
          <w:b w:val="0"/>
          <w:i w:val="0"/>
          <w:sz w:val="20"/>
        </w:rPr>
        <w:t xml:space="preserve"> the numerical agreement between the predicted and computed scaling ratios is computed at 0.0051 and moves with the choice.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The heavy design still has a longer range than the light one despite a shorter endurance, and the margin survives charging both lines: 1 571 km against 1 173 to 1 442 km.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How close that agreement is depends on a number Section 3.8 has just declared unpinned, and saying so costs the agreement some of its force.</w:t>
      </w:r>
      <w:r>
        <w:rPr>
          <w:rFonts w:ascii="Palatino Linotype" w:hAnsi="Palatino Linotype" w:eastAsia="Palatino Linotype"/>
          <w:b w:val="0"/>
          <w:i w:val="0"/>
          <w:sz w:val="20"/>
        </w:rPr>
        <w:t xml:space="preserve"> The computed 3.04 is 0.0154/0.0051, and 0.0051 is the interior value the heavy sizing was run at rather than a value any criterion selects; at the ends of the interval Section 3.8 bounds — 0.0035 and 0.0074 — the ratio computes to 2.08 and 4.40, either side of the predicted 3.08. </w:t>
      </w:r>
      <w:r>
        <w:rPr>
          <w:rFonts w:ascii="Palatino Linotype" w:hAnsi="Palatino Linotype" w:eastAsia="Palatino Linotype"/>
          <w:b/>
          <w:i w:val="0"/>
          <w:sz w:val="20"/>
        </w:rPr>
        <w:t>The mechanism — that solidity and dynamic pressure are the only two terms that move — does not depend on the choice, and neither does the direction or the order of magnitude. The three-digit agreement does.</w:t>
      </w:r>
      <w:r>
        <w:rPr>
          <w:rFonts w:ascii="Palatino Linotype" w:hAnsi="Palatino Linotype" w:eastAsia="Palatino Linotype"/>
          <w:b w:val="0"/>
          <w:i w:val="0"/>
          <w:sz w:val="20"/>
        </w:rPr>
        <w:t xml:space="preserve"> It is reported as a consistency check at the sizing point, not as a validation of the scaling law.</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3.7 and the comparative sizing of Section 3.6 are all computed on 0.0248 and none of them is re-derived here</w:t>
      </w:r>
      <w:r>
        <w:rPr>
          <w:rFonts w:ascii="Palatino Linotype" w:hAnsi="Palatino Linotype" w:eastAsia="Palatino Linotype"/>
          <w:b w:val="0"/>
          <w:i w:val="0"/>
          <w:sz w:val="20"/>
        </w:rPr>
        <w:t xml:space="preserve"> — the heavy line of Section 3.8 stands on its own coefficient, 0.0200, which this bracket does not address.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on the </w:t>
      </w:r>
      <w:r>
        <w:rPr>
          <w:rFonts w:ascii="Palatino Linotype" w:hAnsi="Palatino Linotype" w:eastAsia="Palatino Linotype"/>
          <w:b/>
          <w:i w:val="0"/>
          <w:sz w:val="20"/>
        </w:rPr>
        <w:t>initial 192 000-cell mesh</w:t>
      </w:r>
      <w:r>
        <w:rPr>
          <w:rFonts w:ascii="Palatino Linotype" w:hAnsi="Palatino Linotype" w:eastAsia="Palatino Linotype"/>
          <w:b w:val="0"/>
          <w:i w:val="0"/>
          <w:sz w:val="20"/>
        </w:rPr>
        <w:t>. Table 19 refines it twice; the converged ratio is 0.796, not the 0.787 below.</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0" w:after="80" w:line="240" w:lineRule="auto"/>
        <w:jc w:val="both"/>
      </w:pPr>
      <w:r>
        <w:rPr>
          <w:rFonts w:ascii="Palatino Linotype" w:hAnsi="Palatino Linotype" w:eastAsia="Palatino Linotype"/>
          <w:b/>
          <w:i w:val="0"/>
          <w:sz w:val="20"/>
        </w:rPr>
        <w:t>The third belongs with them and has not been said at all until now: the deceleration and nose-up rotation are not analysed either.</w:t>
      </w:r>
      <w:r>
        <w:rPr>
          <w:rFonts w:ascii="Palatino Linotype" w:hAnsi="Palatino Linotype" w:eastAsia="Palatino Linotype"/>
          <w:b w:val="0"/>
          <w:i w:val="0"/>
          <w:sz w:val="20"/>
        </w:rPr>
        <w:t xml:space="preserve"> Sections 3.12 to 3.15 treat the forward transition in six subsections and the reverse in this clause. The two are not symmetric and should not be assumed to be: the forward rotation builds dynamic pressure while it turns, so lift arrives to replace the vertical component of thrust as that component falls, and Section 3.15 shows the result turns on exactly that race. The reverse runs the race backwards — dynamic pressure falls while the aircraft is being turned, so lift is leaving at the moment the thrust vector has not yet returned to vertical — and a model built for the first case cannot be read for the second by changing a sign. </w:t>
      </w:r>
      <w:r>
        <w:rPr>
          <w:rFonts w:ascii="Palatino Linotype" w:hAnsi="Palatino Linotype" w:eastAsia="Palatino Linotype"/>
          <w:b/>
          <w:i w:val="0"/>
          <w:sz w:val="20"/>
        </w:rPr>
        <w:t>No figure in this paper describes the landing transition, and none should be inferred from the take-off one.</w:t>
      </w:r>
      <w:r>
        <w:rPr>
          <w:rFonts w:ascii="Palatino Linotype" w:hAnsi="Palatino Linotype" w:eastAsia="Palatino Linotype"/>
          <w:b w:val="0"/>
          <w:i w:val="0"/>
          <w:sz w:val="20"/>
        </w:rPr>
        <w:t xml:space="preserve"> Section 4 records it.</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Rotating the airframe through ninety degrees is the manoeuvre this configuration must perform with four small propellers and no control surfaces.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Those are different kinds of number — the first a system-level figure of merit, the second a force ratio — and the comparison is offered for scale rather than as a measured margin. </w:t>
      </w:r>
      <w:r>
        <w:rPr>
          <w:rFonts w:ascii="Palatino Linotype" w:hAnsi="Palatino Linotype" w:eastAsia="Palatino Linotype"/>
          <w:b/>
          <w:i w:val="0"/>
          <w:sz w:val="20"/>
        </w:rPr>
        <w:t>The claim that survives it is structural: a vehicle that carries its cruise lift on a wing is in a different efficiency class from one that carries it on rotors, and no sizing contract moves a vehicle between those classes.</w:t>
      </w:r>
      <w:r>
        <w:rPr>
          <w:rFonts w:ascii="Palatino Linotype" w:hAnsi="Palatino Linotype" w:eastAsia="Palatino Linotype"/>
          <w:b w:val="0"/>
          <w:i w:val="0"/>
          <w:sz w:val="20"/>
        </w:rPr>
        <w:t xml:space="preserve">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i w:val="0"/>
          <w:sz w:val="20"/>
        </w:rPr>
        <w:t>None of that touches the third claim, because the third claim is not on this axis at all.</w:t>
      </w:r>
      <w:r>
        <w:rPr>
          <w:rFonts w:ascii="Palatino Linotype" w:hAnsi="Palatino Linotype" w:eastAsia="Palatino Linotype"/>
          <w:b w:val="0"/>
          <w:i w:val="0"/>
          <w:sz w:val="20"/>
        </w:rPr>
        <w:t xml:space="preserve"> Against the tilting family the offer of this configuration was never a longer range; Section 3.6 reports that the tilting layout leads on range under all three contracts, and that result stands. The offer is that the same regime transition is reached </w:t>
      </w:r>
      <w:r>
        <w:rPr>
          <w:rFonts w:ascii="Palatino Linotype" w:hAnsi="Palatino Linotype" w:eastAsia="Palatino Linotype"/>
          <w:b/>
          <w:i w:val="0"/>
          <w:sz w:val="20"/>
        </w:rPr>
        <w:t>without a rotating mechanism</w:t>
      </w:r>
      <w:r>
        <w:rPr>
          <w:rFonts w:ascii="Palatino Linotype" w:hAnsi="Palatino Linotype" w:eastAsia="Palatino Linotype"/>
          <w:b w:val="0"/>
          <w:i w:val="0"/>
          <w:sz w:val="20"/>
        </w:rPr>
        <w:t xml:space="preserve"> — no pivot, no nacelle actuator, no gyroscopic moment during the rotation, no variable-pitch hub, and no aerodynamic control surface of any kind. Every one of the tilting layout's range advantages in Section 3.6 is computed with its nacelles, pivots, actuators and hover-pitched blades credited as aerodynamically free and mechanically reliable; the present configuration has nothing corresponding to charge, because it has nothing corresponding. </w:t>
      </w:r>
      <w:r>
        <w:rPr>
          <w:rFonts w:ascii="Palatino Linotype" w:hAnsi="Palatino Linotype" w:eastAsia="Palatino Linotype"/>
          <w:b/>
          <w:i w:val="0"/>
          <w:sz w:val="20"/>
        </w:rPr>
        <w:t>That is a hardware claim rather than a performance claim, it is countable rather than contract-dependent, and it is the reason this configuration is proposed at all.</w:t>
      </w:r>
      <w:r>
        <w:rPr>
          <w:rFonts w:ascii="Palatino Linotype" w:hAnsi="Palatino Linotype" w:eastAsia="Palatino Linotype"/>
          <w:b w:val="0"/>
          <w:i w:val="0"/>
          <w:sz w:val="20"/>
        </w:rPr>
        <w:t xml:space="preserve"> Whether the hardware saved is worth the range given up is a question for a designer with a mission in hand, and this paper does not answer it for them.</w:t>
      </w:r>
    </w:p>
    <w:p>
      <w:pPr>
        <w:spacing w:before="0" w:after="80" w:line="240" w:lineRule="auto"/>
        <w:jc w:val="both"/>
      </w:pPr>
      <w:r>
        <w:rPr>
          <w:rFonts w:ascii="Palatino Linotype" w:hAnsi="Palatino Linotype" w:eastAsia="Palatino Linotype"/>
          <w:b/>
          <w:i w:val="0"/>
          <w:sz w:val="20"/>
        </w:rPr>
        <w:t>Stated together, then, the three claims sit on three different axes against three different families, and each is safe from the others.</w:t>
      </w:r>
      <w:r>
        <w:rPr>
          <w:rFonts w:ascii="Palatino Linotype" w:hAnsi="Palatino Linotype" w:eastAsia="Palatino Linotype"/>
          <w:b w:val="0"/>
          <w:i w:val="0"/>
          <w:sz w:val="20"/>
        </w:rPr>
        <w:t xml:space="preserve"> Runway independence against fixed wings is not weakened by a range deficit against lift-plus-cruise. Wing-borne cruise against multirotors is not weakened by a tilting layout flying further. Freedom from mechanism against tilts is not weakened by anything in Section 3.6, because Section 3.6 measures range and the claim is about parts. The one thing that would damage all three at once is the aircraft not flying, and Section 4.4 is the honest account of how close that possibility still is.</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for the light design and 1.041 for the heavy one with full rotation authority retained, and to 1.132 and 1.082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sits entirely above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0" w:after="80" w:line="240" w:lineRule="auto"/>
        <w:jc w:val="both"/>
      </w:pPr>
      <w:r>
        <w:rPr>
          <w:rFonts w:ascii="Palatino Linotype" w:hAnsi="Palatino Linotype" w:eastAsia="Palatino Linotype"/>
          <w:b/>
          <w:i w:val="0"/>
          <w:sz w:val="20"/>
        </w:rPr>
        <w:t>The free-wheeling-versus-indexing trade is unpriced, and it is the first thing a reader of Section 3.3 will ask.</w:t>
      </w:r>
      <w:r>
        <w:rPr>
          <w:rFonts w:ascii="Palatino Linotype" w:hAnsi="Palatino Linotype" w:eastAsia="Palatino Linotype"/>
          <w:b w:val="0"/>
          <w:i w:val="0"/>
          <w:sz w:val="20"/>
        </w:rPr>
        <w:t xml:space="preserve"> Stopping the tip rotors edge-on at a controlled azimuth costs 0.0008 in zero-lift drag against the free-wheeling state's 0.0154 — a factor of twenty — at the price of an indexing mechanism this configuration was designed to avoid. The free-wheeling state was adopted because it needs no hardware; it was not shown to beat the hardware, and this paper does not compare them. The calculation is bounded and belongs in the next version of this work rather than in a later one.</w:t>
      </w:r>
    </w:p>
    <w:p>
      <w:pPr>
        <w:spacing w:before="0" w:after="80" w:line="240" w:lineRule="auto"/>
        <w:jc w:val="both"/>
      </w:pPr>
      <w:r>
        <w:rPr>
          <w:rFonts w:ascii="Palatino Linotype" w:hAnsi="Palatino Linotype" w:eastAsia="Palatino Linotype"/>
          <w:b/>
          <w:i w:val="0"/>
          <w:sz w:val="20"/>
        </w:rPr>
        <w:t>The landing transition belongs on this list and had been left off it.</w:t>
      </w:r>
      <w:r>
        <w:rPr>
          <w:rFonts w:ascii="Palatino Linotype" w:hAnsi="Palatino Linotype" w:eastAsia="Palatino Linotype"/>
          <w:b w:val="0"/>
          <w:i w:val="0"/>
          <w:sz w:val="20"/>
        </w:rPr>
        <w:t xml:space="preserve"> The forward transition is treated in six subsections of Section 3 and the reverse — decelerate, rotate nose-up, descend — in a clause. The two are not symmetric: the forward rotation gains dynamic pressure while it turns, so lift arrives as the vertical component of thrust departs, and Section 3.15 shows the altitude loss turns on that race; the reverse loses dynamic pressure while turning, so lift departs before the thrust vector has returned to vertical. Nothing in this paper models that case, no number here describes it, and the take-off transition must not be read backwards to supply one. Together with the vertical descent above it, the landing is the least examined phase of the flight profile.</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1.066 for the light design and 1.041 for the heavy one with full rotation authority retained, and to 1.132 and 1.082 with none retained,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Two things survive independently of that, and they should be stated separately because they are claims of different kinds.</w:t>
      </w:r>
    </w:p>
    <w:p>
      <w:pPr>
        <w:spacing w:before="0" w:after="80" w:line="240" w:lineRule="auto"/>
        <w:jc w:val="both"/>
      </w:pPr>
      <w:r>
        <w:rPr>
          <w:rFonts w:ascii="Palatino Linotype" w:hAnsi="Palatino Linotype" w:eastAsia="Palatino Linotype"/>
          <w:b/>
          <w:i w:val="0"/>
          <w:sz w:val="20"/>
        </w:rPr>
        <w:t>The first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w:t>
      </w:r>
    </w:p>
    <w:p>
      <w:pPr>
        <w:spacing w:before="0" w:after="80" w:line="240" w:lineRule="auto"/>
        <w:jc w:val="both"/>
      </w:pPr>
      <w:r>
        <w:rPr>
          <w:rFonts w:ascii="Palatino Linotype" w:hAnsi="Palatino Linotype" w:eastAsia="Palatino Linotype"/>
          <w:b/>
          <w:i w:val="0"/>
          <w:sz w:val="20"/>
        </w:rPr>
        <w:t>The second is the configuration's architectural claim, and it is not a performance claim.</w:t>
      </w:r>
      <w:r>
        <w:rPr>
          <w:rFonts w:ascii="Palatino Linotype" w:hAnsi="Palatino Linotype" w:eastAsia="Palatino Linotype"/>
          <w:b w:val="0"/>
          <w:i w:val="0"/>
          <w:sz w:val="20"/>
        </w:rPr>
        <w:t xml:space="preserve"> Against the fixed-wing family this aircraft needs no runway; against the multirotor family it cruises on a wing; against the tilting family it reaches the same regime transition </w:t>
      </w:r>
      <w:r>
        <w:rPr>
          <w:rFonts w:ascii="Palatino Linotype" w:hAnsi="Palatino Linotype" w:eastAsia="Palatino Linotype"/>
          <w:b/>
          <w:i w:val="0"/>
          <w:sz w:val="20"/>
        </w:rPr>
        <w:t>with no mechanism that moves</w:t>
      </w:r>
      <w:r>
        <w:rPr>
          <w:rFonts w:ascii="Palatino Linotype" w:hAnsi="Palatino Linotype" w:eastAsia="Palatino Linotype"/>
          <w:b w:val="0"/>
          <w:i w:val="0"/>
          <w:sz w:val="20"/>
        </w:rPr>
        <w:t xml:space="preserve"> — no pivot, no nacelle actuator, no gyroscopic moment during the rotation, no variable-pitch hub and no aerodynamic control surface. The tilting solution is the less widely fielded of the two contemporary hybrid families, and the reasons given for that in the literature are mechanical and control reasons rather than aerodynamic ones; </w:t>
      </w:r>
      <w:r>
        <w:rPr>
          <w:rFonts w:ascii="Palatino Linotype" w:hAnsi="Palatino Linotype" w:eastAsia="Palatino Linotype"/>
          <w:b/>
          <w:i w:val="0"/>
          <w:sz w:val="20"/>
        </w:rPr>
        <w:t>this configuration is offered as an alternative route to the same end, and that is what it is for.</w:t>
      </w:r>
      <w:r>
        <w:rPr>
          <w:rFonts w:ascii="Palatino Linotype" w:hAnsi="Palatino Linotype" w:eastAsia="Palatino Linotype"/>
          <w:b w:val="0"/>
          <w:i w:val="0"/>
          <w:sz w:val="20"/>
        </w:rPr>
        <w:t xml:space="preserve"> Each of those three claims is made against a different family on a different axis, and none of them is a range ranking against the other hybrids — a ranking this paper reports in full, finds to reverse with the sizing contract, and does not claim. </w:t>
      </w:r>
      <w:r>
        <w:rPr>
          <w:rFonts w:ascii="Palatino Linotype" w:hAnsi="Palatino Linotype" w:eastAsia="Palatino Linotype"/>
          <w:b/>
          <w:i w:val="0"/>
          <w:sz w:val="20"/>
        </w:rPr>
        <w:t>The absence of a mechanism is countable and no contract moves it; the range comparison is neither.</w:t>
      </w:r>
      <w:r>
        <w:rPr>
          <w:rFonts w:ascii="Palatino Linotype" w:hAnsi="Palatino Linotype" w:eastAsia="Palatino Linotype"/>
          <w:b w:val="0"/>
          <w:i w:val="0"/>
          <w:sz w:val="20"/>
        </w:rPr>
        <w:t xml:space="preserve">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of 1 571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