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文档格式规范示例</w:t>
      </w:r>
    </w:p>
    <w:p>
      <w:pPr>
        <w:pStyle w:val="Subtitle"/>
      </w:pPr>
      <w:r>
        <w:t>字体 · 行距 · 标题 · 目录 · 列表 · 引用 · 表格</w:t>
      </w:r>
    </w:p>
    <w:p>
      <w:pPr>
        <w:pStyle w:val="Lead"/>
      </w:pPr>
      <w:r>
        <w:t>本样例只放少量内容，用于快速检查一套中文商务文档的完整视觉层级与独立目录页。</w:t>
      </w:r>
    </w:p>
    <w:p>
      <w:r>
        <w:br w:type="page"/>
      </w:r>
    </w:p>
    <w:p>
      <w:pPr>
        <w:pStyle w:val="DirectoryTitle"/>
      </w:pPr>
      <w:r>
        <w:t>目录</w:t>
      </w:r>
    </w:p>
    <w:p>
      <w:pPr>
        <w:pStyle w:val="TOC1"/>
      </w:pPr>
      <w:r>
        <w:t>一、基础排版</w:t>
        <w:tab/>
        <w:t>3</w:t>
      </w:r>
    </w:p>
    <w:p>
      <w:pPr>
        <w:pStyle w:val="TOC2"/>
      </w:pPr>
      <w:r>
        <w:t>1.1　标题层级</w:t>
        <w:tab/>
        <w:t>3</w:t>
      </w:r>
    </w:p>
    <w:p>
      <w:pPr>
        <w:pStyle w:val="TOC3"/>
      </w:pPr>
      <w:r>
        <w:t>1.1.1　三级标题</w:t>
        <w:tab/>
        <w:t>3</w:t>
      </w:r>
    </w:p>
    <w:p>
      <w:pPr>
        <w:pStyle w:val="TOC2"/>
      </w:pPr>
      <w:r>
        <w:t>1.2　列表样式</w:t>
        <w:tab/>
        <w:t>3</w:t>
      </w:r>
    </w:p>
    <w:p>
      <w:pPr>
        <w:pStyle w:val="TOC1"/>
      </w:pPr>
      <w:r>
        <w:t>二、表格与辅助样式</w:t>
        <w:tab/>
        <w:t>3</w:t>
      </w:r>
    </w:p>
    <w:p>
      <w:pPr>
        <w:pStyle w:val="TOC2"/>
      </w:pPr>
      <w:r>
        <w:t>2.1　正文与强调</w:t>
        <w:tab/>
        <w:t>3</w:t>
      </w:r>
    </w:p>
    <w:p>
      <w:pPr>
        <w:pStyle w:val="Note"/>
      </w:pPr>
      <w:r>
        <w:t>样例采用确定性静态目录；正式 Word 文档应在交付前更新目录字段。</w:t>
      </w:r>
    </w:p>
    <w:p>
      <w:r>
        <w:br w:type="page"/>
      </w:r>
    </w:p>
    <w:p>
      <w:pPr>
        <w:pStyle w:val="Heading1"/>
      </w:pPr>
      <w:r>
        <w:t>基础排版</w:t>
      </w:r>
    </w:p>
    <w:p>
      <w:pPr/>
      <w:r>
        <w:t>这是一段正文示例，展示微软雅黑、10.5 磅、1.5 倍行距与首行缩进。</w:t>
      </w:r>
      <w:r>
        <w:rPr>
          <w:rFonts w:ascii="Microsoft YaHei" w:hAnsi="Microsoft YaHei" w:eastAsia="Microsoft YaHei" w:cs="Microsoft YaHei"/>
          <w:b/>
          <w:color w:val="17365D"/>
          <w:sz w:val="21"/>
        </w:rPr>
        <w:t>重点信息使用加粗</w:t>
      </w:r>
      <w:r>
        <w:rPr>
          <w:rFonts w:ascii="Microsoft YaHei" w:hAnsi="Microsoft YaHei" w:eastAsia="Microsoft YaHei" w:cs="Microsoft YaHei"/>
          <w:color w:val="202124"/>
          <w:sz w:val="21"/>
        </w:rPr>
        <w:t>，中英文与数字均使用微软雅黑：</w:t>
      </w:r>
      <w:r>
        <w:rPr>
          <w:rFonts w:ascii="Microsoft YaHei" w:hAnsi="Microsoft YaHei" w:eastAsia="Microsoft YaHei" w:cs="Microsoft YaHei"/>
          <w:color w:val="202124"/>
          <w:sz w:val="21"/>
        </w:rPr>
        <w:t>Product 2026</w:t>
      </w:r>
      <w:r>
        <w:rPr>
          <w:rFonts w:ascii="Microsoft YaHei" w:hAnsi="Microsoft YaHei" w:eastAsia="Microsoft YaHei" w:cs="Microsoft YaHei"/>
          <w:color w:val="202124"/>
          <w:sz w:val="21"/>
        </w:rPr>
        <w:t>。</w:t>
      </w:r>
    </w:p>
    <w:p>
      <w:pPr>
        <w:pStyle w:val="Heading2"/>
      </w:pPr>
      <w:r>
        <w:t>1.1  标题层级</w:t>
      </w:r>
    </w:p>
    <w:p>
      <w:pPr>
        <w:pStyle w:val="BodyNoIndent"/>
      </w:pPr>
      <w:r>
        <w:t>二级标题用于主题分组；段前距大于段后距，让标题与后文保持归属。</w:t>
      </w:r>
    </w:p>
    <w:p>
      <w:pPr>
        <w:pStyle w:val="Heading3"/>
      </w:pPr>
      <w:r>
        <w:t>1.1.1  三级标题</w:t>
      </w:r>
    </w:p>
    <w:p>
      <w:pPr>
        <w:pStyle w:val="Heading2"/>
      </w:pPr>
      <w:r>
        <w:t>1.2  列表样式</w:t>
      </w:r>
    </w:p>
    <w:p>
      <w:pPr>
        <w:pStyle w:val="BodyNoIndent"/>
        <w:spacing w:after="80" w:line="324" w:lineRule="auto"/>
        <w:ind w:left="720" w:hanging="357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202124"/>
          <w:sz w:val="21"/>
        </w:rPr>
        <w:t>项目符号用于并列信息，换行后与正文文字对齐。</w:t>
      </w:r>
    </w:p>
    <w:p>
      <w:pPr>
        <w:pStyle w:val="BodyNoIndent"/>
        <w:spacing w:after="80" w:line="324" w:lineRule="auto"/>
        <w:ind w:left="720" w:hanging="357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202124"/>
          <w:sz w:val="21"/>
        </w:rPr>
        <w:t>第一步：确认格式要求。</w:t>
      </w:r>
    </w:p>
    <w:p>
      <w:pPr>
        <w:pStyle w:val="Quote"/>
        <w:shd w:fill="EAF2F8"/>
        <w:pBdr>
          <w:left w:val="single" w:sz="18" w:space="8" w:color="17365D"/>
        </w:pBdr>
        <w:spacing w:before="120" w:after="120"/>
      </w:pPr>
      <w:r>
        <w:t>说明框用于关键提示、约束或引用；底色与左侧竖线形成克制强调。</w:t>
      </w:r>
    </w:p>
    <w:p>
      <w:pPr>
        <w:pStyle w:val="Heading1"/>
      </w:pPr>
      <w:r>
        <w:t>表格与辅助样式</w:t>
      </w:r>
    </w:p>
    <w:p>
      <w:pPr>
        <w:pStyle w:val="Caption"/>
      </w:pPr>
      <w:r>
        <w:t>表 1　核心样式参数（表题使用 9 磅、居中、灰色）</w:t>
      </w:r>
    </w:p>
    <w:tbl>
      <w:tblPr>
        <w:jc w:val="left"/>
        <w:tblLook w:firstColumn="1" w:firstRow="1" w:lastColumn="0" w:lastRow="0" w:noHBand="0" w:noVBand="1" w:val="04A0"/>
        <w:tblW w:w="9184" w:type="dxa"/>
        <w:tblInd w:w="120" w:type="dxa"/>
        <w:tblLayout w:type="fixed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500"/>
        <w:gridCol w:w="3000"/>
        <w:gridCol w:w="4684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17365D"/>
          </w:tcPr>
          <w:p>
            <w:pPr>
              <w:pStyle w:val="BodyNoIndent"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元素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17365D"/>
          </w:tcPr>
          <w:p>
            <w:pPr>
              <w:pStyle w:val="BodyNoIndent"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字号 / 行距</w:t>
            </w:r>
          </w:p>
        </w:tc>
        <w:tc>
          <w:tcPr>
            <w:tcW w:type="dxa" w:w="46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17365D"/>
          </w:tcPr>
          <w:p>
            <w:pPr>
              <w:pStyle w:val="BodyNoIndent"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样式说明</w:t>
            </w:r>
          </w:p>
        </w:tc>
      </w:tr>
      <w:tr>
        <w:trPr/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FFFFF"/>
          </w:tcPr>
          <w:p>
            <w:pPr>
              <w:pStyle w:val="BodyNoIndent"/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正文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FFFFF"/>
          </w:tcPr>
          <w:p>
            <w:pPr>
              <w:pStyle w:val="BodyNoIndent"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10.5 pt / 1.5</w:t>
            </w:r>
          </w:p>
        </w:tc>
        <w:tc>
          <w:tcPr>
            <w:tcW w:type="dxa" w:w="46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FFFFF"/>
          </w:tcPr>
          <w:p>
            <w:pPr>
              <w:pStyle w:val="BodyNoIndent"/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微软雅黑，首行缩进两字符，段后 6 磅</w:t>
            </w:r>
          </w:p>
        </w:tc>
      </w:tr>
      <w:tr>
        <w:trPr/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4F7FA"/>
          </w:tcPr>
          <w:p>
            <w:pPr>
              <w:pStyle w:val="BodyNoIndent"/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一级标题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4F7FA"/>
          </w:tcPr>
          <w:p>
            <w:pPr>
              <w:pStyle w:val="BodyNoIndent"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16 pt / 1.15</w:t>
            </w:r>
          </w:p>
        </w:tc>
        <w:tc>
          <w:tcPr>
            <w:tcW w:type="dxa" w:w="46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4F7FA"/>
          </w:tcPr>
          <w:p>
            <w:pPr>
              <w:pStyle w:val="BodyNoIndent"/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微软雅黑加粗、深蓝、段前 18 磅、段后 8 磅</w:t>
            </w:r>
          </w:p>
        </w:tc>
      </w:tr>
      <w:tr>
        <w:trPr/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FFFFF"/>
          </w:tcPr>
          <w:p>
            <w:pPr>
              <w:pStyle w:val="BodyNoIndent"/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表格正文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FFFFF"/>
          </w:tcPr>
          <w:p>
            <w:pPr>
              <w:pStyle w:val="BodyNoIndent"/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9.5 pt / 1.2</w:t>
            </w:r>
          </w:p>
        </w:tc>
        <w:tc>
          <w:tcPr>
            <w:tcW w:type="dxa" w:w="46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FFFFF"/>
          </w:tcPr>
          <w:p>
            <w:pPr>
              <w:pStyle w:val="BodyNoIndent"/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124"/>
                <w:sz w:val="19"/>
              </w:rPr>
              <w:t>固定列宽、单元格留白、隔行浅色底</w:t>
            </w:r>
          </w:p>
        </w:tc>
      </w:tr>
    </w:tbl>
    <w:p>
      <w:pPr>
        <w:pStyle w:val="Note"/>
      </w:pPr>
      <w:r>
        <w:t>注：短字段居中，描述字段左对齐；表头在跨页时重复。</w:t>
      </w:r>
    </w:p>
    <w:p>
      <w:pPr>
        <w:pStyle w:val="Heading2"/>
      </w:pPr>
      <w:r>
        <w:t>2.1  正文与强调</w:t>
      </w:r>
    </w:p>
    <w:p>
      <w:pPr>
        <w:pStyle w:val="BodyNoIndent"/>
      </w:pPr>
      <w:r>
        <w:rPr>
          <w:rFonts w:ascii="Microsoft YaHei" w:hAnsi="Microsoft YaHei" w:eastAsia="Microsoft YaHei" w:cs="Microsoft YaHei"/>
          <w:color w:val="202124"/>
          <w:sz w:val="21"/>
        </w:rPr>
        <w:t>常规文字保持克制；</w:t>
      </w:r>
      <w:r>
        <w:rPr>
          <w:rFonts w:ascii="Microsoft YaHei" w:hAnsi="Microsoft YaHei" w:eastAsia="Microsoft YaHei" w:cs="Microsoft YaHei"/>
          <w:b/>
          <w:color w:val="17365D"/>
          <w:sz w:val="21"/>
        </w:rPr>
        <w:t>加粗用于结论</w:t>
      </w:r>
      <w:r>
        <w:rPr>
          <w:rFonts w:ascii="Microsoft YaHei" w:hAnsi="Microsoft YaHei" w:eastAsia="Microsoft YaHei" w:cs="Microsoft YaHei"/>
          <w:i/>
          <w:color w:val="202124"/>
          <w:sz w:val="21"/>
        </w:rPr>
        <w:t>，斜体用于术语或作品名。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 w:cs="Microsoft YaHei"/>
        <w:color w:val="667085"/>
        <w:sz w:val="17"/>
      </w:rPr>
      <w:t xml:space="preserve">第 </w:t>
    </w:r>
    <w:r>
      <w:rPr>
        <w:rFonts w:ascii="Microsoft YaHei" w:hAnsi="Microsoft YaHei" w:eastAsia="Microsoft YaHei" w:cs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0"/>
      <w:jc w:val="left"/>
    </w:pPr>
    <w:r>
      <w:rPr>
        <w:rFonts w:ascii="Microsoft YaHei" w:hAnsi="Microsoft YaHei" w:eastAsia="Microsoft YaHei" w:cs="Microsoft YaHei"/>
        <w:color w:val="667085"/>
        <w:sz w:val="17"/>
      </w:rPr>
      <w:t>文档样式规范</w:t>
    </w:r>
    <w:r>
      <w:rPr>
        <w:rFonts w:ascii="Microsoft YaHei" w:hAnsi="Microsoft YaHei" w:eastAsia="Microsoft YaHei" w:cs="Microsoft YaHei"/>
        <w:color w:val="667085"/>
        <w:sz w:val="17"/>
      </w:rPr>
      <w:tab/>
      <w:t>格式规范示例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pStyle w:val="Heading1"/>
      <w:numFmt w:val="chineseCounting"/>
      <w:lvlText w:val="%1、"/>
      <w:suff w:val="space"/>
      <w:pPr>
        <w:ind w:left="0" w:hanging="0"/>
        <w:spacing w:after="80" w:line="324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324" w:lineRule="auto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nsid w:val="0000000B"/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324" w:lineRule="auto"/>
      </w:pPr>
      <w:rPr>
        <w:rFonts w:ascii="Microsoft YaHei" w:hAnsi="Microsoft YaHei" w:eastAsia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120" w:line="360" w:lineRule="auto"/>
      <w:ind w:firstLine="420"/>
      <w:jc w:val="both"/>
    </w:pPr>
    <w:rPr>
      <w:rFonts w:ascii="Microsoft YaHei" w:hAnsi="Microsoft YaHei" w:eastAsia="Microsoft YaHei" w:cs="Microsoft YaHei"/>
      <w:b w:val="0"/>
      <w:i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jc w:val="left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jc w:val="lef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2021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20" w:line="288" w:lineRule="auto"/>
      <w:jc w:val="center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keepLines w:val="0"/>
      <w:spacing w:before="160" w:after="160" w:line="324" w:lineRule="auto"/>
      <w:jc w:val="left"/>
    </w:pPr>
    <w:rPr>
      <w:rFonts w:ascii="Microsoft YaHei" w:hAnsi="Microsoft YaHei" w:eastAsia="Microsoft YaHei" w:cs="Microsoft YaHei"/>
      <w:b w:val="0"/>
      <w:i/>
      <w:iCs/>
      <w:color w:val="17365D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line="276" w:lineRule="auto" w:before="80" w:after="120"/>
      <w:jc w:val="center"/>
    </w:pPr>
    <w:rPr>
      <w:rFonts w:ascii="Microsoft YaHei" w:hAnsi="Microsoft YaHei" w:eastAsia="Microsoft YaHei" w:cs="Microsoft YaHei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NoIndent">
    <w:name w:val="Body No Indent"/>
    <w:pPr>
      <w:keepNext w:val="0"/>
      <w:keepLines w:val="0"/>
      <w:spacing w:before="0" w:after="120" w:line="360" w:lineRule="auto"/>
      <w:jc w:val="both"/>
    </w:pPr>
    <w:rPr>
      <w:rFonts w:ascii="Microsoft YaHei" w:hAnsi="Microsoft YaHei" w:eastAsia="Microsoft YaHei" w:cs="Microsoft YaHei"/>
      <w:b w:val="0"/>
      <w:i w:val="0"/>
      <w:color w:val="202124"/>
      <w:sz w:val="21"/>
    </w:rPr>
  </w:style>
  <w:style w:type="paragraph" w:customStyle="1" w:styleId="Lead">
    <w:name w:val="Lead"/>
    <w:pPr>
      <w:keepNext w:val="0"/>
      <w:keepLines w:val="0"/>
      <w:spacing w:before="0" w:after="200" w:line="324" w:lineRule="auto"/>
      <w:jc w:val="left"/>
    </w:pPr>
    <w:rPr>
      <w:rFonts w:ascii="Microsoft YaHei" w:hAnsi="Microsoft YaHei" w:eastAsia="Microsoft YaHei" w:cs="Microsoft YaHei"/>
      <w:b w:val="0"/>
      <w:i w:val="0"/>
      <w:color w:val="17365D"/>
      <w:sz w:val="23"/>
    </w:rPr>
  </w:style>
  <w:style w:type="paragraph" w:customStyle="1" w:styleId="Note">
    <w:name w:val="Note"/>
    <w:pPr>
      <w:keepNext w:val="0"/>
      <w:keepLines w:val="0"/>
      <w:spacing w:before="60" w:after="60" w:line="288" w:lineRule="auto"/>
      <w:jc w:val="left"/>
    </w:pPr>
    <w:rPr>
      <w:rFonts w:ascii="Microsoft YaHei" w:hAnsi="Microsoft YaHei" w:eastAsia="Microsoft YaHei" w:cs="Microsoft YaHei"/>
      <w:b w:val="0"/>
      <w:i w:val="0"/>
      <w:color w:val="667085"/>
      <w:sz w:val="17"/>
    </w:rPr>
  </w:style>
  <w:style w:type="paragraph" w:customStyle="1" w:styleId="DirectoryTitle">
    <w:name w:val="Directory Title"/>
    <w:pPr>
      <w:keepNext/>
      <w:keepLines/>
      <w:spacing w:before="0" w:after="400" w:line="240" w:lineRule="auto"/>
      <w:jc w:val="center"/>
    </w:pPr>
    <w:rPr>
      <w:rFonts w:ascii="Microsoft YaHei" w:hAnsi="Microsoft YaHei" w:eastAsia="Microsoft YaHei" w:cs="Microsoft YaHei"/>
      <w:b/>
      <w:i w:val="0"/>
      <w:color w:val="17365D"/>
      <w:sz w:val="36"/>
    </w:rPr>
  </w:style>
  <w:style w:type="paragraph" w:customStyle="1" w:styleId="TOC1">
    <w:name w:val="TOC 1"/>
    <w:pPr>
      <w:keepNext w:val="0"/>
      <w:keepLines w:val="0"/>
      <w:tabs>
        <w:tab w:pos="9184" w:val="right" w:leader="dot"/>
      </w:tabs>
      <w:spacing w:before="160" w:after="100" w:line="312" w:lineRule="auto"/>
      <w:jc w:val="left"/>
    </w:pPr>
    <w:rPr>
      <w:rFonts w:ascii="Microsoft YaHei" w:hAnsi="Microsoft YaHei" w:eastAsia="Microsoft YaHei" w:cs="Microsoft YaHei"/>
      <w:b/>
      <w:i w:val="0"/>
      <w:color w:val="17365D"/>
      <w:sz w:val="22"/>
    </w:rPr>
  </w:style>
  <w:style w:type="paragraph" w:customStyle="1" w:styleId="TOC2">
    <w:name w:val="TOC 2"/>
    <w:pPr>
      <w:keepNext w:val="0"/>
      <w:keepLines w:val="0"/>
      <w:tabs>
        <w:tab w:pos="9184" w:val="right" w:leader="dot"/>
      </w:tabs>
      <w:spacing w:before="80" w:after="80" w:line="312" w:lineRule="auto"/>
      <w:ind w:left="397"/>
      <w:jc w:val="left"/>
    </w:pPr>
    <w:rPr>
      <w:rFonts w:ascii="Microsoft YaHei" w:hAnsi="Microsoft YaHei" w:eastAsia="Microsoft YaHei" w:cs="Microsoft YaHei"/>
      <w:b w:val="0"/>
      <w:i w:val="0"/>
      <w:color w:val="202124"/>
      <w:sz w:val="21"/>
    </w:rPr>
  </w:style>
  <w:style w:type="paragraph" w:customStyle="1" w:styleId="TOC3">
    <w:name w:val="TOC 3"/>
    <w:pPr>
      <w:keepNext w:val="0"/>
      <w:keepLines w:val="0"/>
      <w:tabs>
        <w:tab w:pos="9184" w:val="right" w:leader="dot"/>
      </w:tabs>
      <w:spacing w:before="60" w:after="60" w:line="300" w:lineRule="auto"/>
      <w:ind w:left="794"/>
      <w:jc w:val="left"/>
    </w:pPr>
    <w:rPr>
      <w:rFonts w:ascii="Microsoft YaHei" w:hAnsi="Microsoft YaHei" w:eastAsia="Microsoft YaHei" w:cs="Microsoft YaHei"/>
      <w:b w:val="0"/>
      <w:i w:val="0"/>
      <w:color w:val="66708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