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{{OKVED_101_АГ_KolOrgEdi_1}}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{{OKVED_101_АГ_PriUby(-DoNal_1}}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{{OKVED_101_АГ_SumUbyZaSooPerPreGo_3}}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{{OKVED_101_АГ_SumPriZaSooPerPreGo_3}}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{{OKVED_74_PrPostDeyt}}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{{OKVED_82_PostPoTekDeyt}}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{{OKVED_86_PostPoTekDeyt}}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{{OKVED_101_АГ_ProdAkcOrgDolUch}}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{{OKVED_07_ProdAkcOrgDolUch}}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{{OKVED_38_ProdAkcOrgDolUch}}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{{OKVED_46_ProdAkcOrgDolUch}}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{{OKVED_51_ProdAkcOrgDolUch}}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{{OKVED_64_ProdAkcOrgDolUch}}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{{OKVED_70_ProdAkcOrgDolUch}}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{{OKVED_77_ProdAkcOrgDolUch}}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{{OKVED_101_АГ_ProdAkcOrgDolUch}}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{{OKVED_E_PostDeyt2}}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{{OKVED_F_PostDeyt2}}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{{OKVED_G_PostDeyt2}}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{{OKVED_49_PostDeyt2}}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{{OKVED_50_PostDeyt2}}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{{OKVED_I_PostDeyt2}}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{{OKVED_K_PostDeyt2}}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{{OKVED_L_PostDeyt2}}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{{OKVED_M_PostDeyt2}}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{{OKVED_N_PostDeyt2}}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{{OKVED_S_PostDeyt2}}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