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4848747,0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965058,0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86,0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Ind w:w="-14" w:type="dxa"/>
        <w:tblLayout w:type="autofit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-612,0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jc w:val="right"/>
        <w:tblLayout w:type="autofit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ayout w:type="autofi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ayout w:type="autofi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5000" w:type="pct"/>
        <w:tblInd w:w="-34" w:type="dxa"/>
        <w:tblLayout w:type="autofit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Ind w:w="93" w:type="dxa"/>
        <w:tblLayout w:type="autofit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