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pStyle w:val="000004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粉末加样项目实施方案</w:t>
      </w:r>
    </w:p>
    <w:p w14:paraId="7A8006A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一、本期定位与目标</w:t>
      </w:r>
    </w:p>
    <w:p w14:paraId="3F25E56B">
      <w:pPr/>
      <w:r>
        <w:rPr>
          <w:rFonts w:hint="eastAsia"/>
        </w:rPr>
        <w:t>按钻井液配制项目推进，从通用产品目标转向项目交付：指定粉末、指定用量、指定设备稳定加粉。暂缓通用新粉接入、自动方法生成、跨设备迁移；允许每种粉体专用参数、两台设备分别调参。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A495D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  <w:vAlign w:val="center"/>
          </w:tcPr>
          <w:p w14:paraId="12ACBC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 w14:paraId="1BF3C73C">
            <w:pPr/>
            <w:r>
              <w:rPr>
                <w:rFonts w:hint="eastAsia"/>
              </w:rPr>
              <w:t>10 mg 精度粉体</w:t>
            </w:r>
          </w:p>
        </w:tc>
        <w:tc>
          <w:tcPr>
            <w:tcW w:w="4153" w:type="dxa"/>
            <w:vAlign w:val="center"/>
          </w:tcPr>
          <w:p w14:paraId="62CEF10C">
            <w:pPr/>
            <w:r>
              <w:rPr>
                <w:rFonts w:hint="eastAsia"/>
              </w:rPr>
              <w:t>两台设备各完成 4 种：膨润土、失水剂1、失水剂2、封堵剂2</w:t>
            </w:r>
          </w:p>
        </w:tc>
      </w:tr>
      <w:tr>
        <w:trPr/>
        <w:tc>
          <w:tcPr>
            <w:tcW w:w="4153" w:type="dxa"/>
            <w:vAlign w:val="center"/>
          </w:tcPr>
          <w:p w14:paraId="4D2F8509">
            <w:pPr/>
            <w:r>
              <w:rPr>
                <w:rFonts w:hint="eastAsia"/>
              </w:rPr>
              <w:t>尽量完成的精度粉体</w:t>
            </w:r>
          </w:p>
        </w:tc>
        <w:tc>
          <w:tcPr>
            <w:tcW w:w="4153" w:type="dxa"/>
            <w:vAlign w:val="center"/>
          </w:tcPr>
          <w:p w14:paraId="043933AA">
            <w:pPr/>
            <w:r>
              <w:rPr>
                <w:rFonts w:hint="eastAsia"/>
              </w:rPr>
              <w:t>润滑剂1、抑制剂1、大分子包被剂、封堵剂1</w:t>
            </w:r>
          </w:p>
        </w:tc>
      </w:tr>
      <w:tr>
        <w:trPr/>
        <w:tc>
          <w:tcPr>
            <w:tcW w:w="4153" w:type="dxa"/>
            <w:vAlign w:val="center"/>
          </w:tcPr>
          <w:p w14:paraId="57BADC3C">
            <w:pPr/>
            <w:r>
              <w:rPr>
                <w:rFonts w:hint="eastAsia"/>
              </w:rPr>
              <w:t>精度口径</w:t>
            </w:r>
          </w:p>
        </w:tc>
        <w:tc>
          <w:tcPr>
            <w:tcW w:w="4153" w:type="dxa"/>
            <w:vAlign w:val="center"/>
          </w:tcPr>
          <w:p w14:paraId="4C76C8B4">
            <w:pPr/>
            <w:r>
              <w:rPr>
                <w:rFonts w:hint="eastAsia"/>
              </w:rPr>
              <w:t>≤500 mg 按 ±10 mg；&gt;500 mg 按 ±1-2% 目标量（取宽）</w:t>
            </w:r>
          </w:p>
        </w:tc>
      </w:tr>
      <w:tr>
        <w:trPr/>
        <w:tc>
          <w:tcPr>
            <w:tcW w:w="4153" w:type="dxa"/>
            <w:vAlign w:val="center"/>
          </w:tcPr>
          <w:p w14:paraId="02B65C86">
            <w:pPr/>
            <w:r>
              <w:rPr>
                <w:rFonts w:hint="eastAsia"/>
              </w:rPr>
              <w:t>通过率</w:t>
            </w:r>
          </w:p>
        </w:tc>
        <w:tc>
          <w:tcPr>
            <w:tcW w:w="4153" w:type="dxa"/>
            <w:vAlign w:val="center"/>
          </w:tcPr>
          <w:p w14:paraId="1C12F579">
            <w:pPr/>
            <w:r>
              <w:rPr>
                <w:rFonts w:hint="eastAsia"/>
              </w:rPr>
              <w:t>每粉每设备 ≥20 次，目标档通过率 ≥90%，±30 mg 档 100%</w:t>
            </w:r>
          </w:p>
        </w:tc>
      </w:tr>
      <w:tr>
        <w:trPr/>
        <w:tc>
          <w:tcPr>
            <w:tcW w:w="4153" w:type="dxa"/>
            <w:vAlign w:val="center"/>
          </w:tcPr>
          <w:p w14:paraId="70924DCC">
            <w:pPr/>
            <w:r>
              <w:rPr>
                <w:rFonts w:hint="eastAsia"/>
              </w:rPr>
              <w:t>完成时间</w:t>
            </w:r>
          </w:p>
        </w:tc>
        <w:tc>
          <w:tcPr>
            <w:tcW w:w="4153" w:type="dxa"/>
            <w:vAlign w:val="center"/>
          </w:tcPr>
          <w:p w14:paraId="5CA55BB0">
            <w:pPr/>
            <w:r>
              <w:rPr>
                <w:rFonts w:hint="eastAsia"/>
              </w:rPr>
              <w:t>40–100 s 内（单次加粉耗时，耗时不是本期重点）</w:t>
            </w:r>
          </w:p>
        </w:tc>
      </w:tr>
    </w:tbl>
    <w:p w14:paraId="1B24D685">
      <w:pPr>
        <w:pStyle w:val="000003"/>
        <w:keepNext w:val="1"/>
        <w:keepLines w:val="1"/>
        <w:spacing w:before="100" w:beforeAutospacing="1" w:after="100" w:afterAutospacing="1"/>
        <w:ind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二、粉体特性分析与应对方法</w:t>
      </w:r>
    </w:p>
    <w:p w14:paraId="6315B74F">
      <w:pPr>
        <w:pStyle w:val="00000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P0 主攻粉体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A7260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粉体</w:t>
            </w:r>
          </w:p>
        </w:tc>
        <w:tc>
          <w:tcPr>
            <w:tcW w:w="2768" w:type="dxa"/>
            <w:vAlign w:val="center"/>
          </w:tcPr>
          <w:p w14:paraId="6A7C68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特性与实测问题</w:t>
            </w:r>
          </w:p>
        </w:tc>
        <w:tc>
          <w:tcPr>
            <w:tcW w:w="2768" w:type="dxa"/>
            <w:vAlign w:val="center"/>
          </w:tcPr>
          <w:p w14:paraId="212BFD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应对方法</w:t>
            </w:r>
          </w:p>
        </w:tc>
      </w:tr>
      <w:tr>
        <w:trPr/>
        <w:tc>
          <w:tcPr>
            <w:tcW w:w="2768" w:type="dxa"/>
            <w:vAlign w:val="center"/>
          </w:tcPr>
          <w:p w14:paraId="46E5426F">
            <w:pPr/>
            <w:r>
              <w:rPr>
                <w:rFonts w:hint="eastAsia"/>
              </w:rPr>
              <w:t>膨润土（5–15 g）</w:t>
            </w:r>
          </w:p>
        </w:tc>
        <w:tc>
          <w:tcPr>
            <w:tcW w:w="2768" w:type="dxa"/>
            <w:vAlign w:val="center"/>
          </w:tcPr>
          <w:p w14:paraId="36ACCD5A">
            <w:pPr/>
            <w:r>
              <w:rPr>
                <w:rFonts w:hint="eastAsia"/>
                <w:b w:val="1"/>
              </w:rPr>
              <w:t>算法侧不是瓶颈</w:t>
            </w:r>
            <w:r>
              <w:rPr>
                <w:rFonts w:hint="eastAsia"/>
              </w:rPr>
              <w:t>：残差中位 −3.19 mg、10 mg 内通过率 69.2%，是表现最好的组之一；加粉速率较好，粉末易空置</w:t>
            </w:r>
          </w:p>
        </w:tc>
        <w:tc>
          <w:tcPr>
            <w:tcW w:w="2768" w:type="dxa"/>
            <w:vAlign w:val="center"/>
          </w:tcPr>
          <w:p w14:paraId="4BDCA6F9">
            <w:pPr/>
            <w:r>
              <w:rPr>
                <w:rFonts w:hint="eastAsia"/>
              </w:rPr>
              <w:t>现有方案直接先稳定 10 mg，作为全链路打样；料位与结构问题随新硬件更新一起验证</w:t>
            </w:r>
          </w:p>
        </w:tc>
      </w:tr>
      <w:tr>
        <w:trPr/>
        <w:tc>
          <w:tcPr>
            <w:tcW w:w="2768" w:type="dxa"/>
            <w:vAlign w:val="center"/>
          </w:tcPr>
          <w:p w14:paraId="5DAE1551">
            <w:pPr/>
            <w:r>
              <w:rPr>
                <w:rFonts w:hint="eastAsia"/>
              </w:rPr>
              <w:t>失水剂1 / 失水剂2（降滤失剂，1–8 g）</w:t>
            </w:r>
          </w:p>
        </w:tc>
        <w:tc>
          <w:tcPr>
            <w:tcW w:w="2768" w:type="dxa"/>
            <w:vAlign w:val="center"/>
          </w:tcPr>
          <w:p w14:paraId="0325AFB6">
            <w:pPr/>
            <w:r>
              <w:rPr>
                <w:rFonts w:hint="eastAsia"/>
                <w:b w:val="1"/>
              </w:rPr>
              <w:t>末段速率压不下去</w:t>
            </w:r>
            <w:r>
              <w:rPr>
                <w:rFonts w:hint="eastAsia"/>
              </w:rPr>
              <w:t>：慢加段占空比触底 10% 下限的次数占比失水剂2 达 61.1%、失水剂1 达 44.4%（全表最高），「压不下来」分别占 26.7% / 10.6%</w:t>
            </w:r>
          </w:p>
        </w:tc>
        <w:tc>
          <w:tcPr>
            <w:tcW w:w="2768" w:type="dxa"/>
            <w:vAlign w:val="center"/>
          </w:tcPr>
          <w:p w14:paraId="70645392">
            <w:pPr/>
            <w:r>
              <w:rPr>
                <w:rFonts w:hint="eastAsia"/>
              </w:rPr>
              <w:t>① 时间域 PWM 制造更低等效流量；② 阶段切换连续化 + 档间停驻留平滑过渡。两者正是本期方法主线，问题明确、方法对口</w:t>
            </w:r>
          </w:p>
        </w:tc>
      </w:tr>
      <w:tr>
        <w:trPr/>
        <w:tc>
          <w:tcPr>
            <w:tcW w:w="2768" w:type="dxa"/>
            <w:vAlign w:val="center"/>
          </w:tcPr>
          <w:p w14:paraId="35BEF47B">
            <w:pPr/>
            <w:r>
              <w:rPr>
                <w:rFonts w:hint="eastAsia"/>
              </w:rPr>
              <w:t>封堵剂2（5–30 g）</w:t>
            </w:r>
          </w:p>
        </w:tc>
        <w:tc>
          <w:tcPr>
            <w:tcW w:w="2768" w:type="dxa"/>
            <w:vAlign w:val="center"/>
          </w:tcPr>
          <w:p w14:paraId="205DDA3D">
            <w:pPr/>
            <w:r>
              <w:rPr>
                <w:rFonts w:hint="eastAsia"/>
              </w:rPr>
              <w:t>效果尚可，无明显短板</w:t>
            </w:r>
          </w:p>
        </w:tc>
        <w:tc>
          <w:tcPr>
            <w:tcW w:w="2768" w:type="dxa"/>
            <w:vAlign w:val="center"/>
          </w:tcPr>
          <w:p w14:paraId="727B38EE">
            <w:pPr/>
            <w:r>
              <w:rPr>
                <w:rFonts w:hint="eastAsia"/>
              </w:rPr>
              <w:t>正常软件优化迭代（阶段控制优化），随共性改动一起提升</w:t>
            </w:r>
          </w:p>
        </w:tc>
      </w:tr>
    </w:tbl>
    <w:p w14:paraId="6727247A">
      <w:pPr>
        <w:pStyle w:val="00000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P1 尽量完成粉体（20 mg ，冲 10 mg）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C00F9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粉体</w:t>
            </w:r>
          </w:p>
        </w:tc>
        <w:tc>
          <w:tcPr>
            <w:tcW w:w="2768" w:type="dxa"/>
            <w:vAlign w:val="center"/>
          </w:tcPr>
          <w:p w14:paraId="6C6E01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特性与实测问题</w:t>
            </w:r>
          </w:p>
        </w:tc>
        <w:tc>
          <w:tcPr>
            <w:tcW w:w="2768" w:type="dxa"/>
            <w:vAlign w:val="center"/>
          </w:tcPr>
          <w:p w14:paraId="21D96A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应对方法</w:t>
            </w:r>
          </w:p>
        </w:tc>
      </w:tr>
      <w:tr>
        <w:trPr/>
        <w:tc>
          <w:tcPr>
            <w:tcW w:w="2768" w:type="dxa"/>
            <w:vAlign w:val="center"/>
          </w:tcPr>
          <w:p w14:paraId="6A92036A">
            <w:pPr/>
            <w:r>
              <w:rPr>
                <w:rFonts w:hint="eastAsia"/>
              </w:rPr>
              <w:t>封堵剂1（5–30 g）</w:t>
            </w:r>
          </w:p>
        </w:tc>
        <w:tc>
          <w:tcPr>
            <w:tcW w:w="2768" w:type="dxa"/>
            <w:vAlign w:val="center"/>
          </w:tcPr>
          <w:p w14:paraId="63C8EFD7">
            <w:pPr/>
            <w:r>
              <w:rPr>
                <w:rFonts w:hint="eastAsia"/>
              </w:rPr>
              <w:t>重量轻、</w:t>
            </w:r>
            <w:r>
              <w:rPr>
                <w:rFonts w:hint="eastAsia"/>
                <w:b w:val="1"/>
              </w:rPr>
              <w:t>延迟大</w:t>
            </w:r>
            <w:r>
              <w:rPr>
                <w:rFonts w:hint="eastAsia"/>
              </w:rPr>
              <w:t>，属尾量模型误差而非硬件问题</w:t>
            </w:r>
          </w:p>
        </w:tc>
        <w:tc>
          <w:tcPr>
            <w:tcW w:w="2768" w:type="dxa"/>
            <w:vAlign w:val="center"/>
          </w:tcPr>
          <w:p w14:paraId="33ACC512">
            <w:pPr/>
            <w:r>
              <w:rPr>
                <w:rFonts w:hint="eastAsia"/>
              </w:rPr>
              <w:t>一阶惯性尾量 + 延迟补偿（改动小、收益大）</w:t>
            </w:r>
          </w:p>
        </w:tc>
      </w:tr>
      <w:tr>
        <w:trPr/>
        <w:tc>
          <w:tcPr>
            <w:tcW w:w="2768" w:type="dxa"/>
            <w:vAlign w:val="center"/>
          </w:tcPr>
          <w:p w14:paraId="401E1246">
            <w:pPr/>
            <w:r>
              <w:rPr>
                <w:rFonts w:hint="eastAsia"/>
              </w:rPr>
              <w:t>润滑剂1（增黏剂/流型调节剂，0.2–2 g）</w:t>
            </w:r>
          </w:p>
        </w:tc>
        <w:tc>
          <w:tcPr>
            <w:tcW w:w="2768" w:type="dxa"/>
            <w:vAlign w:val="center"/>
          </w:tcPr>
          <w:p w14:paraId="27498DC0">
            <w:pPr/>
            <w:r>
              <w:rPr>
                <w:rFonts w:hint="eastAsia"/>
                <w:b w:val="1"/>
              </w:rPr>
              <w:t>最难控制</w:t>
            </w:r>
            <w:r>
              <w:rPr>
                <w:rFonts w:hint="eastAsia"/>
              </w:rPr>
              <w:t>：10 mg 内通过率仅 41.2%；</w:t>
            </w:r>
          </w:p>
        </w:tc>
        <w:tc>
          <w:tcPr>
            <w:tcW w:w="2768" w:type="dxa"/>
            <w:vAlign w:val="center"/>
          </w:tcPr>
          <w:p w14:paraId="43257385">
            <w:pPr/>
            <w:r>
              <w:rPr>
                <w:rFonts w:hint="eastAsia"/>
              </w:rPr>
              <w:t>重新标定初始参数 + 多次尝试；本期按尽量完成处理</w:t>
            </w:r>
          </w:p>
        </w:tc>
      </w:tr>
      <w:tr>
        <w:trPr/>
        <w:tc>
          <w:tcPr>
            <w:tcW w:w="2768" w:type="dxa"/>
            <w:vAlign w:val="center"/>
          </w:tcPr>
          <w:p w14:paraId="20B6EC9C">
            <w:pPr/>
            <w:r>
              <w:rPr>
                <w:rFonts w:hint="eastAsia"/>
              </w:rPr>
              <w:t>抑制剂1（0.5–5 g）</w:t>
            </w:r>
          </w:p>
        </w:tc>
        <w:tc>
          <w:tcPr>
            <w:tcW w:w="2768" w:type="dxa"/>
            <w:vAlign w:val="center"/>
          </w:tcPr>
          <w:p w14:paraId="4D246FE3">
            <w:pPr/>
            <w:r>
              <w:rPr>
                <w:rFonts w:hint="eastAsia"/>
              </w:rPr>
              <w:t>颗粒中等但重量大、粉末松散：预测残差中位 −21.7 mg、P90 142 mg（全表最差）</w:t>
            </w:r>
          </w:p>
        </w:tc>
        <w:tc>
          <w:tcPr>
            <w:tcW w:w="2768" w:type="dxa"/>
            <w:vAlign w:val="center"/>
          </w:tcPr>
          <w:p w14:paraId="0E9EB234">
            <w:pPr/>
            <w:r>
              <w:rPr>
                <w:rFonts w:hint="eastAsia"/>
              </w:rPr>
              <w:t>现有方案难以做精细化，本期 20 mg 档；</w:t>
            </w:r>
          </w:p>
        </w:tc>
      </w:tr>
      <w:tr>
        <w:trPr/>
        <w:tc>
          <w:tcPr>
            <w:tcW w:w="2768" w:type="dxa"/>
            <w:vAlign w:val="center"/>
          </w:tcPr>
          <w:p w14:paraId="2EEE6351">
            <w:pPr/>
            <w:r>
              <w:rPr>
                <w:rFonts w:hint="eastAsia"/>
              </w:rPr>
              <w:t>大分子包被剂（0.5–5 g）</w:t>
            </w:r>
          </w:p>
        </w:tc>
        <w:tc>
          <w:tcPr>
            <w:tcW w:w="2768" w:type="dxa"/>
            <w:vAlign w:val="center"/>
          </w:tcPr>
          <w:p w14:paraId="427B0011">
            <w:pPr/>
            <w:r>
              <w:rPr>
                <w:rFonts w:hint="eastAsia"/>
              </w:rPr>
              <w:t>颗粒大、易卡粉：同一（占空比，窗口）组合下慢加稳定段实测 0.0 mg/s（</w:t>
            </w:r>
            <w:r>
              <w:rPr>
                <w:rFonts w:hint="eastAsia"/>
                <w:b w:val="1"/>
              </w:rPr>
              <w:t>断流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  <w:vAlign w:val="center"/>
          </w:tcPr>
          <w:p w14:paraId="47EE2FFD">
            <w:pPr/>
            <w:r>
              <w:rPr>
                <w:rFonts w:hint="eastAsia"/>
              </w:rPr>
              <w:t>同上，20</w:t>
            </w:r>
            <w:r>
              <w:rPr>
                <w:rFonts w:hint="eastAsia"/>
              </w:rPr>
              <w:t>mg</w:t>
            </w:r>
            <w:r>
              <w:rPr>
                <w:rFonts w:hint="eastAsia"/>
              </w:rPr>
              <w:t>档；断流属硬件/粉末问题，软件硬冲不现实</w:t>
            </w:r>
          </w:p>
        </w:tc>
      </w:tr>
    </w:tbl>
    <w:p w14:paraId="7097495B">
      <w:pPr>
        <w:pStyle w:val="00000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</w:t>
      </w:r>
      <w:r>
        <w:rPr>
          <w:rFonts w:hint="eastAsia"/>
          <w:b w:val="1"/>
          <w:sz w:val="32"/>
        </w:rPr>
        <w:t>3</w:t>
      </w:r>
      <w:r>
        <w:rPr>
          <w:rFonts w:hint="eastAsia"/>
          <w:b w:val="1"/>
          <w:sz w:val="32"/>
        </w:rPr>
        <w:t xml:space="preserve"> 项目制推进顺序</w:t>
      </w:r>
    </w:p>
    <w:p w14:paraId="7E018029">
      <w:pPr>
        <w:numPr>
          <w:ilvl w:val="0"/>
          <w:numId w:val="1"/>
        </w:numPr>
      </w:pPr>
      <w:r>
        <w:rPr>
          <w:rFonts w:hint="eastAsia"/>
          <w:b w:val="1"/>
        </w:rPr>
        <w:t>膨润土先稳定 10 mg</w:t>
      </w:r>
      <w:r>
        <w:rPr>
          <w:rFonts w:hint="eastAsia"/>
        </w:rPr>
        <w:t>（有基础、问题最少），跑通全链路。</w:t>
      </w:r>
    </w:p>
    <w:p w14:paraId="50C9A8AA">
      <w:pPr>
        <w:numPr>
          <w:ilvl w:val="0"/>
          <w:numId w:val="1"/>
        </w:numPr>
        <w:ind/>
      </w:pPr>
      <w:r>
        <w:rPr>
          <w:rFonts w:hint="eastAsia"/>
          <w:b w:val="1"/>
        </w:rPr>
        <w:t>失水剂1/2、封堵剂2</w:t>
      </w:r>
      <w:r>
        <w:rPr>
          <w:rFonts w:hint="eastAsia"/>
        </w:rPr>
        <w:t xml:space="preserve"> 复用共性改动（PWM、连续切换、停驻留）</w:t>
      </w:r>
    </w:p>
    <w:p w14:paraId="26D6EE40">
      <w:pPr>
        <w:numPr>
          <w:ilvl w:val="0"/>
          <w:numId w:val="1"/>
        </w:numPr>
      </w:pPr>
      <w:r>
        <w:rPr>
          <w:rFonts w:hint="eastAsia"/>
          <w:b w:val="1"/>
        </w:rPr>
        <w:t>封堵剂1</w:t>
      </w:r>
      <w:r>
        <w:rPr>
          <w:rFonts w:hint="eastAsia"/>
        </w:rPr>
        <w:t xml:space="preserve"> 用尾量补偿冲刺 10 mg（改动小收益大）。</w:t>
      </w:r>
    </w:p>
    <w:p w14:paraId="1DF643EE">
      <w:pPr>
        <w:numPr>
          <w:ilvl w:val="0"/>
          <w:numId w:val="1"/>
        </w:numPr>
      </w:pPr>
      <w:r>
        <w:rPr>
          <w:rFonts w:hint="eastAsia"/>
          <w:b w:val="1"/>
        </w:rPr>
        <w:t>润滑剂1、抑制剂1、大分子包被剂</w:t>
      </w:r>
      <w:r>
        <w:rPr>
          <w:rFonts w:hint="eastAsia"/>
        </w:rPr>
        <w:t xml:space="preserve"> 按 20mg 档尽量完成，区分共性问题与粉体特有问题，记录效果及剩余差距。</w:t>
      </w:r>
    </w:p>
    <w:p w14:paraId="4F240D63">
      <w:pPr>
        <w:numPr>
          <w:ilvl w:val="0"/>
          <w:numId w:val="1"/>
        </w:numPr>
      </w:pPr>
      <w:r>
        <w:rPr>
          <w:rFonts w:hint="eastAsia"/>
        </w:rPr>
        <w:t>预计无法按期的粉体提前决策：更换候选 / 调整用量或精度 / 机械改造 / 分期完成。</w:t>
      </w:r>
    </w:p>
    <w:p w14:paraId="6632C4E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三、方法</w:t>
      </w:r>
    </w:p>
    <w:p w14:paraId="57356323">
      <w:pPr>
        <w:numPr>
          <w:ilvl w:val="0"/>
          <w:numId w:val="2"/>
        </w:numPr>
      </w:pPr>
      <w:r>
        <w:rPr>
          <w:rFonts w:hint="eastAsia"/>
          <w:b w:val="1"/>
        </w:rPr>
        <w:t>P0 开环实验先行</w:t>
      </w:r>
      <w:r>
        <w:rPr>
          <w:rFonts w:hint="eastAsia"/>
        </w:rPr>
        <w:t>：① 阶跃测速（速率-占空比/振幅对应表）；② 驻留恢复时间（0/1/2/3/5 s）；③ PWM 可行性（N=1/2/3/4/6/8s）。</w:t>
      </w:r>
    </w:p>
    <w:p w14:paraId="67F1D72A">
      <w:pPr>
        <w:numPr>
          <w:ilvl w:val="0"/>
          <w:numId w:val="2"/>
        </w:numPr>
      </w:pPr>
      <w:r>
        <w:rPr>
          <w:rFonts w:hint="eastAsia"/>
          <w:b w:val="1"/>
        </w:rPr>
        <w:t>P0 阶段切换连续化 + 停驻留</w:t>
      </w:r>
      <w:r>
        <w:rPr>
          <w:rFonts w:hint="eastAsia"/>
        </w:rPr>
        <w:t>：粗加拆两档（25→18→12 mg/s），档间 2–3 s 停驻留（时长由实验②定）；切换前积分清零+迟滞，目标速率斜坡过渡。</w:t>
      </w:r>
    </w:p>
    <w:p w14:paraId="4600A3F3">
      <w:pPr>
        <w:numPr>
          <w:ilvl w:val="0"/>
          <w:numId w:val="2"/>
        </w:numPr>
      </w:pPr>
      <w:r>
        <w:rPr>
          <w:rFonts w:hint="eastAsia"/>
          <w:b w:val="1"/>
        </w:rPr>
        <w:t>P1 时间域 PWM</w:t>
      </w:r>
      <w:r>
        <w:rPr>
          <w:rFonts w:hint="eastAsia"/>
        </w:rPr>
        <w:t>：占空比到底后按 N∶1 间歇给料，等效流量 1/N，以达到最后即便高速率依旧低流量。</w:t>
      </w:r>
    </w:p>
    <w:p w14:paraId="40D8825E">
      <w:pPr>
        <w:numPr>
          <w:ilvl w:val="0"/>
          <w:numId w:val="2"/>
        </w:numPr>
      </w:pPr>
      <w:r>
        <w:rPr>
          <w:rFonts w:hint="eastAsia"/>
          <w:b w:val="1"/>
        </w:rPr>
        <w:t>P1 质量域规划 + 一阶惯性尾量</w:t>
      </w:r>
      <w:r>
        <w:rPr>
          <w:rFonts w:hint="eastAsia"/>
        </w:rPr>
        <w:t>：m_ref = m_switch + (target − m_switch) × (1 − exp(−Δt/T))；尾量用最近 1–2 s 质量增量线性外推；封堵剂1 适配。</w:t>
      </w:r>
    </w:p>
    <w:p w14:paraId="67598A24">
      <w:pPr>
        <w:numPr>
          <w:ilvl w:val="0"/>
          <w:numId w:val="2"/>
        </w:numPr>
      </w:pPr>
      <w:r>
        <w:rPr>
          <w:rFonts w:hint="eastAsia"/>
          <w:b w:val="1"/>
        </w:rPr>
        <w:t>P1 振幅通道</w:t>
      </w:r>
      <w:r>
        <w:rPr>
          <w:rFonts w:hint="eastAsia"/>
        </w:rPr>
        <w:t>：新执行机构给料速率由电机转速/信号幅度直接调节，调节余量问题从硬件上解决；先开环标定再入闭环。</w:t>
      </w:r>
    </w:p>
    <w:p w14:paraId="69EEC757">
      <w:pPr>
        <w:numPr>
          <w:ilvl w:val="0"/>
          <w:numId w:val="2"/>
        </w:numPr>
      </w:pPr>
      <w:r>
        <w:rPr>
          <w:rFonts w:hint="eastAsia"/>
        </w:rPr>
        <w:t>暂缓：卡尔曼尾量、DOB、残差归因、环境数据、通用粉接入。</w:t>
      </w:r>
    </w:p>
    <w:p w14:paraId="79150F2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四、驱动重建方案</w:t>
      </w:r>
    </w:p>
    <w:p w14:paraId="7ADA2681">
      <w:pPr/>
      <w:r>
        <w:rPr>
          <w:rFonts w:hint="eastAsia"/>
          <w:b w:val="1"/>
        </w:rPr>
        <w:t>一句话结论</w:t>
      </w:r>
      <w:r>
        <w:rPr>
          <w:rFonts w:hint="eastAsia"/>
        </w:rPr>
        <w:t>：新硬件是三台独立设备（不是旧 ESP32 网关的寄存器扩展），原</w:t>
      </w:r>
      <w:r>
        <w:rPr>
          <w:rFonts w:hint="eastAsia"/>
        </w:rPr>
        <w:t>驱动基本</w:t>
      </w:r>
      <w:r>
        <w:rPr>
          <w:rFonts w:hint="eastAsia"/>
        </w:rPr>
        <w:t>作废；在 device_adapters/ 下新建 3 个设备驱动 + 1 个组合适配层，上层算法接口不动。</w:t>
      </w:r>
    </w:p>
    <w:p w14:paraId="0DFD0014">
      <w:pPr>
        <w:pStyle w:val="00000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新建 4 个文件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AE577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新文件</w:t>
            </w:r>
          </w:p>
        </w:tc>
        <w:tc>
          <w:tcPr>
            <w:tcW w:w="2768" w:type="dxa"/>
            <w:vAlign w:val="center"/>
          </w:tcPr>
          <w:p w14:paraId="33C9FF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管什么</w:t>
            </w:r>
          </w:p>
        </w:tc>
        <w:tc>
          <w:tcPr>
            <w:tcW w:w="2768" w:type="dxa"/>
            <w:vAlign w:val="center"/>
          </w:tcPr>
          <w:p w14:paraId="2AED1F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要点</w:t>
            </w:r>
          </w:p>
        </w:tc>
      </w:tr>
      <w:tr>
        <w:trPr/>
        <w:tc>
          <w:tcPr>
            <w:tcW w:w="2768" w:type="dxa"/>
            <w:vAlign w:val="center"/>
          </w:tcPr>
          <w:p w14:paraId="2C17057A">
            <w:pPr/>
            <w:r>
              <w:t>md30_modbus_rtu.py</w:t>
            </w:r>
          </w:p>
        </w:tc>
        <w:tc>
          <w:tcPr>
            <w:tcW w:w="2768" w:type="dxa"/>
            <w:vAlign w:val="center"/>
          </w:tcPr>
          <w:p w14:paraId="6ACE2163">
            <w:pPr/>
            <w:r>
              <w:rPr>
                <w:rFonts w:hint="eastAsia"/>
              </w:rPr>
              <w:t>窗口位置（MD30 电缸）</w:t>
            </w:r>
          </w:p>
        </w:tc>
        <w:tc>
          <w:tcPr>
            <w:tcW w:w="2768" w:type="dxa"/>
            <w:vAlign w:val="center"/>
          </w:tcPr>
          <w:p w14:paraId="619716FF">
            <w:pPr/>
            <w:r>
              <w:rPr>
                <w:rFonts w:hint="eastAsia"/>
              </w:rPr>
              <w:t>标准 Modbus RTU 115200，复用现有 LA10 驱动的 CRC/串口框架；核心就 move_to / read_status 两个方法</w:t>
            </w:r>
          </w:p>
        </w:tc>
      </w:tr>
      <w:tr>
        <w:trPr/>
        <w:tc>
          <w:tcPr>
            <w:tcW w:w="2768" w:type="dxa"/>
            <w:vAlign w:val="center"/>
          </w:tcPr>
          <w:p w14:paraId="2ADA3F97">
            <w:pPr/>
            <w:r>
              <w:t>zdt_emm42.py</w:t>
            </w:r>
          </w:p>
        </w:tc>
        <w:tc>
          <w:tcPr>
            <w:tcW w:w="2768" w:type="dxa"/>
            <w:vAlign w:val="center"/>
          </w:tcPr>
          <w:p w14:paraId="3148E1B9">
            <w:pPr/>
            <w:r>
              <w:rPr>
                <w:rFonts w:hint="eastAsia"/>
              </w:rPr>
              <w:t>给料速率主通道（ZDT Emm42 V5.0 闭环步进）</w:t>
            </w:r>
          </w:p>
        </w:tc>
        <w:tc>
          <w:tcPr>
            <w:tcW w:w="2768" w:type="dxa"/>
            <w:vAlign w:val="center"/>
          </w:tcPr>
          <w:p w14:paraId="1811833D">
            <w:pPr/>
            <w:r>
              <w:rPr>
                <w:rFonts w:hint="eastAsia"/>
              </w:rPr>
              <w:t>Modbus-RTU 模式，核心就 set_speed / stop / read_status</w:t>
            </w:r>
          </w:p>
        </w:tc>
      </w:tr>
      <w:tr>
        <w:trPr/>
        <w:tc>
          <w:tcPr>
            <w:tcW w:w="2768" w:type="dxa"/>
            <w:vAlign w:val="center"/>
          </w:tcPr>
          <w:p w14:paraId="7513F536">
            <w:pPr/>
            <w:r>
              <w:t>qls5800_signal_gen.py</w:t>
            </w:r>
          </w:p>
        </w:tc>
        <w:tc>
          <w:tcPr>
            <w:tcW w:w="2768" w:type="dxa"/>
            <w:vAlign w:val="center"/>
          </w:tcPr>
          <w:p w14:paraId="6BB5EF7A">
            <w:pPr/>
            <w:r>
              <w:rPr>
                <w:rFonts w:hint="eastAsia"/>
              </w:rPr>
              <w:t>振动信号（QLS5800 信号发生器）</w:t>
            </w:r>
          </w:p>
        </w:tc>
        <w:tc>
          <w:tcPr>
            <w:tcW w:w="2768" w:type="dxa"/>
            <w:vAlign w:val="center"/>
          </w:tcPr>
          <w:p w14:paraId="29129A8B">
            <w:pPr/>
            <w:r>
              <w:rPr>
                <w:rFonts w:hint="eastAsia"/>
              </w:rPr>
              <w:t>9600 波特率，仿 Modbus 但无 CRC，写指令做读回校验；核心就设波形/频率/幅度/输出开关</w:t>
            </w:r>
          </w:p>
        </w:tc>
      </w:tr>
      <w:tr>
        <w:trPr/>
        <w:tc>
          <w:tcPr>
            <w:tcW w:w="2768" w:type="dxa"/>
            <w:vAlign w:val="center"/>
          </w:tcPr>
          <w:p w14:paraId="2F729BE5">
            <w:pPr/>
            <w:r>
              <w:t>feeder_actuator.py</w:t>
            </w:r>
          </w:p>
        </w:tc>
        <w:tc>
          <w:tcPr>
            <w:tcW w:w="2768" w:type="dxa"/>
            <w:vAlign w:val="center"/>
          </w:tcPr>
          <w:p w14:paraId="7BF17B65">
            <w:pPr/>
            <w:r>
              <w:rPr>
                <w:rFonts w:hint="eastAsia"/>
              </w:rPr>
              <w:t>组合适配层</w:t>
            </w:r>
          </w:p>
        </w:tc>
        <w:tc>
          <w:tcPr>
            <w:tcW w:w="2768" w:type="dxa"/>
            <w:vAlign w:val="center"/>
          </w:tcPr>
          <w:p w14:paraId="166D68F9">
            <w:pPr/>
            <w:r>
              <w:rPr>
                <w:rFonts w:hint="eastAsia"/>
              </w:rPr>
              <w:t>对上保留旧 LA10ModbusRTU 的接口名和调用方式，内部路由到上面三个设备</w:t>
            </w:r>
          </w:p>
        </w:tc>
      </w:tr>
    </w:tbl>
    <w:p w14:paraId="2F3C4797">
      <w:pPr>
        <w:pStyle w:val="00000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旧参数 → 新设备的对应关系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586B96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旧控制量</w:t>
            </w:r>
          </w:p>
        </w:tc>
        <w:tc>
          <w:tcPr>
            <w:tcW w:w="4153" w:type="dxa"/>
            <w:vAlign w:val="center"/>
          </w:tcPr>
          <w:p w14:paraId="73485C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新去处</w:t>
            </w:r>
          </w:p>
        </w:tc>
      </w:tr>
      <w:tr>
        <w:trPr/>
        <w:tc>
          <w:tcPr>
            <w:tcW w:w="4153" w:type="dxa"/>
            <w:vAlign w:val="center"/>
          </w:tcPr>
          <w:p w14:paraId="664A3D3C">
            <w:pPr/>
            <w:r>
              <w:rPr>
                <w:rFonts w:hint="eastAsia"/>
              </w:rPr>
              <w:t>占空比（快环输出）</w:t>
            </w:r>
          </w:p>
        </w:tc>
        <w:tc>
          <w:tcPr>
            <w:tcW w:w="4153" w:type="dxa"/>
            <w:vAlign w:val="center"/>
          </w:tcPr>
          <w:p w14:paraId="21AEB3AC">
            <w:pPr/>
            <w:r>
              <w:rPr>
                <w:rFonts w:hint="eastAsia"/>
              </w:rPr>
              <w:t>ZDT 转速 或 QLS5800 幅度（先实验标定选主通道）</w:t>
            </w:r>
          </w:p>
        </w:tc>
      </w:tr>
      <w:tr>
        <w:trPr/>
        <w:tc>
          <w:tcPr>
            <w:tcW w:w="4153" w:type="dxa"/>
            <w:vAlign w:val="center"/>
          </w:tcPr>
          <w:p w14:paraId="3848CBE4">
            <w:pPr/>
            <w:r>
              <w:rPr>
                <w:rFonts w:hint="eastAsia"/>
              </w:rPr>
              <w:t>频率</w:t>
            </w:r>
          </w:p>
        </w:tc>
        <w:tc>
          <w:tcPr>
            <w:tcW w:w="4153" w:type="dxa"/>
            <w:vAlign w:val="center"/>
          </w:tcPr>
          <w:p w14:paraId="2FCA030A">
            <w:pPr/>
            <w:r>
              <w:rPr>
                <w:rFonts w:hint="eastAsia"/>
              </w:rPr>
              <w:t>QLS5800 频率</w:t>
            </w:r>
          </w:p>
        </w:tc>
      </w:tr>
      <w:tr>
        <w:trPr/>
        <w:tc>
          <w:tcPr>
            <w:tcW w:w="4153" w:type="dxa"/>
            <w:vAlign w:val="center"/>
          </w:tcPr>
          <w:p w14:paraId="46DCCA82">
            <w:pPr/>
            <w:r>
              <w:rPr>
                <w:rFonts w:hint="eastAsia"/>
              </w:rPr>
              <w:t>振幅</w:t>
            </w:r>
          </w:p>
        </w:tc>
        <w:tc>
          <w:tcPr>
            <w:tcW w:w="4153" w:type="dxa"/>
            <w:vAlign w:val="center"/>
          </w:tcPr>
          <w:p w14:paraId="3558DE64">
            <w:pPr/>
            <w:r>
              <w:rPr>
                <w:rFonts w:hint="eastAsia"/>
              </w:rPr>
              <w:t>QLS5800 幅度（新硬件从硬件上直接可调）</w:t>
            </w:r>
          </w:p>
        </w:tc>
      </w:tr>
      <w:tr>
        <w:trPr/>
        <w:tc>
          <w:tcPr>
            <w:tcW w:w="4153" w:type="dxa"/>
            <w:vAlign w:val="center"/>
          </w:tcPr>
          <w:p w14:paraId="06F528CD">
            <w:pPr/>
            <w:r>
              <w:rPr>
                <w:rFonts w:hint="eastAsia"/>
              </w:rPr>
              <w:t>窗口位置（慢环）</w:t>
            </w:r>
          </w:p>
        </w:tc>
        <w:tc>
          <w:tcPr>
            <w:tcW w:w="4153" w:type="dxa"/>
            <w:vAlign w:val="center"/>
          </w:tcPr>
          <w:p w14:paraId="747F78A5">
            <w:pPr/>
            <w:r>
              <w:rPr>
                <w:rFonts w:hint="eastAsia"/>
              </w:rPr>
              <w:t>MD30 目标位置（0–30 mm，绝对定位）</w:t>
            </w:r>
          </w:p>
        </w:tc>
      </w:tr>
      <w:tr>
        <w:trPr/>
        <w:tc>
          <w:tcPr>
            <w:tcW w:w="4153" w:type="dxa"/>
            <w:vAlign w:val="center"/>
          </w:tcPr>
          <w:p w14:paraId="623EBCA9">
            <w:pPr/>
            <w:r>
              <w:rPr>
                <w:rFonts w:hint="eastAsia"/>
              </w:rPr>
              <w:t>暂停/急停</w:t>
            </w:r>
          </w:p>
        </w:tc>
        <w:tc>
          <w:tcPr>
            <w:tcW w:w="4153" w:type="dxa"/>
            <w:vAlign w:val="center"/>
          </w:tcPr>
          <w:p w14:paraId="3D7A7894">
            <w:pPr/>
            <w:r>
              <w:rPr>
                <w:rFonts w:hint="eastAsia"/>
              </w:rPr>
              <w:t>ZDT 立即停止 + QLS5800 输出关</w:t>
            </w:r>
          </w:p>
        </w:tc>
      </w:tr>
    </w:tbl>
    <w:p w14:paraId="43DA8629">
      <w:pPr/>
      <w:r>
        <w:rPr>
          <w:rFonts w:hint="eastAsia"/>
        </w:rPr>
        <w:t>字段名不变、只换解析（L0 档案、控制档 JSON 照旧），所以 ilc、反馈控制器、四段规划器、任务状态机全部不用改；旧 la10_modbus_rtu.py 原样保留给旧机，两台设备分别调参。</w:t>
      </w:r>
    </w:p>
    <w:p w14:paraId="75CDF14E">
      <w:pPr>
        <w:pStyle w:val="000001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三个注意点</w:t>
      </w:r>
    </w:p>
    <w:p w14:paraId="4511AB0B">
      <w:pPr>
        <w:numPr>
          <w:ilvl w:val="0"/>
          <w:numId w:val="3"/>
        </w:numPr>
      </w:pPr>
      <w:r>
        <w:rPr>
          <w:rFonts w:hint="eastAsia"/>
        </w:rPr>
        <w:t>MD30 手册地址表有印刷歧义（00002 双重定义），上电先用串口工具实测确认再冻结。</w:t>
      </w:r>
    </w:p>
    <w:p w14:paraId="20013DD3">
      <w:pPr>
        <w:numPr>
          <w:ilvl w:val="0"/>
          <w:numId w:val="3"/>
        </w:numPr>
      </w:pPr>
      <w:r>
        <w:rPr>
          <w:rFonts w:hint="eastAsia"/>
        </w:rPr>
        <w:t>ZDT 忘切 Modbus 菜单会全部无响应，驱动里做探测兜底。</w:t>
      </w:r>
    </w:p>
    <w:p w14:paraId="2B11F6BB">
      <w:pPr>
        <w:numPr>
          <w:ilvl w:val="0"/>
          <w:numId w:val="3"/>
        </w:numPr>
      </w:pPr>
      <w:r>
        <w:rPr>
          <w:rFonts w:hint="eastAsia"/>
        </w:rPr>
        <w:t>三设备波特率不同（115200×2 + 9600），不能共一条 485 总线，本期上位机多串口直连。</w:t>
      </w:r>
    </w:p>
    <w:p w14:paraId="3B249D0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五、预期时间规划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2C83D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4153" w:type="dxa"/>
            <w:vAlign w:val="center"/>
          </w:tcPr>
          <w:p w14:paraId="4B3A25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做什么</w:t>
            </w:r>
          </w:p>
        </w:tc>
      </w:tr>
      <w:tr>
        <w:trPr/>
        <w:tc>
          <w:tcPr>
            <w:tcW w:w="4153" w:type="dxa"/>
            <w:vAlign w:val="center"/>
          </w:tcPr>
          <w:p w14:paraId="28382B53">
            <w:pPr/>
            <w:r>
              <w:rPr>
                <w:rFonts w:hint="eastAsia"/>
              </w:rPr>
              <w:t>10-20 ～ 10-21</w:t>
            </w:r>
          </w:p>
        </w:tc>
        <w:tc>
          <w:tcPr>
            <w:tcW w:w="4153" w:type="dxa"/>
            <w:vAlign w:val="center"/>
          </w:tcPr>
          <w:p w14:paraId="0F7A9007">
            <w:pPr/>
            <w:r>
              <w:rPr>
                <w:rFonts w:hint="eastAsia"/>
              </w:rPr>
              <w:t>三设备单机联调 + 驱动重建（3 个驱动 + 组合适配层 + 单测）；确认 MD30 地址表与 ZDT 给料形式</w:t>
            </w:r>
          </w:p>
        </w:tc>
      </w:tr>
      <w:tr>
        <w:trPr/>
        <w:tc>
          <w:tcPr>
            <w:tcW w:w="4153" w:type="dxa"/>
            <w:vAlign w:val="center"/>
          </w:tcPr>
          <w:p w14:paraId="6BF3D820">
            <w:pPr/>
            <w:r>
              <w:rPr>
                <w:rFonts w:hint="eastAsia"/>
              </w:rPr>
              <w:t>10-22 ～ 10-23</w:t>
            </w:r>
          </w:p>
        </w:tc>
        <w:tc>
          <w:tcPr>
            <w:tcW w:w="4153" w:type="dxa"/>
            <w:vAlign w:val="center"/>
          </w:tcPr>
          <w:p w14:paraId="60482DDE">
            <w:pPr/>
            <w:r>
              <w:rPr>
                <w:rFonts w:hint="eastAsia"/>
              </w:rPr>
              <w:t>开环实验①②③；合入阶段切换连续化 + 停驻留；膨润土先稳定 10 mg</w:t>
            </w:r>
          </w:p>
        </w:tc>
      </w:tr>
      <w:tr>
        <w:trPr/>
        <w:tc>
          <w:tcPr>
            <w:tcW w:w="4153" w:type="dxa"/>
            <w:vAlign w:val="center"/>
          </w:tcPr>
          <w:p w14:paraId="43AEAA96">
            <w:pPr/>
            <w:r>
              <w:rPr>
                <w:rFonts w:hint="eastAsia"/>
              </w:rPr>
              <w:t>10-26 ～ 10-27</w:t>
            </w:r>
          </w:p>
        </w:tc>
        <w:tc>
          <w:tcPr>
            <w:tcW w:w="4153" w:type="dxa"/>
            <w:vAlign w:val="center"/>
          </w:tcPr>
          <w:p w14:paraId="51A496F4">
            <w:pPr/>
            <w:r>
              <w:rPr>
                <w:rFonts w:hint="eastAsia"/>
              </w:rPr>
              <w:t>扩展失水剂1/2、封堵剂2 冲 10 mg；封堵剂1 尾量补偿冲刺；其余粉体 20–50 mg 档；第二台设备迁移测试与调参</w:t>
            </w:r>
          </w:p>
        </w:tc>
      </w:tr>
      <w:tr>
        <w:trPr/>
        <w:tc>
          <w:tcPr>
            <w:tcW w:w="4153" w:type="dxa"/>
            <w:vAlign w:val="center"/>
          </w:tcPr>
          <w:p w14:paraId="355657EC">
            <w:pPr/>
            <w:r>
              <w:rPr>
                <w:rFonts w:hint="eastAsia"/>
              </w:rPr>
              <w:t>10-28 ～ 10-29</w:t>
            </w:r>
          </w:p>
        </w:tc>
        <w:tc>
          <w:tcPr>
            <w:tcW w:w="4153" w:type="dxa"/>
            <w:vAlign w:val="center"/>
          </w:tcPr>
          <w:p w14:paraId="46E48974">
            <w:pPr/>
            <w:r>
              <w:rPr>
                <w:rFonts w:hint="eastAsia"/>
              </w:rPr>
              <w:t>稳定性测试（重复加粉、不同料位、补料、重新开机）</w:t>
            </w:r>
          </w:p>
        </w:tc>
      </w:tr>
      <w:tr>
        <w:trPr/>
        <w:tc>
          <w:tcPr>
            <w:tcW w:w="4153" w:type="dxa"/>
            <w:vAlign w:val="center"/>
          </w:tcPr>
          <w:p w14:paraId="4833D5E0">
            <w:pPr/>
            <w:r>
              <w:t>10-30</w:t>
            </w:r>
          </w:p>
        </w:tc>
        <w:tc>
          <w:tcPr>
            <w:tcW w:w="4153" w:type="dxa"/>
            <w:vAlign w:val="center"/>
          </w:tcPr>
          <w:p w14:paraId="78259C5B">
            <w:pPr/>
            <w:r>
              <w:rPr>
                <w:rFonts w:hint="eastAsia"/>
              </w:rPr>
              <w:t>交付验收（测试报告、参数档案、驱动与协议文档归档）</w:t>
            </w:r>
          </w:p>
        </w:tc>
      </w:tr>
    </w:tbl>
    <w:p w14:paraId="5934FFCD">
      <w:pPr/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0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er" w:semiHidden="1" w:unhideWhenUsed="1"/>
    <w:lsdException w:name="footer" w:semiHidden="1" w:unhideWhenUsed="1"/>
    <w:lsdException w:name="index 7" w:semiHidden="1" w:unhideWhenUsed="1"/>
    <w:lsdException w:name="heading 5" w:uiPriority="9" w:semiHidden="1" w:unhideWhenUsed="1" w:qFormat="1"/>
    <w:lsdException w:name="Body Text" w:semiHidden="1" w:unhideWhenUsed="1"/>
    <w:lsdException w:name="List 4" w:semiHidden="1" w:unhideWhenUsed="1"/>
    <w:lsdException w:name="Body Text 2" w:semiHidden="1" w:unhideWhenUsed="1"/>
    <w:lsdException w:name="List Bullet 5" w:semiHidden="1" w:unhideWhenUsed="1"/>
    <w:lsdException w:name="index 2" w:semiHidden="1" w:unhideWhenUsed="1"/>
    <w:lsdException w:name="heading 7" w:uiPriority="9" w:semiHidden="1" w:unhideWhenUsed="1" w:qFormat="1"/>
    <w:lsdException w:name="toc 5" w:uiPriority="39" w:semiHidden="1" w:unhideWhenUsed="1"/>
    <w:lsdException w:name="Salutation" w:semiHidden="1" w:unhideWhenUsed="1"/>
    <w:lsdException w:name="Body Text Indent 3" w:semiHidden="1" w:unhideWhenUsed="1"/>
    <w:lsdException w:name="Strong" w:uiPriority="22" w:qFormat="1"/>
    <w:lsdException w:name="index 6" w:semiHidden="1" w:unhideWhenUsed="1"/>
    <w:lsdException w:name="List Number" w:semiHidden="1" w:unhideWhenUsed="1"/>
    <w:lsdException w:name="List 2" w:semiHidden="1" w:unhideWhenUsed="1"/>
    <w:lsdException w:name="List Number 2" w:semiHidden="1" w:unhideWhenUsed="1"/>
    <w:lsdException w:name="index 9" w:semiHidden="1" w:unhideWhenUsed="1"/>
    <w:lsdException w:name="toc 7" w:uiPriority="39" w:semiHidden="1" w:unhideWhenUsed="1"/>
    <w:lsdException w:name="List Bullet 4" w:semiHidden="1" w:unhideWhenUsed="1"/>
    <w:lsdException w:name="List Continue 2" w:semiHidden="1" w:unhideWhenUsed="1"/>
    <w:lsdException w:name="index 3" w:semiHidden="1" w:unhideWhenUsed="1"/>
    <w:lsdException w:name="line number" w:semiHidden="1" w:unhideWhenUsed="1"/>
    <w:lsdException w:name="List 5" w:semiHidden="1" w:unhideWhenUsed="1"/>
    <w:lsdException w:name="index 8" w:semiHidden="1" w:unhideWhenUsed="1"/>
    <w:lsdException w:name="Closing" w:semiHidden="1" w:unhideWhenUsed="1"/>
    <w:lsdException w:name="toc 6" w:uiPriority="39" w:semiHidden="1" w:unhideWhenUsed="1"/>
    <w:lsdException w:name="envelope return" w:semiHidden="1" w:unhideWhenUsed="1"/>
    <w:lsdException w:name="table of authorities" w:semiHidden="1" w:unhideWhenUsed="1"/>
    <w:lsdException w:name="FollowedHyperlink" w:semiHidden="1" w:unhideWhenUsed="1"/>
    <w:lsdException w:name="Message Header" w:semiHidden="1" w:unhideWhenUsed="1"/>
    <w:lsdException w:name="List Bullet" w:semiHidden="1" w:unhideWhenUsed="1"/>
    <w:lsdException w:name="heading 4" w:uiPriority="9" w:semiHidden="1" w:unhideWhenUsed="1" w:qFormat="1"/>
    <w:lsdException w:name="List Continue" w:semiHidden="1" w:unhideWhenUsed="1"/>
    <w:lsdException w:name="Date" w:semiHidden="1" w:unhideWhenUsed="1"/>
    <w:lsdException w:name="index 5" w:semiHidden="1" w:unhideWhenUsed="1"/>
    <w:lsdException w:name="toc 1" w:uiPriority="39" w:semiHidden="1" w:unhideWhenUsed="1"/>
    <w:lsdException w:name="Body Text 3" w:semiHidden="1" w:unhideWhenUsed="1"/>
    <w:lsdException w:name="endnote text" w:semiHidden="1" w:unhideWhenUsed="1"/>
    <w:lsdException w:name="Signature" w:semiHidden="1" w:unhideWhenUsed="1"/>
    <w:lsdException w:name="toc 4" w:uiPriority="39" w:semiHidden="1" w:unhideWhenUsed="1"/>
    <w:lsdException w:name="List Bullet 3" w:semiHidden="1" w:unhideWhenUsed="1"/>
    <w:lsdException w:name="heading 9" w:uiPriority="9" w:semiHidden="1" w:unhideWhenUsed="1" w:qFormat="1"/>
    <w:lsdException w:name="envelope address" w:semiHidden="1" w:unhideWhenUsed="1"/>
    <w:lsdException w:name="index 4" w:semiHidden="1" w:unhideWhenUsed="1"/>
    <w:lsdException w:name="Note Heading" w:semiHidden="1" w:unhideWhenUsed="1"/>
    <w:lsdException w:name="annotation text" w:semiHidden="1" w:unhideWhenUsed="1"/>
    <w:lsdException w:name="annotation reference" w:semiHidden="1" w:unhideWhenUsed="1"/>
    <w:lsdException w:name="Body Text First Indent" w:semiHidden="1" w:unhideWhenUsed="1"/>
    <w:lsdException w:name="List Number 4" w:semiHidden="1" w:unhideWhenUsed="1"/>
    <w:lsdException w:name="toc 9" w:uiPriority="39" w:semiHidden="1" w:unhideWhenUsed="1"/>
    <w:lsdException w:name="List 3" w:semiHidden="1" w:unhideWhenUsed="1"/>
    <w:lsdException w:name="heading 8" w:uiPriority="9" w:semiHidden="1" w:unhideWhenUsed="1" w:qFormat="1"/>
    <w:lsdException w:name="List Continue 4" w:semiHidden="1" w:unhideWhenUsed="1"/>
    <w:lsdException w:name="List" w:semiHidden="1" w:unhideWhenUsed="1"/>
    <w:lsdException w:name="toa heading" w:semiHidden="1" w:unhideWhenUsed="1"/>
    <w:lsdException w:name="index heading" w:semiHidden="1" w:unhideWhenUsed="1"/>
    <w:lsdException w:name="Title" w:uiPriority="10" w:qFormat="1"/>
    <w:lsdException w:name="Hyperlink" w:semiHidden="1" w:unhideWhenUsed="1"/>
    <w:lsdException w:name="footnote text" w:semiHidden="1" w:unhideWhenUsed="1"/>
    <w:lsdException w:name="toc 8" w:uiPriority="39" w:semiHidden="1" w:unhideWhenUsed="1"/>
    <w:lsdException w:name="heading 3" w:uiPriority="9" w:semiHidden="1" w:unhideWhenUsed="1" w:qFormat="1"/>
    <w:lsdException w:name="caption" w:uiPriority="35" w:semiHidden="1" w:unhideWhenUsed="1" w:qFormat="1"/>
    <w:lsdException w:name="page number" w:semiHidden="1" w:unhideWhenUsed="1"/>
    <w:lsdException w:name="heading 6" w:uiPriority="9" w:semiHidden="1" w:unhideWhenUsed="1" w:qFormat="1"/>
    <w:lsdException w:name="Body Text Indent" w:semiHidden="1" w:unhideWhenUsed="1"/>
    <w:lsdException w:name="List Bullet 2" w:semiHidden="1" w:unhideWhenUsed="1"/>
    <w:lsdException w:name="Body Text Indent 2" w:semiHidden="1" w:unhideWhenUsed="1"/>
    <w:lsdException w:name="toc 3" w:uiPriority="39" w:semiHidden="1" w:unhideWhenUsed="1"/>
    <w:lsdException w:name="Subtitle" w:uiPriority="11" w:qFormat="1"/>
    <w:lsdException w:name="heading 1" w:uiPriority="9" w:qFormat="1"/>
    <w:lsdException w:name="index 1" w:semiHidden="1" w:unhideWhenUsed="1"/>
    <w:lsdException w:name="heading 2" w:uiPriority="9" w:semiHidden="1" w:unhideWhenUsed="1" w:qFormat="1"/>
    <w:lsdException w:name="List Number 3" w:semiHidden="1" w:unhideWhenUsed="1"/>
    <w:lsdException w:name="List Continue 3" w:semiHidden="1" w:unhideWhenUsed="1"/>
    <w:lsdException w:name="footnote reference" w:semiHidden="1" w:unhideWhenUsed="1"/>
    <w:lsdException w:name="Default Paragraph Font" w:uiPriority="1" w:semiHidden="1" w:unhideWhenUsed="1"/>
    <w:lsdException w:name="endnote reference" w:semiHidden="1" w:unhideWhenUsed="1"/>
    <w:lsdException w:name="List Continue 5" w:semiHidden="1" w:unhideWhenUsed="1"/>
    <w:lsdException w:name="List Number 5" w:semiHidden="1" w:unhideWhenUsed="1"/>
    <w:lsdException w:name="table of figures" w:semiHidden="1" w:unhideWhenUsed="1"/>
    <w:lsdException w:name="Normal Indent" w:semiHidden="1" w:unhideWhenUsed="1"/>
    <w:lsdException w:name="toc 2" w:uiPriority="39" w:semiHidden="1" w:unhideWhenUsed="1"/>
    <w:lsdException w:name="Block Text" w:semiHidden="1" w:unhideWhenUsed="1"/>
    <w:lsdException w:name="macro" w:semiHidden="1" w:unhideWhenUsed="1"/>
    <w:lsdException w:name="Normal" w:uiPriority="0" w:qFormat="1"/>
    <w:lsdException w:name="Body Text First Indent 2" w:semiHidden="1" w:unhideWhenUsed="1"/>
  </w:latentStyles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1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2026-10-19T14:12:46Z</dcterms:created>
  <dcterms:modified xsi:type="dcterms:W3CDTF">2026-10-19T14:12:46Z</dcterms:modified>
</cp:coreProperties>
</file>