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E9E8E"/>
          <w:spacing w:val="12"/>
          <w:sz w:val="18"/>
          <w:szCs w:val="18"/>
        </w:rPr>
        <w:t xml:space="preserve">LEARNERS POINT ACADEMY</w:t>
      </w:r>
    </w:p>
    <w:p>
      <w:pPr>
        <w:spacing w:after="60"/>
      </w:pPr>
      <w:r>
        <w:rPr>
          <w:rFonts w:ascii="Calibri" w:cs="Calibri" w:eastAsia="Calibri" w:hAnsi="Calibri"/>
          <w:b/>
          <w:bCs/>
          <w:color w:val="1A2B4A"/>
          <w:sz w:val="40"/>
          <w:szCs w:val="40"/>
        </w:rPr>
        <w:t xml:space="preserve">Trainer Reference Guide</w:t>
      </w:r>
    </w:p>
    <w:p>
      <w:pPr>
        <w:spacing w:after="60"/>
      </w:pPr>
      <w:r>
        <w:rPr>
          <w:rFonts w:ascii="Calibri" w:cs="Calibri" w:eastAsia="Calibri" w:hAnsi="Calibri"/>
          <w:color w:val="1A2B4A"/>
          <w:sz w:val="26"/>
          <w:szCs w:val="26"/>
        </w:rPr>
        <w:t xml:space="preserve">Gulf Freight Co. — HR Dashboard Simulation</w:t>
      </w:r>
    </w:p>
    <w:p>
      <w:pPr>
        <w:spacing w:after="260"/>
      </w:pPr>
      <w:r>
        <w:rPr>
          <w:rFonts w:ascii="Calibri" w:cs="Calibri" w:eastAsia="Calibri" w:hAnsi="Calibri"/>
          <w:i/>
          <w:iCs/>
          <w:color w:val="5B6B82"/>
          <w:sz w:val="20"/>
          <w:szCs w:val="20"/>
        </w:rPr>
        <w:t xml:space="preserve">Module 2 Recap · Excel for HR · Answer Key &amp; Facilitation Notes</w:t>
      </w:r>
    </w:p>
    <w:p>
      <w:pPr>
        <w:pStyle w:val="Heading1"/>
        <w:pBdr>
          <w:bottom w:val="single" w:color="0E9E8E" w:sz="8" w:space="4"/>
        </w:pBdr>
        <w:spacing w:after="140" w:before="320"/>
      </w:pPr>
      <w:r>
        <w:rPr>
          <w:rFonts w:ascii="Calibri" w:cs="Calibri" w:eastAsia="Calibri" w:hAnsi="Calibri"/>
          <w:b/>
          <w:bCs/>
          <w:color w:val="1A2B4A"/>
          <w:sz w:val="30"/>
          <w:szCs w:val="30"/>
        </w:rPr>
        <w:t xml:space="preserve">1. Simulation Overview</w:t>
      </w:r>
    </w:p>
    <w:p>
      <w:pPr>
        <w:spacing w:after="120"/>
      </w:pPr>
      <w:r>
        <w:rPr>
          <w:rFonts w:ascii="Calibri" w:cs="Calibri" w:eastAsia="Calibri" w:hAnsi="Calibri"/>
          <w:b w:val="false"/>
          <w:bCs w:val="false"/>
          <w:i w:val="false"/>
          <w:iCs w:val="false"/>
          <w:color w:val="2A2A2A"/>
          <w:sz w:val="21"/>
          <w:szCs w:val="21"/>
        </w:rPr>
        <w:t xml:space="preserve">This simulation is a four-round, one-topic-per-round recap of Module 2. Each round is a single tap: the learner reads a small, realistic HR data scenario for Gulf Freight Co. and identifies the one correct answer. This guide gives trainers the full question content, the correct answer, the reasoning behind it, and why each incorrect option is there — so you can debrief confidently and explain any answer on request.</w:t>
      </w:r>
    </w:p>
    <w:p>
      <w:pPr>
        <w:pStyle w:val="Heading2"/>
        <w:spacing w:after="100" w:before="260"/>
      </w:pPr>
      <w:r>
        <w:rPr>
          <w:rFonts w:ascii="Calibri" w:cs="Calibri" w:eastAsia="Calibri" w:hAnsi="Calibri"/>
          <w:b/>
          <w:bCs/>
          <w:color w:val="1A2B4A"/>
          <w:sz w:val="24"/>
          <w:szCs w:val="24"/>
        </w:rPr>
        <w:t xml:space="preserve">Scenario given to learners</w:t>
      </w:r>
    </w:p>
    <w:p>
      <w:pPr>
        <w:spacing w:after="120"/>
      </w:pPr>
      <w:r>
        <w:rPr>
          <w:rFonts w:ascii="Calibri" w:cs="Calibri" w:eastAsia="Calibri" w:hAnsi="Calibri"/>
          <w:b w:val="false"/>
          <w:bCs w:val="false"/>
          <w:i w:val="false"/>
          <w:iCs w:val="false"/>
          <w:color w:val="2A2A2A"/>
          <w:sz w:val="21"/>
          <w:szCs w:val="21"/>
        </w:rPr>
        <w:t xml:space="preserve">Gulf Freight Co. needs an HR dashboard that tracks headcount, turnover, and Emiratisation across four departments — and automatically flags the departments that need attention. A dashboard that only displays numbers without flagging what matters has not met the brief.</w:t>
      </w:r>
    </w:p>
    <w:p>
      <w:pPr>
        <w:pStyle w:val="Heading2"/>
        <w:spacing w:after="100" w:before="260"/>
      </w:pPr>
      <w:r>
        <w:rPr>
          <w:rFonts w:ascii="Calibri" w:cs="Calibri" w:eastAsia="Calibri" w:hAnsi="Calibri"/>
          <w:b/>
          <w:bCs/>
          <w:color w:val="1A2B4A"/>
          <w:sz w:val="24"/>
          <w:szCs w:val="24"/>
        </w:rPr>
        <w:t xml:space="preserve">Benchmarks used throughout</w:t>
      </w:r>
    </w:p>
    <w:p>
      <w:pPr>
        <w:spacing w:after="80"/>
        <w:ind w:left="360"/>
      </w:pPr>
      <w:r>
        <w:rPr>
          <w:rFonts w:ascii="Calibri" w:cs="Calibri" w:eastAsia="Calibri" w:hAnsi="Calibri"/>
          <w:b/>
          <w:bCs/>
          <w:color w:val="F2541D"/>
          <w:sz w:val="21"/>
          <w:szCs w:val="21"/>
        </w:rPr>
        <w:t xml:space="preserve">▪ </w:t>
      </w:r>
      <w:r>
        <w:rPr>
          <w:rFonts w:ascii="Calibri" w:cs="Calibri" w:eastAsia="Calibri" w:hAnsi="Calibri"/>
          <w:b w:val="false"/>
          <w:bCs w:val="false"/>
          <w:color w:val="2A2A2A"/>
          <w:sz w:val="21"/>
          <w:szCs w:val="21"/>
        </w:rPr>
        <w:t xml:space="preserve">Turnover flag threshold: above 5%</w:t>
      </w:r>
    </w:p>
    <w:p>
      <w:pPr>
        <w:spacing w:after="80"/>
        <w:ind w:left="360"/>
      </w:pPr>
      <w:r>
        <w:rPr>
          <w:rFonts w:ascii="Calibri" w:cs="Calibri" w:eastAsia="Calibri" w:hAnsi="Calibri"/>
          <w:b/>
          <w:bCs/>
          <w:color w:val="F2541D"/>
          <w:sz w:val="21"/>
          <w:szCs w:val="21"/>
        </w:rPr>
        <w:t xml:space="preserve">▪ </w:t>
      </w:r>
      <w:r>
        <w:rPr>
          <w:rFonts w:ascii="Calibri" w:cs="Calibri" w:eastAsia="Calibri" w:hAnsi="Calibri"/>
          <w:b w:val="false"/>
          <w:bCs w:val="false"/>
          <w:color w:val="2A2A2A"/>
          <w:sz w:val="21"/>
          <w:szCs w:val="21"/>
        </w:rPr>
        <w:t xml:space="preserve">Emiratisation flag threshold: below 20%</w:t>
      </w:r>
    </w:p>
    <w:p>
      <w:pPr>
        <w:spacing w:after="80"/>
        <w:ind w:left="360"/>
      </w:pPr>
      <w:r>
        <w:rPr>
          <w:rFonts w:ascii="Calibri" w:cs="Calibri" w:eastAsia="Calibri" w:hAnsi="Calibri"/>
          <w:b/>
          <w:bCs/>
          <w:color w:val="F2541D"/>
          <w:sz w:val="21"/>
          <w:szCs w:val="21"/>
        </w:rPr>
        <w:t xml:space="preserve">▪ </w:t>
      </w:r>
      <w:r>
        <w:rPr>
          <w:rFonts w:ascii="Calibri" w:cs="Calibri" w:eastAsia="Calibri" w:hAnsi="Calibri"/>
          <w:b w:val="false"/>
          <w:bCs w:val="false"/>
          <w:color w:val="2A2A2A"/>
          <w:sz w:val="21"/>
          <w:szCs w:val="21"/>
        </w:rPr>
        <w:t xml:space="preserve">Flag rule (combined): flag if turnover &gt; 5% OR Emiratisation &lt; 20% — either condition alone is enough</w:t>
      </w:r>
    </w:p>
    <w:p>
      <w:pPr>
        <w:pStyle w:val="Heading2"/>
        <w:spacing w:after="100" w:before="260"/>
      </w:pPr>
      <w:r>
        <w:rPr>
          <w:rFonts w:ascii="Calibri" w:cs="Calibri" w:eastAsia="Calibri" w:hAnsi="Calibri"/>
          <w:b/>
          <w:bCs/>
          <w:color w:val="1A2B4A"/>
          <w:sz w:val="24"/>
          <w:szCs w:val="24"/>
        </w:rPr>
        <w:t xml:space="preserve">Topic coverage map</w:t>
      </w:r>
    </w:p>
    <w:tbl>
      <w:tblPr>
        <w:tblW w:type="dxa" w:w="10080"/>
        <w:tblBorders>
          <w:top w:val="single" w:color="D8DCE4" w:sz="4"/>
          <w:left w:val="single" w:color="D8DCE4" w:sz="4"/>
          <w:bottom w:val="single" w:color="D8DCE4" w:sz="4"/>
          <w:right w:val="single" w:color="D8DCE4" w:sz="4"/>
          <w:insideH w:val="single" w:color="D8DCE4" w:sz="4"/>
          <w:insideV w:val="single" w:color="D8DCE4" w:sz="4"/>
        </w:tblBorders>
      </w:tblPr>
      <w:tblGrid>
        <w:gridCol w:w="3360"/>
        <w:gridCol w:w="3360"/>
        <w:gridCol w:w="3360"/>
      </w:tblGrid>
      <w:tr>
        <w:trPr>
          <w:tblHeader/>
        </w:trPr>
        <w:tc>
          <w:tcPr>
            <w:tcW w:type="dxa" w:w="3360"/>
            <w:shd w:fill="1A2B4A" w:val="clear"/>
            <w:tcMar>
              <w:top w:type="dxa" w:w="100"/>
              <w:left w:type="dxa" w:w="140"/>
              <w:bottom w:type="dxa" w:w="100"/>
              <w:right w:type="dxa" w:w="140"/>
            </w:tcMar>
          </w:tcPr>
          <w:p>
            <w:r>
              <w:rPr>
                <w:rFonts w:ascii="Consolas" w:cs="Consolas" w:eastAsia="Consolas" w:hAnsi="Consolas"/>
                <w:b/>
                <w:bCs/>
                <w:color w:val="FFFFFF"/>
                <w:sz w:val="18"/>
                <w:szCs w:val="18"/>
              </w:rPr>
              <w:t xml:space="preserve">ROUND</w:t>
            </w:r>
          </w:p>
        </w:tc>
        <w:tc>
          <w:tcPr>
            <w:tcW w:type="dxa" w:w="3360"/>
            <w:shd w:fill="1A2B4A" w:val="clear"/>
            <w:tcMar>
              <w:top w:type="dxa" w:w="100"/>
              <w:left w:type="dxa" w:w="140"/>
              <w:bottom w:type="dxa" w:w="100"/>
              <w:right w:type="dxa" w:w="140"/>
            </w:tcMar>
          </w:tcPr>
          <w:p>
            <w:r>
              <w:rPr>
                <w:rFonts w:ascii="Consolas" w:cs="Consolas" w:eastAsia="Consolas" w:hAnsi="Consolas"/>
                <w:b/>
                <w:bCs/>
                <w:color w:val="FFFFFF"/>
                <w:sz w:val="18"/>
                <w:szCs w:val="18"/>
              </w:rPr>
              <w:t xml:space="preserve">TOPIC</w:t>
            </w:r>
          </w:p>
        </w:tc>
        <w:tc>
          <w:tcPr>
            <w:tcW w:type="dxa" w:w="3360"/>
            <w:shd w:fill="1A2B4A" w:val="clear"/>
            <w:tcMar>
              <w:top w:type="dxa" w:w="100"/>
              <w:left w:type="dxa" w:w="140"/>
              <w:bottom w:type="dxa" w:w="100"/>
              <w:right w:type="dxa" w:w="140"/>
            </w:tcMar>
          </w:tcPr>
          <w:p>
            <w:r>
              <w:rPr>
                <w:rFonts w:ascii="Consolas" w:cs="Consolas" w:eastAsia="Consolas" w:hAnsi="Consolas"/>
                <w:b/>
                <w:bCs/>
                <w:color w:val="FFFFFF"/>
                <w:sz w:val="18"/>
                <w:szCs w:val="18"/>
              </w:rPr>
              <w:t xml:space="preserve">SKILL TESTED</w:t>
            </w:r>
          </w:p>
        </w:tc>
      </w:tr>
      <w:tr>
        <w:tc>
          <w:tcPr>
            <w:tcW w:type="dxa" w:w="3360"/>
            <w:tcMar>
              <w:top w:type="dxa" w:w="90"/>
              <w:left w:type="dxa" w:w="140"/>
              <w:bottom w:type="dxa" w:w="90"/>
              <w:right w:type="dxa" w:w="140"/>
            </w:tcMar>
          </w:tcPr>
          <w:p>
            <w:r>
              <w:rPr>
                <w:rFonts w:ascii="Consolas" w:cs="Consolas" w:eastAsia="Consolas" w:hAnsi="Consolas"/>
                <w:color w:val="1A2B4A"/>
                <w:sz w:val="18"/>
                <w:szCs w:val="18"/>
              </w:rPr>
              <w:t xml:space="preserve">1</w:t>
            </w:r>
          </w:p>
        </w:tc>
        <w:tc>
          <w:tcPr>
            <w:tcW w:type="dxa" w:w="3360"/>
            <w:tcMar>
              <w:top w:type="dxa" w:w="90"/>
              <w:left w:type="dxa" w:w="140"/>
              <w:bottom w:type="dxa" w:w="90"/>
              <w:right w:type="dxa" w:w="140"/>
            </w:tcMar>
          </w:tcPr>
          <w:p>
            <w:r>
              <w:rPr>
                <w:rFonts w:ascii="Consolas" w:cs="Consolas" w:eastAsia="Consolas" w:hAnsi="Consolas"/>
                <w:color w:val="1A2B4A"/>
                <w:sz w:val="18"/>
                <w:szCs w:val="18"/>
              </w:rPr>
              <w:t xml:space="preserve">Data Cleaning</w:t>
            </w:r>
          </w:p>
        </w:tc>
        <w:tc>
          <w:tcPr>
            <w:tcW w:type="dxa" w:w="3360"/>
            <w:tcMar>
              <w:top w:type="dxa" w:w="90"/>
              <w:left w:type="dxa" w:w="140"/>
              <w:bottom w:type="dxa" w:w="90"/>
              <w:right w:type="dxa" w:w="140"/>
            </w:tcMar>
          </w:tcPr>
          <w:p>
            <w:r>
              <w:rPr>
                <w:rFonts w:ascii="Consolas" w:cs="Consolas" w:eastAsia="Consolas" w:hAnsi="Consolas"/>
                <w:color w:val="1A2B4A"/>
                <w:sz w:val="18"/>
                <w:szCs w:val="18"/>
              </w:rPr>
              <w:t xml:space="preserve">Recognise clean vs dirty data</w:t>
            </w:r>
          </w:p>
        </w:tc>
      </w:tr>
      <w:tr>
        <w:tc>
          <w:tcPr>
            <w:tcW w:type="dxa" w:w="3360"/>
            <w:tcMar>
              <w:top w:type="dxa" w:w="90"/>
              <w:left w:type="dxa" w:w="140"/>
              <w:bottom w:type="dxa" w:w="90"/>
              <w:right w:type="dxa" w:w="140"/>
            </w:tcMar>
          </w:tcPr>
          <w:p>
            <w:r>
              <w:rPr>
                <w:rFonts w:ascii="Consolas" w:cs="Consolas" w:eastAsia="Consolas" w:hAnsi="Consolas"/>
                <w:color w:val="1A2B4A"/>
                <w:sz w:val="18"/>
                <w:szCs w:val="18"/>
              </w:rPr>
              <w:t xml:space="preserve">2</w:t>
            </w:r>
          </w:p>
        </w:tc>
        <w:tc>
          <w:tcPr>
            <w:tcW w:type="dxa" w:w="3360"/>
            <w:tcMar>
              <w:top w:type="dxa" w:w="90"/>
              <w:left w:type="dxa" w:w="140"/>
              <w:bottom w:type="dxa" w:w="90"/>
              <w:right w:type="dxa" w:w="140"/>
            </w:tcMar>
          </w:tcPr>
          <w:p>
            <w:r>
              <w:rPr>
                <w:rFonts w:ascii="Consolas" w:cs="Consolas" w:eastAsia="Consolas" w:hAnsi="Consolas"/>
                <w:color w:val="1A2B4A"/>
                <w:sz w:val="18"/>
                <w:szCs w:val="18"/>
              </w:rPr>
              <w:t xml:space="preserve">XLOOKUP</w:t>
            </w:r>
          </w:p>
        </w:tc>
        <w:tc>
          <w:tcPr>
            <w:tcW w:type="dxa" w:w="3360"/>
            <w:tcMar>
              <w:top w:type="dxa" w:w="90"/>
              <w:left w:type="dxa" w:w="140"/>
              <w:bottom w:type="dxa" w:w="90"/>
              <w:right w:type="dxa" w:w="140"/>
            </w:tcMar>
          </w:tcPr>
          <w:p>
            <w:r>
              <w:rPr>
                <w:rFonts w:ascii="Consolas" w:cs="Consolas" w:eastAsia="Consolas" w:hAnsi="Consolas"/>
                <w:color w:val="1A2B4A"/>
                <w:sz w:val="18"/>
                <w:szCs w:val="18"/>
              </w:rPr>
              <w:t xml:space="preserve">Read a lookup result / diagnose a lookup error</w:t>
            </w:r>
          </w:p>
        </w:tc>
      </w:tr>
      <w:tr>
        <w:tc>
          <w:tcPr>
            <w:tcW w:type="dxa" w:w="3360"/>
            <w:tcMar>
              <w:top w:type="dxa" w:w="90"/>
              <w:left w:type="dxa" w:w="140"/>
              <w:bottom w:type="dxa" w:w="90"/>
              <w:right w:type="dxa" w:w="140"/>
            </w:tcMar>
          </w:tcPr>
          <w:p>
            <w:r>
              <w:rPr>
                <w:rFonts w:ascii="Consolas" w:cs="Consolas" w:eastAsia="Consolas" w:hAnsi="Consolas"/>
                <w:color w:val="1A2B4A"/>
                <w:sz w:val="18"/>
                <w:szCs w:val="18"/>
              </w:rPr>
              <w:t xml:space="preserve">3</w:t>
            </w:r>
          </w:p>
        </w:tc>
        <w:tc>
          <w:tcPr>
            <w:tcW w:type="dxa" w:w="3360"/>
            <w:tcMar>
              <w:top w:type="dxa" w:w="90"/>
              <w:left w:type="dxa" w:w="140"/>
              <w:bottom w:type="dxa" w:w="90"/>
              <w:right w:type="dxa" w:w="140"/>
            </w:tcMar>
          </w:tcPr>
          <w:p>
            <w:r>
              <w:rPr>
                <w:rFonts w:ascii="Consolas" w:cs="Consolas" w:eastAsia="Consolas" w:hAnsi="Consolas"/>
                <w:color w:val="1A2B4A"/>
                <w:sz w:val="18"/>
                <w:szCs w:val="18"/>
              </w:rPr>
              <w:t xml:space="preserve">PivotTables &amp; Conditional Formatting</w:t>
            </w:r>
          </w:p>
        </w:tc>
        <w:tc>
          <w:tcPr>
            <w:tcW w:type="dxa" w:w="3360"/>
            <w:tcMar>
              <w:top w:type="dxa" w:w="90"/>
              <w:left w:type="dxa" w:w="140"/>
              <w:bottom w:type="dxa" w:w="90"/>
              <w:right w:type="dxa" w:w="140"/>
            </w:tcMar>
          </w:tcPr>
          <w:p>
            <w:r>
              <w:rPr>
                <w:rFonts w:ascii="Consolas" w:cs="Consolas" w:eastAsia="Consolas" w:hAnsi="Consolas"/>
                <w:color w:val="1A2B4A"/>
                <w:sz w:val="18"/>
                <w:szCs w:val="18"/>
              </w:rPr>
              <w:t xml:space="preserve">Interpret a PivotTable summary against a stated rule</w:t>
            </w:r>
          </w:p>
        </w:tc>
      </w:tr>
      <w:tr>
        <w:tc>
          <w:tcPr>
            <w:tcW w:type="dxa" w:w="3360"/>
            <w:tcMar>
              <w:top w:type="dxa" w:w="90"/>
              <w:left w:type="dxa" w:w="140"/>
              <w:bottom w:type="dxa" w:w="90"/>
              <w:right w:type="dxa" w:w="140"/>
            </w:tcMar>
          </w:tcPr>
          <w:p>
            <w:r>
              <w:rPr>
                <w:rFonts w:ascii="Consolas" w:cs="Consolas" w:eastAsia="Consolas" w:hAnsi="Consolas"/>
                <w:color w:val="1A2B4A"/>
                <w:sz w:val="18"/>
                <w:szCs w:val="18"/>
              </w:rPr>
              <w:t xml:space="preserve">4</w:t>
            </w:r>
          </w:p>
        </w:tc>
        <w:tc>
          <w:tcPr>
            <w:tcW w:type="dxa" w:w="3360"/>
            <w:tcMar>
              <w:top w:type="dxa" w:w="90"/>
              <w:left w:type="dxa" w:w="140"/>
              <w:bottom w:type="dxa" w:w="90"/>
              <w:right w:type="dxa" w:w="140"/>
            </w:tcMar>
          </w:tcPr>
          <w:p>
            <w:r>
              <w:rPr>
                <w:rFonts w:ascii="Consolas" w:cs="Consolas" w:eastAsia="Consolas" w:hAnsi="Consolas"/>
                <w:color w:val="1A2B4A"/>
                <w:sz w:val="18"/>
                <w:szCs w:val="18"/>
              </w:rPr>
              <w:t xml:space="preserve">IF Logic &amp; Nested Formulas</w:t>
            </w:r>
          </w:p>
        </w:tc>
        <w:tc>
          <w:tcPr>
            <w:tcW w:type="dxa" w:w="3360"/>
            <w:tcMar>
              <w:top w:type="dxa" w:w="90"/>
              <w:left w:type="dxa" w:w="140"/>
              <w:bottom w:type="dxa" w:w="90"/>
              <w:right w:type="dxa" w:w="140"/>
            </w:tcMar>
          </w:tcPr>
          <w:p>
            <w:r>
              <w:rPr>
                <w:rFonts w:ascii="Consolas" w:cs="Consolas" w:eastAsia="Consolas" w:hAnsi="Consolas"/>
                <w:color w:val="1A2B4A"/>
                <w:sz w:val="18"/>
                <w:szCs w:val="18"/>
              </w:rPr>
              <w:t xml:space="preserve">Apply IF flag logic correctly (AND vs OR)</w:t>
            </w:r>
          </w:p>
        </w:tc>
      </w:tr>
    </w:tbl>
    <w:p>
      <w:pPr>
        <w:spacing w:after="120"/>
      </w:pPr>
    </w:p>
    <w:p>
      <w:pPr>
        <w:pStyle w:val="Heading2"/>
        <w:spacing w:after="100" w:before="260"/>
      </w:pPr>
      <w:r>
        <w:rPr>
          <w:rFonts w:ascii="Calibri" w:cs="Calibri" w:eastAsia="Calibri" w:hAnsi="Calibri"/>
          <w:b/>
          <w:bCs/>
          <w:color w:val="1A2B4A"/>
          <w:sz w:val="24"/>
          <w:szCs w:val="24"/>
        </w:rPr>
        <w:t xml:space="preserve">Scoring logic</w:t>
      </w:r>
    </w:p>
    <w:p>
      <w:pPr>
        <w:spacing w:after="80"/>
        <w:ind w:left="360"/>
      </w:pPr>
      <w:r>
        <w:rPr>
          <w:rFonts w:ascii="Calibri" w:cs="Calibri" w:eastAsia="Calibri" w:hAnsi="Calibri"/>
          <w:b/>
          <w:bCs/>
          <w:color w:val="0E9E8E"/>
          <w:sz w:val="21"/>
          <w:szCs w:val="21"/>
        </w:rPr>
        <w:t xml:space="preserve">▪ </w:t>
      </w:r>
      <w:r>
        <w:rPr>
          <w:rFonts w:ascii="Calibri" w:cs="Calibri" w:eastAsia="Calibri" w:hAnsi="Calibri"/>
          <w:b w:val="false"/>
          <w:bCs w:val="false"/>
          <w:color w:val="2A2A2A"/>
          <w:sz w:val="21"/>
          <w:szCs w:val="21"/>
        </w:rPr>
        <w:t xml:space="preserve">4 rounds × 1 point each = 4 points maximum</w:t>
      </w:r>
    </w:p>
    <w:p>
      <w:pPr>
        <w:spacing w:after="80"/>
        <w:ind w:left="360"/>
      </w:pPr>
      <w:r>
        <w:rPr>
          <w:rFonts w:ascii="Calibri" w:cs="Calibri" w:eastAsia="Calibri" w:hAnsi="Calibri"/>
          <w:b/>
          <w:bCs/>
          <w:color w:val="0E9E8E"/>
          <w:sz w:val="21"/>
          <w:szCs w:val="21"/>
        </w:rPr>
        <w:t xml:space="preserve">▪ </w:t>
      </w:r>
      <w:r>
        <w:rPr>
          <w:rFonts w:ascii="Calibri" w:cs="Calibri" w:eastAsia="Calibri" w:hAnsi="Calibri"/>
          <w:b w:val="false"/>
          <w:bCs w:val="false"/>
          <w:color w:val="2A2A2A"/>
          <w:sz w:val="21"/>
          <w:szCs w:val="21"/>
        </w:rPr>
        <w:t xml:space="preserve">Correct on first attempt → 1 point</w:t>
      </w:r>
    </w:p>
    <w:p>
      <w:pPr>
        <w:spacing w:after="80"/>
        <w:ind w:left="360"/>
      </w:pPr>
      <w:r>
        <w:rPr>
          <w:rFonts w:ascii="Calibri" w:cs="Calibri" w:eastAsia="Calibri" w:hAnsi="Calibri"/>
          <w:b/>
          <w:bCs/>
          <w:color w:val="0E9E8E"/>
          <w:sz w:val="21"/>
          <w:szCs w:val="21"/>
        </w:rPr>
        <w:t xml:space="preserve">▪ </w:t>
      </w:r>
      <w:r>
        <w:rPr>
          <w:rFonts w:ascii="Calibri" w:cs="Calibri" w:eastAsia="Calibri" w:hAnsi="Calibri"/>
          <w:b w:val="false"/>
          <w:bCs w:val="false"/>
          <w:color w:val="2A2A2A"/>
          <w:sz w:val="21"/>
          <w:szCs w:val="21"/>
        </w:rPr>
        <w:t xml:space="preserve">Correct on second attempt → 0.5 points</w:t>
      </w:r>
    </w:p>
    <w:p>
      <w:pPr>
        <w:spacing w:after="80"/>
        <w:ind w:left="360"/>
      </w:pPr>
      <w:r>
        <w:rPr>
          <w:rFonts w:ascii="Calibri" w:cs="Calibri" w:eastAsia="Calibri" w:hAnsi="Calibri"/>
          <w:b/>
          <w:bCs/>
          <w:color w:val="0E9E8E"/>
          <w:sz w:val="21"/>
          <w:szCs w:val="21"/>
        </w:rPr>
        <w:t xml:space="preserve">▪ </w:t>
      </w:r>
      <w:r>
        <w:rPr>
          <w:rFonts w:ascii="Calibri" w:cs="Calibri" w:eastAsia="Calibri" w:hAnsi="Calibri"/>
          <w:b w:val="false"/>
          <w:bCs w:val="false"/>
          <w:color w:val="2A2A2A"/>
          <w:sz w:val="21"/>
          <w:szCs w:val="21"/>
        </w:rPr>
        <w:t xml:space="preserve">Two wrong attempts → 0 points, correct answer is revealed and the round advances</w:t>
      </w:r>
    </w:p>
    <w:p>
      <w:pPr>
        <w:spacing w:after="80"/>
        <w:ind w:left="360"/>
      </w:pPr>
      <w:r>
        <w:rPr>
          <w:rFonts w:ascii="Calibri" w:cs="Calibri" w:eastAsia="Calibri" w:hAnsi="Calibri"/>
          <w:b/>
          <w:bCs/>
          <w:color w:val="0E9E8E"/>
          <w:sz w:val="21"/>
          <w:szCs w:val="21"/>
        </w:rPr>
        <w:t xml:space="preserve">▪ </w:t>
      </w:r>
      <w:r>
        <w:rPr>
          <w:rFonts w:ascii="Calibri" w:cs="Calibri" w:eastAsia="Calibri" w:hAnsi="Calibri"/>
          <w:b w:val="false"/>
          <w:bCs w:val="false"/>
          <w:color w:val="2A2A2A"/>
          <w:sz w:val="21"/>
          <w:szCs w:val="21"/>
        </w:rPr>
        <w:t xml:space="preserve">LMS score = (total points ÷ 4) × 100, rounded to the nearest integer</w:t>
      </w:r>
    </w:p>
    <w:p>
      <w:pPr>
        <w:spacing w:after="200"/>
      </w:pPr>
      <w:r>
        <w:rPr>
          <w:rFonts w:ascii="Calibri" w:cs="Calibri" w:eastAsia="Calibri" w:hAnsi="Calibri"/>
          <w:b w:val="false"/>
          <w:bCs w:val="false"/>
          <w:i w:val="false"/>
          <w:iCs w:val="false"/>
          <w:color w:val="2A2A2A"/>
          <w:sz w:val="21"/>
          <w:szCs w:val="21"/>
        </w:rPr>
        <w:t xml:space="preserve">On completion, the simulation posts the final integer score to the host LMS via window.parent.postMessage({ type: "QUIZ_COMPLETED", score }), so no manual grading is required.</w:t>
      </w:r>
    </w:p>
    <w:p>
      <w:pPr>
        <w:pStyle w:val="Heading1"/>
        <w:pBdr>
          <w:bottom w:val="single" w:color="0E9E8E" w:sz="8" w:space="4"/>
        </w:pBdr>
        <w:spacing w:after="140" w:before="320"/>
      </w:pPr>
      <w:r>
        <w:rPr>
          <w:rFonts w:ascii="Calibri" w:cs="Calibri" w:eastAsia="Calibri" w:hAnsi="Calibri"/>
          <w:b/>
          <w:bCs/>
          <w:color w:val="1A2B4A"/>
          <w:sz w:val="30"/>
          <w:szCs w:val="30"/>
        </w:rPr>
        <w:t xml:space="preserve">2. Round 1 — Data Cleaning</w:t>
      </w:r>
    </w:p>
    <w:p>
      <w:pPr>
        <w:spacing w:after="60" w:before="180"/>
      </w:pPr>
      <w:r>
        <w:rPr>
          <w:rFonts w:ascii="Calibri" w:cs="Calibri" w:eastAsia="Calibri" w:hAnsi="Calibri"/>
          <w:b/>
          <w:bCs/>
          <w:color w:val="0E9E8E"/>
          <w:sz w:val="20"/>
          <w:szCs w:val="20"/>
        </w:rPr>
        <w:t xml:space="preserve">Topic 1 · "Clean Before You Build"</w:t>
      </w:r>
    </w:p>
    <w:p>
      <w:pPr>
        <w:spacing w:after="120"/>
      </w:pPr>
      <w:r>
        <w:rPr>
          <w:rFonts w:ascii="Calibri" w:cs="Calibri" w:eastAsia="Calibri" w:hAnsi="Calibri"/>
          <w:b w:val="false"/>
          <w:bCs w:val="false"/>
          <w:i/>
          <w:iCs/>
          <w:color w:val="2A2A2A"/>
          <w:sz w:val="21"/>
          <w:szCs w:val="21"/>
        </w:rPr>
        <w:t xml:space="preserve">Learner-facing brief: Gulf Freight Co.'s raw HR extract just landed. Before anything gets built on top of it, spot the row that would break a formula.</w:t>
      </w:r>
    </w:p>
    <w:p>
      <w:pPr>
        <w:pStyle w:val="Heading2"/>
        <w:spacing w:after="100" w:before="260"/>
      </w:pPr>
      <w:r>
        <w:rPr>
          <w:rFonts w:ascii="Calibri" w:cs="Calibri" w:eastAsia="Calibri" w:hAnsi="Calibri"/>
          <w:b/>
          <w:bCs/>
          <w:color w:val="1A2B4A"/>
          <w:sz w:val="24"/>
          <w:szCs w:val="24"/>
        </w:rPr>
        <w:t xml:space="preserve">Data shown to the learner</w:t>
      </w:r>
    </w:p>
    <w:tbl>
      <w:tblPr>
        <w:tblW w:type="dxa" w:w="10080"/>
        <w:tblBorders>
          <w:top w:val="single" w:color="D8DCE4" w:sz="4"/>
          <w:left w:val="single" w:color="D8DCE4" w:sz="4"/>
          <w:bottom w:val="single" w:color="D8DCE4" w:sz="4"/>
          <w:right w:val="single" w:color="D8DCE4" w:sz="4"/>
          <w:insideH w:val="single" w:color="D8DCE4" w:sz="4"/>
          <w:insideV w:val="single" w:color="D8DCE4" w:sz="4"/>
        </w:tblBorders>
      </w:tblPr>
      <w:tblGrid>
        <w:gridCol w:w="3360"/>
        <w:gridCol w:w="3360"/>
        <w:gridCol w:w="3360"/>
      </w:tblGrid>
      <w:tr>
        <w:trPr>
          <w:tblHeader/>
        </w:trPr>
        <w:tc>
          <w:tcPr>
            <w:tcW w:type="dxa" w:w="3360"/>
            <w:shd w:fill="1A2B4A" w:val="clear"/>
            <w:tcMar>
              <w:top w:type="dxa" w:w="100"/>
              <w:left w:type="dxa" w:w="140"/>
              <w:bottom w:type="dxa" w:w="100"/>
              <w:right w:type="dxa" w:w="140"/>
            </w:tcMar>
          </w:tcPr>
          <w:p>
            <w:r>
              <w:rPr>
                <w:rFonts w:ascii="Consolas" w:cs="Consolas" w:eastAsia="Consolas" w:hAnsi="Consolas"/>
                <w:b/>
                <w:bCs/>
                <w:color w:val="FFFFFF"/>
                <w:sz w:val="18"/>
                <w:szCs w:val="18"/>
              </w:rPr>
              <w:t xml:space="preserve">DEPARTMENT</w:t>
            </w:r>
          </w:p>
        </w:tc>
        <w:tc>
          <w:tcPr>
            <w:tcW w:type="dxa" w:w="3360"/>
            <w:shd w:fill="1A2B4A" w:val="clear"/>
            <w:tcMar>
              <w:top w:type="dxa" w:w="100"/>
              <w:left w:type="dxa" w:w="140"/>
              <w:bottom w:type="dxa" w:w="100"/>
              <w:right w:type="dxa" w:w="140"/>
            </w:tcMar>
          </w:tcPr>
          <w:p>
            <w:r>
              <w:rPr>
                <w:rFonts w:ascii="Consolas" w:cs="Consolas" w:eastAsia="Consolas" w:hAnsi="Consolas"/>
                <w:b/>
                <w:bCs/>
                <w:color w:val="FFFFFF"/>
                <w:sz w:val="18"/>
                <w:szCs w:val="18"/>
              </w:rPr>
              <w:t xml:space="preserve">HEADCOUNT</w:t>
            </w:r>
          </w:p>
        </w:tc>
        <w:tc>
          <w:tcPr>
            <w:tcW w:type="dxa" w:w="3360"/>
            <w:shd w:fill="1A2B4A" w:val="clear"/>
            <w:tcMar>
              <w:top w:type="dxa" w:w="100"/>
              <w:left w:type="dxa" w:w="140"/>
              <w:bottom w:type="dxa" w:w="100"/>
              <w:right w:type="dxa" w:w="140"/>
            </w:tcMar>
          </w:tcPr>
          <w:p>
            <w:r>
              <w:rPr>
                <w:rFonts w:ascii="Consolas" w:cs="Consolas" w:eastAsia="Consolas" w:hAnsi="Consolas"/>
                <w:b/>
                <w:bCs/>
                <w:color w:val="FFFFFF"/>
                <w:sz w:val="18"/>
                <w:szCs w:val="18"/>
              </w:rPr>
              <w:t xml:space="preserve">TURNOVER</w:t>
            </w:r>
          </w:p>
        </w:tc>
      </w:tr>
      <w:tr>
        <w:tc>
          <w:tcPr>
            <w:tcW w:type="dxa" w:w="3360"/>
            <w:tcMar>
              <w:top w:type="dxa" w:w="90"/>
              <w:left w:type="dxa" w:w="140"/>
              <w:bottom w:type="dxa" w:w="90"/>
              <w:right w:type="dxa" w:w="140"/>
            </w:tcMar>
          </w:tcPr>
          <w:p>
            <w:r>
              <w:rPr>
                <w:rFonts w:ascii="Consolas" w:cs="Consolas" w:eastAsia="Consolas" w:hAnsi="Consolas"/>
                <w:color w:val="1A2B4A"/>
                <w:sz w:val="18"/>
                <w:szCs w:val="18"/>
              </w:rPr>
              <w:t xml:space="preserve">Warehouse</w:t>
            </w:r>
          </w:p>
        </w:tc>
        <w:tc>
          <w:tcPr>
            <w:tcW w:type="dxa" w:w="3360"/>
            <w:tcMar>
              <w:top w:type="dxa" w:w="90"/>
              <w:left w:type="dxa" w:w="140"/>
              <w:bottom w:type="dxa" w:w="90"/>
              <w:right w:type="dxa" w:w="140"/>
            </w:tcMar>
          </w:tcPr>
          <w:p>
            <w:r>
              <w:rPr>
                <w:rFonts w:ascii="Consolas" w:cs="Consolas" w:eastAsia="Consolas" w:hAnsi="Consolas"/>
                <w:color w:val="1A2B4A"/>
                <w:sz w:val="18"/>
                <w:szCs w:val="18"/>
              </w:rPr>
              <w:t xml:space="preserve">82</w:t>
            </w:r>
          </w:p>
        </w:tc>
        <w:tc>
          <w:tcPr>
            <w:tcW w:type="dxa" w:w="3360"/>
            <w:tcMar>
              <w:top w:type="dxa" w:w="90"/>
              <w:left w:type="dxa" w:w="140"/>
              <w:bottom w:type="dxa" w:w="90"/>
              <w:right w:type="dxa" w:w="140"/>
            </w:tcMar>
          </w:tcPr>
          <w:p>
            <w:r>
              <w:rPr>
                <w:rFonts w:ascii="Consolas" w:cs="Consolas" w:eastAsia="Consolas" w:hAnsi="Consolas"/>
                <w:color w:val="1A2B4A"/>
                <w:sz w:val="18"/>
                <w:szCs w:val="18"/>
              </w:rPr>
              <w:t xml:space="preserve">9.10%</w:t>
            </w:r>
          </w:p>
        </w:tc>
      </w:tr>
      <w:tr>
        <w:tc>
          <w:tcPr>
            <w:tcW w:type="dxa" w:w="3360"/>
            <w:tcMar>
              <w:top w:type="dxa" w:w="90"/>
              <w:left w:type="dxa" w:w="140"/>
              <w:bottom w:type="dxa" w:w="90"/>
              <w:right w:type="dxa" w:w="140"/>
            </w:tcMar>
          </w:tcPr>
          <w:p>
            <w:r>
              <w:rPr>
                <w:rFonts w:ascii="Consolas" w:cs="Consolas" w:eastAsia="Consolas" w:hAnsi="Consolas"/>
                <w:color w:val="1A2B4A"/>
                <w:sz w:val="18"/>
                <w:szCs w:val="18"/>
              </w:rPr>
              <w:t xml:space="preserve">Warehouse</w:t>
            </w:r>
          </w:p>
        </w:tc>
        <w:tc>
          <w:tcPr>
            <w:tcW w:type="dxa" w:w="3360"/>
            <w:tcMar>
              <w:top w:type="dxa" w:w="90"/>
              <w:left w:type="dxa" w:w="140"/>
              <w:bottom w:type="dxa" w:w="90"/>
              <w:right w:type="dxa" w:w="140"/>
            </w:tcMar>
          </w:tcPr>
          <w:p>
            <w:r>
              <w:rPr>
                <w:rFonts w:ascii="Consolas" w:cs="Consolas" w:eastAsia="Consolas" w:hAnsi="Consolas"/>
                <w:color w:val="1A2B4A"/>
                <w:sz w:val="18"/>
                <w:szCs w:val="18"/>
              </w:rPr>
              <w:t xml:space="preserve">82</w:t>
            </w:r>
          </w:p>
        </w:tc>
        <w:tc>
          <w:tcPr>
            <w:tcW w:type="dxa" w:w="3360"/>
            <w:tcMar>
              <w:top w:type="dxa" w:w="90"/>
              <w:left w:type="dxa" w:w="140"/>
              <w:bottom w:type="dxa" w:w="90"/>
              <w:right w:type="dxa" w:w="140"/>
            </w:tcMar>
          </w:tcPr>
          <w:p>
            <w:r>
              <w:rPr>
                <w:rFonts w:ascii="Consolas" w:cs="Consolas" w:eastAsia="Consolas" w:hAnsi="Consolas"/>
                <w:color w:val="1A2B4A"/>
                <w:sz w:val="18"/>
                <w:szCs w:val="18"/>
              </w:rPr>
              <w:t xml:space="preserve">9.1</w:t>
            </w:r>
          </w:p>
        </w:tc>
      </w:tr>
      <w:tr>
        <w:tc>
          <w:tcPr>
            <w:tcW w:type="dxa" w:w="3360"/>
            <w:shd w:fill="E5F5F3" w:val="clear"/>
            <w:tcMar>
              <w:top w:type="dxa" w:w="90"/>
              <w:left w:type="dxa" w:w="140"/>
              <w:bottom w:type="dxa" w:w="90"/>
              <w:right w:type="dxa" w:w="140"/>
            </w:tcMar>
          </w:tcPr>
          <w:p>
            <w:r>
              <w:rPr>
                <w:rFonts w:ascii="Consolas" w:cs="Consolas" w:eastAsia="Consolas" w:hAnsi="Consolas"/>
                <w:b/>
                <w:bCs/>
                <w:color w:val="1A2B4A"/>
                <w:sz w:val="18"/>
                <w:szCs w:val="18"/>
              </w:rPr>
              <w:t xml:space="preserve">Customer Service</w:t>
            </w:r>
          </w:p>
        </w:tc>
        <w:tc>
          <w:tcPr>
            <w:tcW w:type="dxa" w:w="3360"/>
            <w:shd w:fill="E5F5F3" w:val="clear"/>
            <w:tcMar>
              <w:top w:type="dxa" w:w="90"/>
              <w:left w:type="dxa" w:w="140"/>
              <w:bottom w:type="dxa" w:w="90"/>
              <w:right w:type="dxa" w:w="140"/>
            </w:tcMar>
          </w:tcPr>
          <w:p>
            <w:r>
              <w:rPr>
                <w:rFonts w:ascii="Consolas" w:cs="Consolas" w:eastAsia="Consolas" w:hAnsi="Consolas"/>
                <w:b/>
                <w:bCs/>
                <w:color w:val="1A2B4A"/>
                <w:sz w:val="18"/>
                <w:szCs w:val="18"/>
              </w:rPr>
              <w:t xml:space="preserve">Three Hundred Ten</w:t>
            </w:r>
          </w:p>
        </w:tc>
        <w:tc>
          <w:tcPr>
            <w:tcW w:type="dxa" w:w="3360"/>
            <w:shd w:fill="E5F5F3" w:val="clear"/>
            <w:tcMar>
              <w:top w:type="dxa" w:w="90"/>
              <w:left w:type="dxa" w:w="140"/>
              <w:bottom w:type="dxa" w:w="90"/>
              <w:right w:type="dxa" w:w="140"/>
            </w:tcMar>
          </w:tcPr>
          <w:p>
            <w:r>
              <w:rPr>
                <w:rFonts w:ascii="Consolas" w:cs="Consolas" w:eastAsia="Consolas" w:hAnsi="Consolas"/>
                <w:b/>
                <w:bCs/>
                <w:color w:val="1A2B4A"/>
                <w:sz w:val="18"/>
                <w:szCs w:val="18"/>
              </w:rPr>
              <w:t xml:space="preserve">9.1%</w:t>
            </w:r>
          </w:p>
        </w:tc>
      </w:tr>
      <w:tr>
        <w:tc>
          <w:tcPr>
            <w:tcW w:type="dxa" w:w="3360"/>
            <w:tcMar>
              <w:top w:type="dxa" w:w="90"/>
              <w:left w:type="dxa" w:w="140"/>
              <w:bottom w:type="dxa" w:w="90"/>
              <w:right w:type="dxa" w:w="140"/>
            </w:tcMar>
          </w:tcPr>
          <w:p>
            <w:r>
              <w:rPr>
                <w:rFonts w:ascii="Consolas" w:cs="Consolas" w:eastAsia="Consolas" w:hAnsi="Consolas"/>
                <w:color w:val="1A2B4A"/>
                <w:sz w:val="18"/>
                <w:szCs w:val="18"/>
              </w:rPr>
              <w:t xml:space="preserve">Finance</w:t>
            </w:r>
          </w:p>
        </w:tc>
        <w:tc>
          <w:tcPr>
            <w:tcW w:type="dxa" w:w="3360"/>
            <w:tcMar>
              <w:top w:type="dxa" w:w="90"/>
              <w:left w:type="dxa" w:w="140"/>
              <w:bottom w:type="dxa" w:w="90"/>
              <w:right w:type="dxa" w:w="140"/>
            </w:tcMar>
          </w:tcPr>
          <w:p>
            <w:r>
              <w:rPr>
                <w:rFonts w:ascii="Consolas" w:cs="Consolas" w:eastAsia="Consolas" w:hAnsi="Consolas"/>
                <w:color w:val="1A2B4A"/>
                <w:sz w:val="18"/>
                <w:szCs w:val="18"/>
              </w:rPr>
              <w:t xml:space="preserve">45</w:t>
            </w:r>
          </w:p>
        </w:tc>
        <w:tc>
          <w:tcPr>
            <w:tcW w:type="dxa" w:w="3360"/>
            <w:tcMar>
              <w:top w:type="dxa" w:w="90"/>
              <w:left w:type="dxa" w:w="140"/>
              <w:bottom w:type="dxa" w:w="90"/>
              <w:right w:type="dxa" w:w="140"/>
            </w:tcMar>
          </w:tcPr>
          <w:p>
            <w:r>
              <w:rPr>
                <w:rFonts w:ascii="Consolas" w:cs="Consolas" w:eastAsia="Consolas" w:hAnsi="Consolas"/>
                <w:color w:val="1A2B4A"/>
                <w:sz w:val="18"/>
                <w:szCs w:val="18"/>
              </w:rPr>
              <w:t xml:space="preserve">1.8%</w:t>
            </w:r>
          </w:p>
        </w:tc>
      </w:tr>
    </w:tbl>
    <w:p>
      <w:pPr>
        <w:spacing w:after="120"/>
      </w:pPr>
    </w:p>
    <w:tbl>
      <w:tblPr>
        <w:tblW w:type="dxa" w:w="10080"/>
        <w:tblBorders>
          <w:top w:val="single" w:color="E5F5F3" w:sz="4"/>
          <w:left w:val="single" w:color="0E9E8E" w:sz="24"/>
          <w:bottom w:val="single" w:color="E5F5F3" w:sz="4"/>
          <w:right w:val="single" w:color="E5F5F3" w:sz="4"/>
          <w:insideH w:val="single" w:color="auto" w:sz="4"/>
          <w:insideV w:val="single" w:color="auto" w:sz="4"/>
        </w:tblBorders>
      </w:tblPr>
      <w:tblGrid>
        <w:gridCol w:w="10080"/>
      </w:tblGrid>
      <w:tr>
        <w:tc>
          <w:tcPr>
            <w:tcW w:type="dxa" w:w="10080"/>
            <w:shd w:fill="E5F5F3" w:val="clear"/>
            <w:tcMar>
              <w:top w:type="dxa" w:w="140"/>
              <w:left w:type="dxa" w:w="220"/>
              <w:bottom w:type="dxa" w:w="140"/>
              <w:right w:type="dxa" w:w="220"/>
            </w:tcMar>
          </w:tcPr>
          <w:p>
            <w:pPr>
              <w:spacing w:after="40"/>
            </w:pPr>
            <w:r>
              <w:rPr>
                <w:rFonts w:ascii="Calibri" w:cs="Calibri" w:eastAsia="Calibri" w:hAnsi="Calibri"/>
                <w:b/>
                <w:bCs/>
                <w:color w:val="0E9E8E"/>
                <w:sz w:val="19"/>
                <w:szCs w:val="19"/>
              </w:rPr>
              <w:t xml:space="preserve">CORRECT ANSWER</w:t>
            </w:r>
          </w:p>
          <w:p>
            <w:r>
              <w:rPr>
                <w:rFonts w:ascii="Calibri" w:cs="Calibri" w:eastAsia="Calibri" w:hAnsi="Calibri"/>
                <w:color w:val="1A2B4A"/>
                <w:sz w:val="20"/>
                <w:szCs w:val="20"/>
              </w:rPr>
              <w:t xml:space="preserve">Row 3 — Customer Service. Headcount is entered as the words "Three Hundred Ten" instead of the number 310.</w:t>
            </w:r>
          </w:p>
        </w:tc>
      </w:tr>
    </w:tbl>
    <w:p>
      <w:pPr>
        <w:spacing w:after="160"/>
      </w:pPr>
    </w:p>
    <w:p>
      <w:pPr>
        <w:pStyle w:val="Heading2"/>
        <w:spacing w:after="100" w:before="260"/>
      </w:pPr>
      <w:r>
        <w:rPr>
          <w:rFonts w:ascii="Calibri" w:cs="Calibri" w:eastAsia="Calibri" w:hAnsi="Calibri"/>
          <w:b/>
          <w:bCs/>
          <w:color w:val="1A2B4A"/>
          <w:sz w:val="24"/>
          <w:szCs w:val="24"/>
        </w:rPr>
        <w:t xml:space="preserve">Why this is correct</w:t>
      </w:r>
    </w:p>
    <w:p>
      <w:pPr>
        <w:spacing w:after="120"/>
      </w:pPr>
      <w:r>
        <w:rPr>
          <w:rFonts w:ascii="Calibri" w:cs="Calibri" w:eastAsia="Calibri" w:hAnsi="Calibri"/>
          <w:b w:val="false"/>
          <w:bCs w:val="false"/>
          <w:i w:val="false"/>
          <w:iCs w:val="false"/>
          <w:color w:val="2A2A2A"/>
          <w:sz w:val="21"/>
          <w:szCs w:val="21"/>
        </w:rPr>
        <w:t xml:space="preserve">A number typed as text looks harmless in the cell, but XLOOKUP, IF, SUM, and any arithmetic formula cannot calculate with it. Excel treats "Three Hundred Ten" as a text string, not a value — so any formula referencing that cell will either error out or silently return 0/blank depending on the function. This is the row that would actually break a live dashboard.</w:t>
      </w:r>
    </w:p>
    <w:p>
      <w:pPr>
        <w:pStyle w:val="Heading2"/>
        <w:spacing w:after="100" w:before="260"/>
      </w:pPr>
      <w:r>
        <w:rPr>
          <w:rFonts w:ascii="Calibri" w:cs="Calibri" w:eastAsia="Calibri" w:hAnsi="Calibri"/>
          <w:b/>
          <w:bCs/>
          <w:color w:val="1A2B4A"/>
          <w:sz w:val="24"/>
          <w:szCs w:val="24"/>
        </w:rPr>
        <w:t xml:space="preserve">Why the distractor rows are wrong (but plausible)</w:t>
      </w:r>
    </w:p>
    <w:p>
      <w:pPr>
        <w:spacing w:after="80"/>
        <w:ind w:left="360"/>
      </w:pPr>
      <w:r>
        <w:rPr>
          <w:rFonts w:ascii="Calibri" w:cs="Calibri" w:eastAsia="Calibri" w:hAnsi="Calibri"/>
          <w:b/>
          <w:bCs/>
          <w:color w:val="0E9E8E"/>
          <w:sz w:val="21"/>
          <w:szCs w:val="21"/>
        </w:rPr>
        <w:t xml:space="preserve">▪ </w:t>
      </w:r>
      <w:r>
        <w:rPr>
          <w:rFonts w:ascii="Calibri" w:cs="Calibri" w:eastAsia="Calibri" w:hAnsi="Calibri"/>
          <w:b w:val="false"/>
          <w:bCs w:val="false"/>
          <w:color w:val="2A2A2A"/>
          <w:sz w:val="21"/>
          <w:szCs w:val="21"/>
        </w:rPr>
        <w:t xml:space="preserve">Warehouse rows 1 &amp; 2 (9.10% vs 9.1): This is the deliberate distractor. It looks like a data quality problem because the same department appears twice with inconsistent formatting — one has a % sign, one doesn't. It's messy and should be cleaned up, but Excel can still read both 9.10% and 9.1 as numeric values, so no formula breaks. This tests whether learners can tell the difference between "untidy" and "functionally broken."</w:t>
      </w:r>
    </w:p>
    <w:p>
      <w:pPr>
        <w:spacing w:after="80"/>
        <w:ind w:left="360"/>
      </w:pPr>
      <w:r>
        <w:rPr>
          <w:rFonts w:ascii="Calibri" w:cs="Calibri" w:eastAsia="Calibri" w:hAnsi="Calibri"/>
          <w:b/>
          <w:bCs/>
          <w:color w:val="0E9E8E"/>
          <w:sz w:val="21"/>
          <w:szCs w:val="21"/>
        </w:rPr>
        <w:t xml:space="preserve">▪ </w:t>
      </w:r>
      <w:r>
        <w:rPr>
          <w:rFonts w:ascii="Calibri" w:cs="Calibri" w:eastAsia="Calibri" w:hAnsi="Calibri"/>
          <w:b w:val="false"/>
          <w:bCs w:val="false"/>
          <w:color w:val="2A2A2A"/>
          <w:sz w:val="21"/>
          <w:szCs w:val="21"/>
        </w:rPr>
        <w:t xml:space="preserve">Finance row: Clean data, included as a neutral control — no issue at all.</w:t>
      </w:r>
    </w:p>
    <w:p>
      <w:pPr>
        <w:pStyle w:val="Heading2"/>
        <w:spacing w:after="100" w:before="260"/>
      </w:pPr>
      <w:r>
        <w:rPr>
          <w:rFonts w:ascii="Calibri" w:cs="Calibri" w:eastAsia="Calibri" w:hAnsi="Calibri"/>
          <w:b/>
          <w:bCs/>
          <w:color w:val="1A2B4A"/>
          <w:sz w:val="24"/>
          <w:szCs w:val="24"/>
        </w:rPr>
        <w:t xml:space="preserve">Facilitation notes</w:t>
      </w:r>
    </w:p>
    <w:p>
      <w:pPr>
        <w:spacing w:after="80"/>
        <w:ind w:left="360"/>
      </w:pPr>
      <w:r>
        <w:rPr>
          <w:rFonts w:ascii="Calibri" w:cs="Calibri" w:eastAsia="Calibri" w:hAnsi="Calibri"/>
          <w:b/>
          <w:bCs/>
          <w:color w:val="0E9E8E"/>
          <w:sz w:val="21"/>
          <w:szCs w:val="21"/>
        </w:rPr>
        <w:t xml:space="preserve">▪ </w:t>
      </w:r>
      <w:r>
        <w:rPr>
          <w:rFonts w:ascii="Calibri" w:cs="Calibri" w:eastAsia="Calibri" w:hAnsi="Calibri"/>
          <w:b w:val="false"/>
          <w:bCs w:val="false"/>
          <w:color w:val="2A2A2A"/>
          <w:sz w:val="21"/>
          <w:szCs w:val="21"/>
        </w:rPr>
        <w:t xml:space="preserve">If a learner picks the Warehouse duplicate: acknowledge that it is genuinely messy data and worth fixing, but redirect to the test the simulation is really asking — "would a formula referencing this cell actually fail?"</w:t>
      </w:r>
    </w:p>
    <w:p>
      <w:pPr>
        <w:spacing w:after="80"/>
        <w:ind w:left="360"/>
      </w:pPr>
      <w:r>
        <w:rPr>
          <w:rFonts w:ascii="Calibri" w:cs="Calibri" w:eastAsia="Calibri" w:hAnsi="Calibri"/>
          <w:b/>
          <w:bCs/>
          <w:color w:val="0E9E8E"/>
          <w:sz w:val="21"/>
          <w:szCs w:val="21"/>
        </w:rPr>
        <w:t xml:space="preserve">▪ </w:t>
      </w:r>
      <w:r>
        <w:rPr>
          <w:rFonts w:ascii="Calibri" w:cs="Calibri" w:eastAsia="Calibri" w:hAnsi="Calibri"/>
          <w:b w:val="false"/>
          <w:bCs w:val="false"/>
          <w:color w:val="2A2A2A"/>
          <w:sz w:val="21"/>
          <w:szCs w:val="21"/>
        </w:rPr>
        <w:t xml:space="preserve">Bridge line for debrief: "Data cleaning isn't about tidiness for its own sake — it's about protecting every formula downstream from silently breaking."</w:t>
      </w:r>
    </w:p>
    <w:p>
      <w:pPr>
        <w:pStyle w:val="Heading1"/>
        <w:pBdr>
          <w:bottom w:val="single" w:color="0E9E8E" w:sz="8" w:space="4"/>
        </w:pBdr>
        <w:spacing w:after="140" w:before="320"/>
      </w:pPr>
      <w:r>
        <w:rPr>
          <w:rFonts w:ascii="Calibri" w:cs="Calibri" w:eastAsia="Calibri" w:hAnsi="Calibri"/>
          <w:b/>
          <w:bCs/>
          <w:color w:val="1A2B4A"/>
          <w:sz w:val="30"/>
          <w:szCs w:val="30"/>
        </w:rPr>
        <w:t xml:space="preserve">3. Round 2 — XLOOKUP</w:t>
      </w:r>
    </w:p>
    <w:p>
      <w:pPr>
        <w:spacing w:after="60" w:before="180"/>
      </w:pPr>
      <w:r>
        <w:rPr>
          <w:rFonts w:ascii="Calibri" w:cs="Calibri" w:eastAsia="Calibri" w:hAnsi="Calibri"/>
          <w:b/>
          <w:bCs/>
          <w:color w:val="0E9E8E"/>
          <w:sz w:val="20"/>
          <w:szCs w:val="20"/>
        </w:rPr>
        <w:t xml:space="preserve">Topic 2 · "Find the Right Data"</w:t>
      </w:r>
    </w:p>
    <w:p>
      <w:pPr>
        <w:spacing w:after="120"/>
      </w:pPr>
      <w:r>
        <w:rPr>
          <w:rFonts w:ascii="Calibri" w:cs="Calibri" w:eastAsia="Calibri" w:hAnsi="Calibri"/>
          <w:b w:val="false"/>
          <w:bCs w:val="false"/>
          <w:i/>
          <w:iCs/>
          <w:color w:val="2A2A2A"/>
          <w:sz w:val="21"/>
          <w:szCs w:val="21"/>
        </w:rPr>
        <w:t xml:space="preserve">Learner-facing brief: An XLOOKUP formula was written to pull the Warehouse Emiratisation target from the lookup table below. The formula returned #N/A. Why?</w:t>
      </w:r>
    </w:p>
    <w:p>
      <w:pPr>
        <w:pStyle w:val="Heading2"/>
        <w:spacing w:after="100" w:before="260"/>
      </w:pPr>
      <w:r>
        <w:rPr>
          <w:rFonts w:ascii="Calibri" w:cs="Calibri" w:eastAsia="Calibri" w:hAnsi="Calibri"/>
          <w:b/>
          <w:bCs/>
          <w:color w:val="1A2B4A"/>
          <w:sz w:val="24"/>
          <w:szCs w:val="24"/>
        </w:rPr>
        <w:t xml:space="preserve">Lookup table shown to the learner</w:t>
      </w:r>
    </w:p>
    <w:tbl>
      <w:tblPr>
        <w:tblW w:type="dxa" w:w="10080"/>
        <w:tblBorders>
          <w:top w:val="single" w:color="D8DCE4" w:sz="4"/>
          <w:left w:val="single" w:color="D8DCE4" w:sz="4"/>
          <w:bottom w:val="single" w:color="D8DCE4" w:sz="4"/>
          <w:right w:val="single" w:color="D8DCE4" w:sz="4"/>
          <w:insideH w:val="single" w:color="D8DCE4" w:sz="4"/>
          <w:insideV w:val="single" w:color="D8DCE4" w:sz="4"/>
        </w:tblBorders>
      </w:tblPr>
      <w:tblGrid>
        <w:gridCol w:w="5040"/>
        <w:gridCol w:w="5040"/>
      </w:tblGrid>
      <w:tr>
        <w:trPr>
          <w:tblHeader/>
        </w:trPr>
        <w:tc>
          <w:tcPr>
            <w:tcW w:type="dxa" w:w="5040"/>
            <w:shd w:fill="1A2B4A" w:val="clear"/>
            <w:tcMar>
              <w:top w:type="dxa" w:w="100"/>
              <w:left w:type="dxa" w:w="140"/>
              <w:bottom w:type="dxa" w:w="100"/>
              <w:right w:type="dxa" w:w="140"/>
            </w:tcMar>
          </w:tcPr>
          <w:p>
            <w:r>
              <w:rPr>
                <w:rFonts w:ascii="Consolas" w:cs="Consolas" w:eastAsia="Consolas" w:hAnsi="Consolas"/>
                <w:b/>
                <w:bCs/>
                <w:color w:val="FFFFFF"/>
                <w:sz w:val="18"/>
                <w:szCs w:val="18"/>
              </w:rPr>
              <w:t xml:space="preserve">A · DEPARTMENT</w:t>
            </w:r>
          </w:p>
        </w:tc>
        <w:tc>
          <w:tcPr>
            <w:tcW w:type="dxa" w:w="5040"/>
            <w:shd w:fill="1A2B4A" w:val="clear"/>
            <w:tcMar>
              <w:top w:type="dxa" w:w="100"/>
              <w:left w:type="dxa" w:w="140"/>
              <w:bottom w:type="dxa" w:w="100"/>
              <w:right w:type="dxa" w:w="140"/>
            </w:tcMar>
          </w:tcPr>
          <w:p>
            <w:r>
              <w:rPr>
                <w:rFonts w:ascii="Consolas" w:cs="Consolas" w:eastAsia="Consolas" w:hAnsi="Consolas"/>
                <w:b/>
                <w:bCs/>
                <w:color w:val="FFFFFF"/>
                <w:sz w:val="18"/>
                <w:szCs w:val="18"/>
              </w:rPr>
              <w:t xml:space="preserve">B · EMIRATISATION TARGET</w:t>
            </w:r>
          </w:p>
        </w:tc>
      </w:tr>
      <w:tr>
        <w:tc>
          <w:tcPr>
            <w:tcW w:type="dxa" w:w="5040"/>
            <w:shd w:fill="FDEAE3" w:val="clear"/>
            <w:tcMar>
              <w:top w:type="dxa" w:w="90"/>
              <w:left w:type="dxa" w:w="140"/>
              <w:bottom w:type="dxa" w:w="90"/>
              <w:right w:type="dxa" w:w="140"/>
            </w:tcMar>
          </w:tcPr>
          <w:p>
            <w:r>
              <w:rPr>
                <w:rFonts w:ascii="Consolas" w:cs="Consolas" w:eastAsia="Consolas" w:hAnsi="Consolas"/>
                <w:b/>
                <w:bCs/>
                <w:color w:val="F2541D"/>
                <w:sz w:val="18"/>
                <w:szCs w:val="18"/>
              </w:rPr>
              <w:t xml:space="preserve">Warehose</w:t>
            </w:r>
          </w:p>
        </w:tc>
        <w:tc>
          <w:tcPr>
            <w:tcW w:type="dxa" w:w="5040"/>
            <w:shd w:fill="FDEAE3" w:val="clear"/>
            <w:tcMar>
              <w:top w:type="dxa" w:w="90"/>
              <w:left w:type="dxa" w:w="140"/>
              <w:bottom w:type="dxa" w:w="90"/>
              <w:right w:type="dxa" w:w="140"/>
            </w:tcMar>
          </w:tcPr>
          <w:p>
            <w:r>
              <w:rPr>
                <w:rFonts w:ascii="Consolas" w:cs="Consolas" w:eastAsia="Consolas" w:hAnsi="Consolas"/>
                <w:b/>
                <w:bCs/>
                <w:color w:val="F2541D"/>
                <w:sz w:val="18"/>
                <w:szCs w:val="18"/>
              </w:rPr>
              <w:t xml:space="preserve">22%</w:t>
            </w:r>
          </w:p>
        </w:tc>
      </w:tr>
      <w:tr>
        <w:tc>
          <w:tcPr>
            <w:tcW w:type="dxa" w:w="5040"/>
            <w:tcMar>
              <w:top w:type="dxa" w:w="90"/>
              <w:left w:type="dxa" w:w="140"/>
              <w:bottom w:type="dxa" w:w="90"/>
              <w:right w:type="dxa" w:w="140"/>
            </w:tcMar>
          </w:tcPr>
          <w:p>
            <w:r>
              <w:rPr>
                <w:rFonts w:ascii="Consolas" w:cs="Consolas" w:eastAsia="Consolas" w:hAnsi="Consolas"/>
                <w:color w:val="1A2B4A"/>
                <w:sz w:val="18"/>
                <w:szCs w:val="18"/>
              </w:rPr>
              <w:t xml:space="preserve">Customer Service</w:t>
            </w:r>
          </w:p>
        </w:tc>
        <w:tc>
          <w:tcPr>
            <w:tcW w:type="dxa" w:w="5040"/>
            <w:tcMar>
              <w:top w:type="dxa" w:w="90"/>
              <w:left w:type="dxa" w:w="140"/>
              <w:bottom w:type="dxa" w:w="90"/>
              <w:right w:type="dxa" w:w="140"/>
            </w:tcMar>
          </w:tcPr>
          <w:p>
            <w:r>
              <w:rPr>
                <w:rFonts w:ascii="Consolas" w:cs="Consolas" w:eastAsia="Consolas" w:hAnsi="Consolas"/>
                <w:color w:val="1A2B4A"/>
                <w:sz w:val="18"/>
                <w:szCs w:val="18"/>
              </w:rPr>
              <w:t xml:space="preserve">25%</w:t>
            </w:r>
          </w:p>
        </w:tc>
      </w:tr>
      <w:tr>
        <w:tc>
          <w:tcPr>
            <w:tcW w:type="dxa" w:w="5040"/>
            <w:tcMar>
              <w:top w:type="dxa" w:w="90"/>
              <w:left w:type="dxa" w:w="140"/>
              <w:bottom w:type="dxa" w:w="90"/>
              <w:right w:type="dxa" w:w="140"/>
            </w:tcMar>
          </w:tcPr>
          <w:p>
            <w:r>
              <w:rPr>
                <w:rFonts w:ascii="Consolas" w:cs="Consolas" w:eastAsia="Consolas" w:hAnsi="Consolas"/>
                <w:color w:val="1A2B4A"/>
                <w:sz w:val="18"/>
                <w:szCs w:val="18"/>
              </w:rPr>
              <w:t xml:space="preserve">Operations</w:t>
            </w:r>
          </w:p>
        </w:tc>
        <w:tc>
          <w:tcPr>
            <w:tcW w:type="dxa" w:w="5040"/>
            <w:tcMar>
              <w:top w:type="dxa" w:w="90"/>
              <w:left w:type="dxa" w:w="140"/>
              <w:bottom w:type="dxa" w:w="90"/>
              <w:right w:type="dxa" w:w="140"/>
            </w:tcMar>
          </w:tcPr>
          <w:p>
            <w:r>
              <w:rPr>
                <w:rFonts w:ascii="Consolas" w:cs="Consolas" w:eastAsia="Consolas" w:hAnsi="Consolas"/>
                <w:color w:val="1A2B4A"/>
                <w:sz w:val="18"/>
                <w:szCs w:val="18"/>
              </w:rPr>
              <w:t xml:space="preserve">20%</w:t>
            </w:r>
          </w:p>
        </w:tc>
      </w:tr>
      <w:tr>
        <w:tc>
          <w:tcPr>
            <w:tcW w:type="dxa" w:w="5040"/>
            <w:tcMar>
              <w:top w:type="dxa" w:w="90"/>
              <w:left w:type="dxa" w:w="140"/>
              <w:bottom w:type="dxa" w:w="90"/>
              <w:right w:type="dxa" w:w="140"/>
            </w:tcMar>
          </w:tcPr>
          <w:p>
            <w:r>
              <w:rPr>
                <w:rFonts w:ascii="Consolas" w:cs="Consolas" w:eastAsia="Consolas" w:hAnsi="Consolas"/>
                <w:color w:val="1A2B4A"/>
                <w:sz w:val="18"/>
                <w:szCs w:val="18"/>
              </w:rPr>
              <w:t xml:space="preserve">Finance</w:t>
            </w:r>
          </w:p>
        </w:tc>
        <w:tc>
          <w:tcPr>
            <w:tcW w:type="dxa" w:w="5040"/>
            <w:tcMar>
              <w:top w:type="dxa" w:w="90"/>
              <w:left w:type="dxa" w:w="140"/>
              <w:bottom w:type="dxa" w:w="90"/>
              <w:right w:type="dxa" w:w="140"/>
            </w:tcMar>
          </w:tcPr>
          <w:p>
            <w:r>
              <w:rPr>
                <w:rFonts w:ascii="Consolas" w:cs="Consolas" w:eastAsia="Consolas" w:hAnsi="Consolas"/>
                <w:color w:val="1A2B4A"/>
                <w:sz w:val="18"/>
                <w:szCs w:val="18"/>
              </w:rPr>
              <w:t xml:space="preserve">30%</w:t>
            </w:r>
          </w:p>
        </w:tc>
      </w:tr>
    </w:tbl>
    <w:p>
      <w:pPr>
        <w:spacing w:after="100"/>
      </w:pPr>
    </w:p>
    <w:p>
      <w:pPr>
        <w:spacing w:after="160"/>
      </w:pPr>
      <w:r>
        <w:rPr>
          <w:rFonts w:ascii="Calibri" w:cs="Calibri" w:eastAsia="Calibri" w:hAnsi="Calibri"/>
          <w:b/>
          <w:bCs/>
          <w:color w:val="1A2B4A"/>
          <w:sz w:val="21"/>
          <w:szCs w:val="21"/>
        </w:rPr>
        <w:t xml:space="preserve">Formula:  </w:t>
      </w:r>
      <w:r>
        <w:rPr>
          <w:rFonts w:ascii="Consolas" w:cs="Consolas" w:eastAsia="Consolas" w:hAnsi="Consolas"/>
          <w:b w:val="false"/>
          <w:bCs w:val="false"/>
          <w:color w:val="1A2B4A"/>
          <w:sz w:val="21"/>
          <w:szCs w:val="21"/>
        </w:rPr>
        <w:t xml:space="preserve">=XLOOKUP("Warehouse", A2:A5, B2:B5)</w:t>
      </w:r>
      <w:r>
        <w:rPr>
          <w:rFonts w:ascii="Calibri" w:cs="Calibri" w:eastAsia="Calibri" w:hAnsi="Calibri"/>
          <w:b/>
          <w:bCs/>
          <w:color w:val="1A2B4A"/>
          <w:sz w:val="21"/>
          <w:szCs w:val="21"/>
        </w:rPr>
        <w:t xml:space="preserve">   →   Result:  </w:t>
      </w:r>
      <w:r>
        <w:rPr>
          <w:rFonts w:ascii="Consolas" w:cs="Consolas" w:eastAsia="Consolas" w:hAnsi="Consolas"/>
          <w:b/>
          <w:bCs/>
          <w:color w:val="F2541D"/>
          <w:sz w:val="21"/>
          <w:szCs w:val="21"/>
        </w:rPr>
        <w:t xml:space="preserve">#N/A</w:t>
      </w:r>
    </w:p>
    <w:p>
      <w:pPr>
        <w:pStyle w:val="Heading2"/>
        <w:spacing w:after="100" w:before="260"/>
      </w:pPr>
      <w:r>
        <w:rPr>
          <w:rFonts w:ascii="Calibri" w:cs="Calibri" w:eastAsia="Calibri" w:hAnsi="Calibri"/>
          <w:b/>
          <w:bCs/>
          <w:color w:val="1A2B4A"/>
          <w:sz w:val="24"/>
          <w:szCs w:val="24"/>
        </w:rPr>
        <w:t xml:space="preserve">Answer options shown to the learner</w:t>
      </w:r>
    </w:p>
    <w:tbl>
      <w:tblPr>
        <w:tblW w:type="dxa" w:w="10080"/>
        <w:tblBorders>
          <w:top w:val="single" w:color="D8DCE4" w:sz="4"/>
          <w:left w:val="single" w:color="D8DCE4" w:sz="4"/>
          <w:bottom w:val="single" w:color="D8DCE4" w:sz="4"/>
          <w:right w:val="single" w:color="D8DCE4" w:sz="4"/>
          <w:insideH w:val="single" w:color="D8DCE4" w:sz="4"/>
          <w:insideV w:val="single" w:color="D8DCE4" w:sz="4"/>
        </w:tblBorders>
      </w:tblPr>
      <w:tblGrid>
        <w:gridCol w:w="700"/>
        <w:gridCol w:w="7980"/>
        <w:gridCol w:w="1400"/>
      </w:tblGrid>
      <w:tr>
        <w:tc>
          <w:tcPr>
            <w:tcW w:type="dxa" w:w="700"/>
            <w:shd w:fill="1A2B4A" w:val="clear"/>
            <w:tcMar>
              <w:top w:type="dxa" w:w="90"/>
              <w:left w:type="dxa" w:w="100"/>
              <w:bottom w:type="dxa" w:w="90"/>
              <w:right w:type="dxa" w:w="100"/>
            </w:tcMar>
          </w:tcPr>
          <w:p>
            <w:pPr>
              <w:jc w:val="center"/>
            </w:pPr>
            <w:r>
              <w:rPr>
                <w:rFonts w:ascii="Calibri" w:cs="Calibri" w:eastAsia="Calibri" w:hAnsi="Calibri"/>
                <w:b/>
                <w:bCs/>
                <w:color w:val="FFFFFF"/>
                <w:sz w:val="19"/>
                <w:szCs w:val="19"/>
              </w:rPr>
              <w:t xml:space="preserve">A</w:t>
            </w:r>
          </w:p>
        </w:tc>
        <w:tc>
          <w:tcPr>
            <w:tcW w:type="dxa" w:w="7980"/>
            <w:tcMar>
              <w:top w:type="dxa" w:w="90"/>
              <w:left w:type="dxa" w:w="140"/>
              <w:bottom w:type="dxa" w:w="90"/>
              <w:right w:type="dxa" w:w="140"/>
            </w:tcMar>
          </w:tcPr>
          <w:p>
            <w:r>
              <w:rPr>
                <w:rFonts w:ascii="Calibri" w:cs="Calibri" w:eastAsia="Calibri" w:hAnsi="Calibri"/>
                <w:color w:val="1A2B4A"/>
                <w:sz w:val="19"/>
                <w:szCs w:val="19"/>
              </w:rPr>
              <w:t xml:space="preserve">It's pulling from the wrong column</w:t>
            </w:r>
          </w:p>
        </w:tc>
        <w:tc>
          <w:tcPr>
            <w:tcW w:type="dxa" w:w="1400"/>
            <w:tcMar>
              <w:top w:type="dxa" w:w="90"/>
              <w:left w:type="dxa" w:w="100"/>
              <w:bottom w:type="dxa" w:w="90"/>
              <w:right w:type="dxa" w:w="100"/>
            </w:tcMar>
          </w:tcPr>
          <w:p>
            <w:pPr>
              <w:jc w:val="center"/>
            </w:pPr>
            <w:r>
              <w:rPr>
                <w:rFonts w:ascii="Calibri" w:cs="Calibri" w:eastAsia="Calibri" w:hAnsi="Calibri"/>
                <w:b/>
                <w:bCs/>
                <w:color w:val="0E9E8E"/>
                <w:sz w:val="17"/>
                <w:szCs w:val="17"/>
              </w:rPr>
              <w:t xml:space="preserve"/>
            </w:r>
          </w:p>
        </w:tc>
      </w:tr>
      <w:tr>
        <w:tc>
          <w:tcPr>
            <w:tcW w:type="dxa" w:w="700"/>
            <w:shd w:fill="0E9E8E" w:val="clear"/>
            <w:tcMar>
              <w:top w:type="dxa" w:w="90"/>
              <w:left w:type="dxa" w:w="100"/>
              <w:bottom w:type="dxa" w:w="90"/>
              <w:right w:type="dxa" w:w="100"/>
            </w:tcMar>
          </w:tcPr>
          <w:p>
            <w:pPr>
              <w:jc w:val="center"/>
            </w:pPr>
            <w:r>
              <w:rPr>
                <w:rFonts w:ascii="Calibri" w:cs="Calibri" w:eastAsia="Calibri" w:hAnsi="Calibri"/>
                <w:b/>
                <w:bCs/>
                <w:color w:val="FFFFFF"/>
                <w:sz w:val="19"/>
                <w:szCs w:val="19"/>
              </w:rPr>
              <w:t xml:space="preserve">B</w:t>
            </w:r>
          </w:p>
        </w:tc>
        <w:tc>
          <w:tcPr>
            <w:tcW w:type="dxa" w:w="7980"/>
            <w:shd w:fill="E5F5F3" w:val="clear"/>
            <w:tcMar>
              <w:top w:type="dxa" w:w="90"/>
              <w:left w:type="dxa" w:w="140"/>
              <w:bottom w:type="dxa" w:w="90"/>
              <w:right w:type="dxa" w:w="140"/>
            </w:tcMar>
          </w:tcPr>
          <w:p>
            <w:r>
              <w:rPr>
                <w:rFonts w:ascii="Calibri" w:cs="Calibri" w:eastAsia="Calibri" w:hAnsi="Calibri"/>
                <w:color w:val="1A2B4A"/>
                <w:sz w:val="19"/>
                <w:szCs w:val="19"/>
              </w:rPr>
              <w:t xml:space="preserve">The department name has a typo in the lookup table</w:t>
            </w:r>
          </w:p>
        </w:tc>
        <w:tc>
          <w:tcPr>
            <w:tcW w:type="dxa" w:w="1400"/>
            <w:shd w:fill="E5F5F3" w:val="clear"/>
            <w:tcMar>
              <w:top w:type="dxa" w:w="90"/>
              <w:left w:type="dxa" w:w="100"/>
              <w:bottom w:type="dxa" w:w="90"/>
              <w:right w:type="dxa" w:w="100"/>
            </w:tcMar>
          </w:tcPr>
          <w:p>
            <w:pPr>
              <w:jc w:val="center"/>
            </w:pPr>
            <w:r>
              <w:rPr>
                <w:rFonts w:ascii="Calibri" w:cs="Calibri" w:eastAsia="Calibri" w:hAnsi="Calibri"/>
                <w:b/>
                <w:bCs/>
                <w:color w:val="0E9E8E"/>
                <w:sz w:val="17"/>
                <w:szCs w:val="17"/>
              </w:rPr>
              <w:t xml:space="preserve">✓ CORRECT</w:t>
            </w:r>
          </w:p>
        </w:tc>
      </w:tr>
      <w:tr>
        <w:tc>
          <w:tcPr>
            <w:tcW w:type="dxa" w:w="700"/>
            <w:shd w:fill="1A2B4A" w:val="clear"/>
            <w:tcMar>
              <w:top w:type="dxa" w:w="90"/>
              <w:left w:type="dxa" w:w="100"/>
              <w:bottom w:type="dxa" w:w="90"/>
              <w:right w:type="dxa" w:w="100"/>
            </w:tcMar>
          </w:tcPr>
          <w:p>
            <w:pPr>
              <w:jc w:val="center"/>
            </w:pPr>
            <w:r>
              <w:rPr>
                <w:rFonts w:ascii="Calibri" w:cs="Calibri" w:eastAsia="Calibri" w:hAnsi="Calibri"/>
                <w:b/>
                <w:bCs/>
                <w:color w:val="FFFFFF"/>
                <w:sz w:val="19"/>
                <w:szCs w:val="19"/>
              </w:rPr>
              <w:t xml:space="preserve">C</w:t>
            </w:r>
          </w:p>
        </w:tc>
        <w:tc>
          <w:tcPr>
            <w:tcW w:type="dxa" w:w="7980"/>
            <w:tcMar>
              <w:top w:type="dxa" w:w="90"/>
              <w:left w:type="dxa" w:w="140"/>
              <w:bottom w:type="dxa" w:w="90"/>
              <w:right w:type="dxa" w:w="140"/>
            </w:tcMar>
          </w:tcPr>
          <w:p>
            <w:r>
              <w:rPr>
                <w:rFonts w:ascii="Calibri" w:cs="Calibri" w:eastAsia="Calibri" w:hAnsi="Calibri"/>
                <w:color w:val="1A2B4A"/>
                <w:sz w:val="19"/>
                <w:szCs w:val="19"/>
              </w:rPr>
              <w:t xml:space="preserve">XLOOKUP is the wrong function to use here</w:t>
            </w:r>
          </w:p>
        </w:tc>
        <w:tc>
          <w:tcPr>
            <w:tcW w:type="dxa" w:w="1400"/>
            <w:tcMar>
              <w:top w:type="dxa" w:w="90"/>
              <w:left w:type="dxa" w:w="100"/>
              <w:bottom w:type="dxa" w:w="90"/>
              <w:right w:type="dxa" w:w="100"/>
            </w:tcMar>
          </w:tcPr>
          <w:p>
            <w:pPr>
              <w:jc w:val="center"/>
            </w:pPr>
            <w:r>
              <w:rPr>
                <w:rFonts w:ascii="Calibri" w:cs="Calibri" w:eastAsia="Calibri" w:hAnsi="Calibri"/>
                <w:b/>
                <w:bCs/>
                <w:color w:val="0E9E8E"/>
                <w:sz w:val="17"/>
                <w:szCs w:val="17"/>
              </w:rPr>
              <w:t xml:space="preserve"/>
            </w:r>
          </w:p>
        </w:tc>
      </w:tr>
    </w:tbl>
    <w:p>
      <w:pPr>
        <w:spacing w:after="160"/>
      </w:pPr>
    </w:p>
    <w:p>
      <w:pPr>
        <w:pStyle w:val="Heading2"/>
        <w:spacing w:after="100" w:before="260"/>
      </w:pPr>
      <w:r>
        <w:rPr>
          <w:rFonts w:ascii="Calibri" w:cs="Calibri" w:eastAsia="Calibri" w:hAnsi="Calibri"/>
          <w:b/>
          <w:bCs/>
          <w:color w:val="1A2B4A"/>
          <w:sz w:val="24"/>
          <w:szCs w:val="24"/>
        </w:rPr>
        <w:t xml:space="preserve">Why B is correct</w:t>
      </w:r>
    </w:p>
    <w:p>
      <w:pPr>
        <w:spacing w:after="120"/>
      </w:pPr>
      <w:r>
        <w:rPr>
          <w:rFonts w:ascii="Calibri" w:cs="Calibri" w:eastAsia="Calibri" w:hAnsi="Calibri"/>
          <w:b w:val="false"/>
          <w:bCs w:val="false"/>
          <w:i w:val="false"/>
          <w:iCs w:val="false"/>
          <w:color w:val="2A2A2A"/>
          <w:sz w:val="21"/>
          <w:szCs w:val="21"/>
        </w:rPr>
        <w:t xml:space="preserve">XLOOKUP matches text exactly, character for character. The lookup table stores the department as "Warehose" (missing the second "u"), while the formula searches for "Warehouse". These are two different strings to Excel — there is no partial-match tolerance by default — so XLOOKUP has nothing to match and returns #N/A.</w:t>
      </w:r>
    </w:p>
    <w:p>
      <w:pPr>
        <w:pStyle w:val="Heading2"/>
        <w:spacing w:after="100" w:before="260"/>
      </w:pPr>
      <w:r>
        <w:rPr>
          <w:rFonts w:ascii="Calibri" w:cs="Calibri" w:eastAsia="Calibri" w:hAnsi="Calibri"/>
          <w:b/>
          <w:bCs/>
          <w:color w:val="1A2B4A"/>
          <w:sz w:val="24"/>
          <w:szCs w:val="24"/>
        </w:rPr>
        <w:t xml:space="preserve">Why the distractors are wrong (but plausible)</w:t>
      </w:r>
    </w:p>
    <w:p>
      <w:pPr>
        <w:spacing w:after="80"/>
        <w:ind w:left="360"/>
      </w:pPr>
      <w:r>
        <w:rPr>
          <w:rFonts w:ascii="Calibri" w:cs="Calibri" w:eastAsia="Calibri" w:hAnsi="Calibri"/>
          <w:b/>
          <w:bCs/>
          <w:color w:val="0E9E8E"/>
          <w:sz w:val="21"/>
          <w:szCs w:val="21"/>
        </w:rPr>
        <w:t xml:space="preserve">▪ </w:t>
      </w:r>
      <w:r>
        <w:rPr>
          <w:rFonts w:ascii="Calibri" w:cs="Calibri" w:eastAsia="Calibri" w:hAnsi="Calibri"/>
          <w:b w:val="false"/>
          <w:bCs w:val="false"/>
          <w:color w:val="2A2A2A"/>
          <w:sz w:val="21"/>
          <w:szCs w:val="21"/>
        </w:rPr>
        <w:t xml:space="preserve">Option A (wrong column): #N/A intuitively feels like a "pointing at the wrong place" error to beginners. But the column reference (B2:B5) is correct — it does point at the target column. This distractor tests whether learners default to a structural explanation before checking the data itself.</w:t>
      </w:r>
    </w:p>
    <w:p>
      <w:pPr>
        <w:spacing w:after="80"/>
        <w:ind w:left="360"/>
      </w:pPr>
      <w:r>
        <w:rPr>
          <w:rFonts w:ascii="Calibri" w:cs="Calibri" w:eastAsia="Calibri" w:hAnsi="Calibri"/>
          <w:b/>
          <w:bCs/>
          <w:color w:val="0E9E8E"/>
          <w:sz w:val="21"/>
          <w:szCs w:val="21"/>
        </w:rPr>
        <w:t xml:space="preserve">▪ </w:t>
      </w:r>
      <w:r>
        <w:rPr>
          <w:rFonts w:ascii="Calibri" w:cs="Calibri" w:eastAsia="Calibri" w:hAnsi="Calibri"/>
          <w:b w:val="false"/>
          <w:bCs w:val="false"/>
          <w:color w:val="2A2A2A"/>
          <w:sz w:val="21"/>
          <w:szCs w:val="21"/>
        </w:rPr>
        <w:t xml:space="preserve">Option C (wrong function): XLOOKUP is the right tool for a one-to-one exact lookup like this. The function choice isn't the problem — the data inside the table is.</w:t>
      </w:r>
    </w:p>
    <w:p>
      <w:pPr>
        <w:pStyle w:val="Heading2"/>
        <w:spacing w:after="100" w:before="260"/>
      </w:pPr>
      <w:r>
        <w:rPr>
          <w:rFonts w:ascii="Calibri" w:cs="Calibri" w:eastAsia="Calibri" w:hAnsi="Calibri"/>
          <w:b/>
          <w:bCs/>
          <w:color w:val="1A2B4A"/>
          <w:sz w:val="24"/>
          <w:szCs w:val="24"/>
        </w:rPr>
        <w:t xml:space="preserve">Facilitation notes</w:t>
      </w:r>
    </w:p>
    <w:p>
      <w:pPr>
        <w:spacing w:after="80"/>
        <w:ind w:left="360"/>
      </w:pPr>
      <w:r>
        <w:rPr>
          <w:rFonts w:ascii="Calibri" w:cs="Calibri" w:eastAsia="Calibri" w:hAnsi="Calibri"/>
          <w:b/>
          <w:bCs/>
          <w:color w:val="0E9E8E"/>
          <w:sz w:val="21"/>
          <w:szCs w:val="21"/>
        </w:rPr>
        <w:t xml:space="preserve">▪ </w:t>
      </w:r>
      <w:r>
        <w:rPr>
          <w:rFonts w:ascii="Calibri" w:cs="Calibri" w:eastAsia="Calibri" w:hAnsi="Calibri"/>
          <w:b w:val="false"/>
          <w:bCs w:val="false"/>
          <w:color w:val="2A2A2A"/>
          <w:sz w:val="21"/>
          <w:szCs w:val="21"/>
        </w:rPr>
        <w:t xml:space="preserve">Use this round to reinforce that #N/A is Excel's honest answer, not a bug — it means "I looked everywhere you told me to and found no exact match."</w:t>
      </w:r>
    </w:p>
    <w:p>
      <w:pPr>
        <w:spacing w:after="80"/>
        <w:ind w:left="360"/>
      </w:pPr>
      <w:r>
        <w:rPr>
          <w:rFonts w:ascii="Calibri" w:cs="Calibri" w:eastAsia="Calibri" w:hAnsi="Calibri"/>
          <w:b/>
          <w:bCs/>
          <w:color w:val="0E9E8E"/>
          <w:sz w:val="21"/>
          <w:szCs w:val="21"/>
        </w:rPr>
        <w:t xml:space="preserve">▪ </w:t>
      </w:r>
      <w:r>
        <w:rPr>
          <w:rFonts w:ascii="Calibri" w:cs="Calibri" w:eastAsia="Calibri" w:hAnsi="Calibri"/>
          <w:b w:val="false"/>
          <w:bCs w:val="false"/>
          <w:color w:val="2A2A2A"/>
          <w:sz w:val="21"/>
          <w:szCs w:val="21"/>
        </w:rPr>
        <w:t xml:space="preserve">Good extension question for faster finishers: "What would you add to this formula to catch typos like this automatically?" (leads naturally into wildcard matching or data validation on the source table, both worth flagging as beyond today's scope.)</w:t>
      </w:r>
    </w:p>
    <w:p>
      <w:pPr>
        <w:pStyle w:val="Heading1"/>
        <w:pBdr>
          <w:bottom w:val="single" w:color="0E9E8E" w:sz="8" w:space="4"/>
        </w:pBdr>
        <w:spacing w:after="140" w:before="320"/>
      </w:pPr>
      <w:r>
        <w:rPr>
          <w:rFonts w:ascii="Calibri" w:cs="Calibri" w:eastAsia="Calibri" w:hAnsi="Calibri"/>
          <w:b/>
          <w:bCs/>
          <w:color w:val="1A2B4A"/>
          <w:sz w:val="30"/>
          <w:szCs w:val="30"/>
        </w:rPr>
        <w:t xml:space="preserve">4. Round 3 — PivotTable &amp; Conditional Formatting</w:t>
      </w:r>
    </w:p>
    <w:p>
      <w:pPr>
        <w:spacing w:after="60" w:before="180"/>
      </w:pPr>
      <w:r>
        <w:rPr>
          <w:rFonts w:ascii="Calibri" w:cs="Calibri" w:eastAsia="Calibri" w:hAnsi="Calibri"/>
          <w:b/>
          <w:bCs/>
          <w:color w:val="0E9E8E"/>
          <w:sz w:val="20"/>
          <w:szCs w:val="20"/>
        </w:rPr>
        <w:t xml:space="preserve">Topic 3 · "Read the Summary"</w:t>
      </w:r>
    </w:p>
    <w:p>
      <w:pPr>
        <w:spacing w:after="120"/>
      </w:pPr>
      <w:r>
        <w:rPr>
          <w:rFonts w:ascii="Calibri" w:cs="Calibri" w:eastAsia="Calibri" w:hAnsi="Calibri"/>
          <w:b w:val="false"/>
          <w:bCs w:val="false"/>
          <w:color w:val="2A2A2A"/>
          <w:sz w:val="21"/>
          <w:szCs w:val="21"/>
        </w:rPr>
        <w:t xml:space="preserve">Learner-facing brief: The rule: highlight a department orange if </w:t>
      </w:r>
      <w:r>
        <w:rPr>
          <w:rFonts w:ascii="Calibri" w:cs="Calibri" w:eastAsia="Calibri" w:hAnsi="Calibri"/>
          <w:b/>
          <w:bCs/>
          <w:color w:val="1A2B4A"/>
          <w:sz w:val="21"/>
          <w:szCs w:val="21"/>
        </w:rPr>
        <w:t xml:space="preserve">Turnover &gt; 5% OR Emiratisation &lt; 20%</w:t>
      </w:r>
      <w:r>
        <w:rPr>
          <w:rFonts w:ascii="Calibri" w:cs="Calibri" w:eastAsia="Calibri" w:hAnsi="Calibri"/>
          <w:b w:val="false"/>
          <w:bCs w:val="false"/>
          <w:color w:val="2A2A2A"/>
          <w:sz w:val="21"/>
          <w:szCs w:val="21"/>
        </w:rPr>
        <w:t xml:space="preserve">. One department below is highlighted that shouldn't be. Tap it.</w:t>
      </w:r>
    </w:p>
    <w:p>
      <w:pPr>
        <w:pStyle w:val="Heading2"/>
        <w:spacing w:after="100" w:before="260"/>
      </w:pPr>
      <w:r>
        <w:rPr>
          <w:rFonts w:ascii="Calibri" w:cs="Calibri" w:eastAsia="Calibri" w:hAnsi="Calibri"/>
          <w:b/>
          <w:bCs/>
          <w:color w:val="1A2B4A"/>
          <w:sz w:val="24"/>
          <w:szCs w:val="24"/>
        </w:rPr>
        <w:t xml:space="preserve">PivotTable summary shown to the learner</w:t>
      </w:r>
    </w:p>
    <w:tbl>
      <w:tblPr>
        <w:tblW w:type="dxa" w:w="10080"/>
        <w:tblBorders>
          <w:top w:val="single" w:color="D8DCE4" w:sz="4"/>
          <w:left w:val="single" w:color="D8DCE4" w:sz="4"/>
          <w:bottom w:val="single" w:color="D8DCE4" w:sz="4"/>
          <w:right w:val="single" w:color="D8DCE4" w:sz="4"/>
          <w:insideH w:val="single" w:color="D8DCE4" w:sz="4"/>
          <w:insideV w:val="single" w:color="D8DCE4" w:sz="4"/>
        </w:tblBorders>
      </w:tblPr>
      <w:tblGrid>
        <w:gridCol w:w="2520"/>
        <w:gridCol w:w="2520"/>
        <w:gridCol w:w="2520"/>
        <w:gridCol w:w="2520"/>
      </w:tblGrid>
      <w:tr>
        <w:trPr>
          <w:tblHeader/>
        </w:trPr>
        <w:tc>
          <w:tcPr>
            <w:tcW w:type="dxa" w:w="2520"/>
            <w:shd w:fill="1A2B4A" w:val="clear"/>
            <w:tcMar>
              <w:top w:type="dxa" w:w="100"/>
              <w:left w:type="dxa" w:w="140"/>
              <w:bottom w:type="dxa" w:w="100"/>
              <w:right w:type="dxa" w:w="140"/>
            </w:tcMar>
          </w:tcPr>
          <w:p>
            <w:r>
              <w:rPr>
                <w:rFonts w:ascii="Consolas" w:cs="Consolas" w:eastAsia="Consolas" w:hAnsi="Consolas"/>
                <w:b/>
                <w:bCs/>
                <w:color w:val="FFFFFF"/>
                <w:sz w:val="18"/>
                <w:szCs w:val="18"/>
              </w:rPr>
              <w:t xml:space="preserve">DEPARTMENT</w:t>
            </w:r>
          </w:p>
        </w:tc>
        <w:tc>
          <w:tcPr>
            <w:tcW w:type="dxa" w:w="2520"/>
            <w:shd w:fill="1A2B4A" w:val="clear"/>
            <w:tcMar>
              <w:top w:type="dxa" w:w="100"/>
              <w:left w:type="dxa" w:w="140"/>
              <w:bottom w:type="dxa" w:w="100"/>
              <w:right w:type="dxa" w:w="140"/>
            </w:tcMar>
          </w:tcPr>
          <w:p>
            <w:r>
              <w:rPr>
                <w:rFonts w:ascii="Consolas" w:cs="Consolas" w:eastAsia="Consolas" w:hAnsi="Consolas"/>
                <w:b/>
                <w:bCs/>
                <w:color w:val="FFFFFF"/>
                <w:sz w:val="18"/>
                <w:szCs w:val="18"/>
              </w:rPr>
              <w:t xml:space="preserve">HEADCOUNT</w:t>
            </w:r>
          </w:p>
        </w:tc>
        <w:tc>
          <w:tcPr>
            <w:tcW w:type="dxa" w:w="2520"/>
            <w:shd w:fill="1A2B4A" w:val="clear"/>
            <w:tcMar>
              <w:top w:type="dxa" w:w="100"/>
              <w:left w:type="dxa" w:w="140"/>
              <w:bottom w:type="dxa" w:w="100"/>
              <w:right w:type="dxa" w:w="140"/>
            </w:tcMar>
          </w:tcPr>
          <w:p>
            <w:r>
              <w:rPr>
                <w:rFonts w:ascii="Consolas" w:cs="Consolas" w:eastAsia="Consolas" w:hAnsi="Consolas"/>
                <w:b/>
                <w:bCs/>
                <w:color w:val="FFFFFF"/>
                <w:sz w:val="18"/>
                <w:szCs w:val="18"/>
              </w:rPr>
              <w:t xml:space="preserve">AVG TURNOVER</w:t>
            </w:r>
          </w:p>
        </w:tc>
        <w:tc>
          <w:tcPr>
            <w:tcW w:type="dxa" w:w="2520"/>
            <w:shd w:fill="1A2B4A" w:val="clear"/>
            <w:tcMar>
              <w:top w:type="dxa" w:w="100"/>
              <w:left w:type="dxa" w:w="140"/>
              <w:bottom w:type="dxa" w:w="100"/>
              <w:right w:type="dxa" w:w="140"/>
            </w:tcMar>
          </w:tcPr>
          <w:p>
            <w:r>
              <w:rPr>
                <w:rFonts w:ascii="Consolas" w:cs="Consolas" w:eastAsia="Consolas" w:hAnsi="Consolas"/>
                <w:b/>
                <w:bCs/>
                <w:color w:val="FFFFFF"/>
                <w:sz w:val="18"/>
                <w:szCs w:val="18"/>
              </w:rPr>
              <w:t xml:space="preserve">AVG EMIRATISATION</w:t>
            </w:r>
          </w:p>
        </w:tc>
      </w:tr>
      <w:tr>
        <w:tc>
          <w:tcPr>
            <w:tcW w:type="dxa" w:w="2520"/>
            <w:shd w:fill="FDEAE3" w:val="clear"/>
            <w:tcMar>
              <w:top w:type="dxa" w:w="90"/>
              <w:left w:type="dxa" w:w="140"/>
              <w:bottom w:type="dxa" w:w="90"/>
              <w:right w:type="dxa" w:w="140"/>
            </w:tcMar>
          </w:tcPr>
          <w:p>
            <w:r>
              <w:rPr>
                <w:rFonts w:ascii="Consolas" w:cs="Consolas" w:eastAsia="Consolas" w:hAnsi="Consolas"/>
                <w:b/>
                <w:bCs/>
                <w:color w:val="F2541D"/>
                <w:sz w:val="18"/>
                <w:szCs w:val="18"/>
              </w:rPr>
              <w:t xml:space="preserve">Customer Service</w:t>
            </w:r>
          </w:p>
        </w:tc>
        <w:tc>
          <w:tcPr>
            <w:tcW w:type="dxa" w:w="2520"/>
            <w:shd w:fill="FDEAE3" w:val="clear"/>
            <w:tcMar>
              <w:top w:type="dxa" w:w="90"/>
              <w:left w:type="dxa" w:w="140"/>
              <w:bottom w:type="dxa" w:w="90"/>
              <w:right w:type="dxa" w:w="140"/>
            </w:tcMar>
          </w:tcPr>
          <w:p>
            <w:r>
              <w:rPr>
                <w:rFonts w:ascii="Consolas" w:cs="Consolas" w:eastAsia="Consolas" w:hAnsi="Consolas"/>
                <w:b/>
                <w:bCs/>
                <w:color w:val="F2541D"/>
                <w:sz w:val="18"/>
                <w:szCs w:val="18"/>
              </w:rPr>
              <w:t xml:space="preserve">310</w:t>
            </w:r>
          </w:p>
        </w:tc>
        <w:tc>
          <w:tcPr>
            <w:tcW w:type="dxa" w:w="2520"/>
            <w:shd w:fill="FDEAE3" w:val="clear"/>
            <w:tcMar>
              <w:top w:type="dxa" w:w="90"/>
              <w:left w:type="dxa" w:w="140"/>
              <w:bottom w:type="dxa" w:w="90"/>
              <w:right w:type="dxa" w:w="140"/>
            </w:tcMar>
          </w:tcPr>
          <w:p>
            <w:r>
              <w:rPr>
                <w:rFonts w:ascii="Consolas" w:cs="Consolas" w:eastAsia="Consolas" w:hAnsi="Consolas"/>
                <w:b/>
                <w:bCs/>
                <w:color w:val="F2541D"/>
                <w:sz w:val="18"/>
                <w:szCs w:val="18"/>
              </w:rPr>
              <w:t xml:space="preserve">9.1%</w:t>
            </w:r>
          </w:p>
        </w:tc>
        <w:tc>
          <w:tcPr>
            <w:tcW w:type="dxa" w:w="2520"/>
            <w:shd w:fill="FDEAE3" w:val="clear"/>
            <w:tcMar>
              <w:top w:type="dxa" w:w="90"/>
              <w:left w:type="dxa" w:w="140"/>
              <w:bottom w:type="dxa" w:w="90"/>
              <w:right w:type="dxa" w:w="140"/>
            </w:tcMar>
          </w:tcPr>
          <w:p>
            <w:r>
              <w:rPr>
                <w:rFonts w:ascii="Consolas" w:cs="Consolas" w:eastAsia="Consolas" w:hAnsi="Consolas"/>
                <w:b/>
                <w:bCs/>
                <w:color w:val="F2541D"/>
                <w:sz w:val="18"/>
                <w:szCs w:val="18"/>
              </w:rPr>
              <w:t xml:space="preserve">25%</w:t>
            </w:r>
          </w:p>
        </w:tc>
      </w:tr>
      <w:tr>
        <w:tc>
          <w:tcPr>
            <w:tcW w:type="dxa" w:w="2520"/>
            <w:shd w:fill="FDEAE3" w:val="clear"/>
            <w:tcMar>
              <w:top w:type="dxa" w:w="90"/>
              <w:left w:type="dxa" w:w="140"/>
              <w:bottom w:type="dxa" w:w="90"/>
              <w:right w:type="dxa" w:w="140"/>
            </w:tcMar>
          </w:tcPr>
          <w:p>
            <w:r>
              <w:rPr>
                <w:rFonts w:ascii="Consolas" w:cs="Consolas" w:eastAsia="Consolas" w:hAnsi="Consolas"/>
                <w:b/>
                <w:bCs/>
                <w:color w:val="F2541D"/>
                <w:sz w:val="18"/>
                <w:szCs w:val="18"/>
              </w:rPr>
              <w:t xml:space="preserve">Warehouse</w:t>
            </w:r>
          </w:p>
        </w:tc>
        <w:tc>
          <w:tcPr>
            <w:tcW w:type="dxa" w:w="2520"/>
            <w:shd w:fill="FDEAE3" w:val="clear"/>
            <w:tcMar>
              <w:top w:type="dxa" w:w="90"/>
              <w:left w:type="dxa" w:w="140"/>
              <w:bottom w:type="dxa" w:w="90"/>
              <w:right w:type="dxa" w:w="140"/>
            </w:tcMar>
          </w:tcPr>
          <w:p>
            <w:r>
              <w:rPr>
                <w:rFonts w:ascii="Consolas" w:cs="Consolas" w:eastAsia="Consolas" w:hAnsi="Consolas"/>
                <w:b/>
                <w:bCs/>
                <w:color w:val="F2541D"/>
                <w:sz w:val="18"/>
                <w:szCs w:val="18"/>
              </w:rPr>
              <w:t xml:space="preserve">82</w:t>
            </w:r>
          </w:p>
        </w:tc>
        <w:tc>
          <w:tcPr>
            <w:tcW w:type="dxa" w:w="2520"/>
            <w:shd w:fill="FDEAE3" w:val="clear"/>
            <w:tcMar>
              <w:top w:type="dxa" w:w="90"/>
              <w:left w:type="dxa" w:w="140"/>
              <w:bottom w:type="dxa" w:w="90"/>
              <w:right w:type="dxa" w:w="140"/>
            </w:tcMar>
          </w:tcPr>
          <w:p>
            <w:r>
              <w:rPr>
                <w:rFonts w:ascii="Consolas" w:cs="Consolas" w:eastAsia="Consolas" w:hAnsi="Consolas"/>
                <w:b/>
                <w:bCs/>
                <w:color w:val="F2541D"/>
                <w:sz w:val="18"/>
                <w:szCs w:val="18"/>
              </w:rPr>
              <w:t xml:space="preserve">6.5%</w:t>
            </w:r>
          </w:p>
        </w:tc>
        <w:tc>
          <w:tcPr>
            <w:tcW w:type="dxa" w:w="2520"/>
            <w:shd w:fill="FDEAE3" w:val="clear"/>
            <w:tcMar>
              <w:top w:type="dxa" w:w="90"/>
              <w:left w:type="dxa" w:w="140"/>
              <w:bottom w:type="dxa" w:w="90"/>
              <w:right w:type="dxa" w:w="140"/>
            </w:tcMar>
          </w:tcPr>
          <w:p>
            <w:r>
              <w:rPr>
                <w:rFonts w:ascii="Consolas" w:cs="Consolas" w:eastAsia="Consolas" w:hAnsi="Consolas"/>
                <w:b/>
                <w:bCs/>
                <w:color w:val="F2541D"/>
                <w:sz w:val="18"/>
                <w:szCs w:val="18"/>
              </w:rPr>
              <w:t xml:space="preserve">22%</w:t>
            </w:r>
          </w:p>
        </w:tc>
      </w:tr>
      <w:tr>
        <w:tc>
          <w:tcPr>
            <w:tcW w:type="dxa" w:w="2520"/>
            <w:shd w:fill="FDEAE3" w:val="clear"/>
            <w:tcMar>
              <w:top w:type="dxa" w:w="90"/>
              <w:left w:type="dxa" w:w="140"/>
              <w:bottom w:type="dxa" w:w="90"/>
              <w:right w:type="dxa" w:w="140"/>
            </w:tcMar>
          </w:tcPr>
          <w:p>
            <w:r>
              <w:rPr>
                <w:rFonts w:ascii="Consolas" w:cs="Consolas" w:eastAsia="Consolas" w:hAnsi="Consolas"/>
                <w:b/>
                <w:bCs/>
                <w:color w:val="F2541D"/>
                <w:sz w:val="18"/>
                <w:szCs w:val="18"/>
              </w:rPr>
              <w:t xml:space="preserve">Operations</w:t>
            </w:r>
          </w:p>
        </w:tc>
        <w:tc>
          <w:tcPr>
            <w:tcW w:type="dxa" w:w="2520"/>
            <w:shd w:fill="FDEAE3" w:val="clear"/>
            <w:tcMar>
              <w:top w:type="dxa" w:w="90"/>
              <w:left w:type="dxa" w:w="140"/>
              <w:bottom w:type="dxa" w:w="90"/>
              <w:right w:type="dxa" w:w="140"/>
            </w:tcMar>
          </w:tcPr>
          <w:p>
            <w:r>
              <w:rPr>
                <w:rFonts w:ascii="Consolas" w:cs="Consolas" w:eastAsia="Consolas" w:hAnsi="Consolas"/>
                <w:b/>
                <w:bCs/>
                <w:color w:val="F2541D"/>
                <w:sz w:val="18"/>
                <w:szCs w:val="18"/>
              </w:rPr>
              <w:t xml:space="preserve">140</w:t>
            </w:r>
          </w:p>
        </w:tc>
        <w:tc>
          <w:tcPr>
            <w:tcW w:type="dxa" w:w="2520"/>
            <w:shd w:fill="FDEAE3" w:val="clear"/>
            <w:tcMar>
              <w:top w:type="dxa" w:w="90"/>
              <w:left w:type="dxa" w:w="140"/>
              <w:bottom w:type="dxa" w:w="90"/>
              <w:right w:type="dxa" w:w="140"/>
            </w:tcMar>
          </w:tcPr>
          <w:p>
            <w:r>
              <w:rPr>
                <w:rFonts w:ascii="Consolas" w:cs="Consolas" w:eastAsia="Consolas" w:hAnsi="Consolas"/>
                <w:b/>
                <w:bCs/>
                <w:color w:val="F2541D"/>
                <w:sz w:val="18"/>
                <w:szCs w:val="18"/>
              </w:rPr>
              <w:t xml:space="preserve">4.2%</w:t>
            </w:r>
          </w:p>
        </w:tc>
        <w:tc>
          <w:tcPr>
            <w:tcW w:type="dxa" w:w="2520"/>
            <w:shd w:fill="FDEAE3" w:val="clear"/>
            <w:tcMar>
              <w:top w:type="dxa" w:w="90"/>
              <w:left w:type="dxa" w:w="140"/>
              <w:bottom w:type="dxa" w:w="90"/>
              <w:right w:type="dxa" w:w="140"/>
            </w:tcMar>
          </w:tcPr>
          <w:p>
            <w:r>
              <w:rPr>
                <w:rFonts w:ascii="Consolas" w:cs="Consolas" w:eastAsia="Consolas" w:hAnsi="Consolas"/>
                <w:b/>
                <w:bCs/>
                <w:color w:val="F2541D"/>
                <w:sz w:val="18"/>
                <w:szCs w:val="18"/>
              </w:rPr>
              <w:t xml:space="preserve">18%</w:t>
            </w:r>
          </w:p>
        </w:tc>
      </w:tr>
      <w:tr>
        <w:tc>
          <w:tcPr>
            <w:tcW w:type="dxa" w:w="2520"/>
            <w:shd w:fill="FDEAE3" w:val="clear"/>
            <w:tcMar>
              <w:top w:type="dxa" w:w="90"/>
              <w:left w:type="dxa" w:w="140"/>
              <w:bottom w:type="dxa" w:w="90"/>
              <w:right w:type="dxa" w:w="140"/>
            </w:tcMar>
          </w:tcPr>
          <w:p>
            <w:r>
              <w:rPr>
                <w:rFonts w:ascii="Consolas" w:cs="Consolas" w:eastAsia="Consolas" w:hAnsi="Consolas"/>
                <w:b/>
                <w:bCs/>
                <w:color w:val="F2541D"/>
                <w:sz w:val="18"/>
                <w:szCs w:val="18"/>
              </w:rPr>
              <w:t xml:space="preserve">Finance</w:t>
            </w:r>
          </w:p>
        </w:tc>
        <w:tc>
          <w:tcPr>
            <w:tcW w:type="dxa" w:w="2520"/>
            <w:shd w:fill="FDEAE3" w:val="clear"/>
            <w:tcMar>
              <w:top w:type="dxa" w:w="90"/>
              <w:left w:type="dxa" w:w="140"/>
              <w:bottom w:type="dxa" w:w="90"/>
              <w:right w:type="dxa" w:w="140"/>
            </w:tcMar>
          </w:tcPr>
          <w:p>
            <w:r>
              <w:rPr>
                <w:rFonts w:ascii="Consolas" w:cs="Consolas" w:eastAsia="Consolas" w:hAnsi="Consolas"/>
                <w:b/>
                <w:bCs/>
                <w:color w:val="F2541D"/>
                <w:sz w:val="18"/>
                <w:szCs w:val="18"/>
              </w:rPr>
              <w:t xml:space="preserve">45</w:t>
            </w:r>
          </w:p>
        </w:tc>
        <w:tc>
          <w:tcPr>
            <w:tcW w:type="dxa" w:w="2520"/>
            <w:shd w:fill="FDEAE3" w:val="clear"/>
            <w:tcMar>
              <w:top w:type="dxa" w:w="90"/>
              <w:left w:type="dxa" w:w="140"/>
              <w:bottom w:type="dxa" w:w="90"/>
              <w:right w:type="dxa" w:w="140"/>
            </w:tcMar>
          </w:tcPr>
          <w:p>
            <w:r>
              <w:rPr>
                <w:rFonts w:ascii="Consolas" w:cs="Consolas" w:eastAsia="Consolas" w:hAnsi="Consolas"/>
                <w:b/>
                <w:bCs/>
                <w:color w:val="F2541D"/>
                <w:sz w:val="18"/>
                <w:szCs w:val="18"/>
              </w:rPr>
              <w:t xml:space="preserve">1.8%</w:t>
            </w:r>
          </w:p>
        </w:tc>
        <w:tc>
          <w:tcPr>
            <w:tcW w:type="dxa" w:w="2520"/>
            <w:shd w:fill="FDEAE3" w:val="clear"/>
            <w:tcMar>
              <w:top w:type="dxa" w:w="90"/>
              <w:left w:type="dxa" w:w="140"/>
              <w:bottom w:type="dxa" w:w="90"/>
              <w:right w:type="dxa" w:w="140"/>
            </w:tcMar>
          </w:tcPr>
          <w:p>
            <w:r>
              <w:rPr>
                <w:rFonts w:ascii="Consolas" w:cs="Consolas" w:eastAsia="Consolas" w:hAnsi="Consolas"/>
                <w:b/>
                <w:bCs/>
                <w:color w:val="F2541D"/>
                <w:sz w:val="18"/>
                <w:szCs w:val="18"/>
              </w:rPr>
              <w:t xml:space="preserve">35%</w:t>
            </w:r>
          </w:p>
        </w:tc>
      </w:tr>
    </w:tbl>
    <w:p>
      <w:pPr>
        <w:spacing w:after="100"/>
      </w:pPr>
      <w:r>
        <w:rPr>
          <w:rFonts w:ascii="Calibri" w:cs="Calibri" w:eastAsia="Calibri" w:hAnsi="Calibri"/>
          <w:b w:val="false"/>
          <w:bCs w:val="false"/>
          <w:i/>
          <w:iCs/>
          <w:color w:val="5B6B82"/>
          <w:sz w:val="21"/>
          <w:szCs w:val="21"/>
        </w:rPr>
        <w:t xml:space="preserve">Note: all four rows are shown highlighted orange in the simulation UI (as conditional formatting was already applied) — the learner's task is to identify which one shouldn't be.</w:t>
      </w:r>
    </w:p>
    <w:p>
      <w:pPr>
        <w:spacing w:after="60"/>
      </w:pPr>
    </w:p>
    <w:tbl>
      <w:tblPr>
        <w:tblW w:type="dxa" w:w="10080"/>
        <w:tblBorders>
          <w:top w:val="single" w:color="E5F5F3" w:sz="4"/>
          <w:left w:val="single" w:color="0E9E8E" w:sz="24"/>
          <w:bottom w:val="single" w:color="E5F5F3" w:sz="4"/>
          <w:right w:val="single" w:color="E5F5F3" w:sz="4"/>
          <w:insideH w:val="single" w:color="auto" w:sz="4"/>
          <w:insideV w:val="single" w:color="auto" w:sz="4"/>
        </w:tblBorders>
      </w:tblPr>
      <w:tblGrid>
        <w:gridCol w:w="10080"/>
      </w:tblGrid>
      <w:tr>
        <w:tc>
          <w:tcPr>
            <w:tcW w:type="dxa" w:w="10080"/>
            <w:shd w:fill="E5F5F3" w:val="clear"/>
            <w:tcMar>
              <w:top w:type="dxa" w:w="140"/>
              <w:left w:type="dxa" w:w="220"/>
              <w:bottom w:type="dxa" w:w="140"/>
              <w:right w:type="dxa" w:w="220"/>
            </w:tcMar>
          </w:tcPr>
          <w:p>
            <w:pPr>
              <w:spacing w:after="40"/>
            </w:pPr>
            <w:r>
              <w:rPr>
                <w:rFonts w:ascii="Calibri" w:cs="Calibri" w:eastAsia="Calibri" w:hAnsi="Calibri"/>
                <w:b/>
                <w:bCs/>
                <w:color w:val="0E9E8E"/>
                <w:sz w:val="19"/>
                <w:szCs w:val="19"/>
              </w:rPr>
              <w:t xml:space="preserve">CORRECT ANSWER</w:t>
            </w:r>
          </w:p>
          <w:p>
            <w:r>
              <w:rPr>
                <w:rFonts w:ascii="Calibri" w:cs="Calibri" w:eastAsia="Calibri" w:hAnsi="Calibri"/>
                <w:color w:val="1A2B4A"/>
                <w:sz w:val="20"/>
                <w:szCs w:val="20"/>
              </w:rPr>
              <w:t xml:space="preserve">Finance. Turnover is 1.8% (well under the 5% threshold) and Emiratisation is 35% (well above the 20% threshold) — Finance fails neither condition and should be clean.</w:t>
            </w:r>
          </w:p>
        </w:tc>
      </w:tr>
    </w:tbl>
    <w:p>
      <w:pPr>
        <w:spacing w:after="160"/>
      </w:pPr>
    </w:p>
    <w:p>
      <w:pPr>
        <w:pStyle w:val="Heading2"/>
        <w:spacing w:after="100" w:before="260"/>
      </w:pPr>
      <w:r>
        <w:rPr>
          <w:rFonts w:ascii="Calibri" w:cs="Calibri" w:eastAsia="Calibri" w:hAnsi="Calibri"/>
          <w:b/>
          <w:bCs/>
          <w:color w:val="1A2B4A"/>
          <w:sz w:val="24"/>
          <w:szCs w:val="24"/>
        </w:rPr>
        <w:t xml:space="preserve">Why this is correct</w:t>
      </w:r>
    </w:p>
    <w:p>
      <w:pPr>
        <w:spacing w:after="120"/>
      </w:pPr>
      <w:r>
        <w:rPr>
          <w:rFonts w:ascii="Calibri" w:cs="Calibri" w:eastAsia="Calibri" w:hAnsi="Calibri"/>
          <w:b w:val="false"/>
          <w:bCs w:val="false"/>
          <w:i w:val="false"/>
          <w:iCs w:val="false"/>
          <w:color w:val="2A2A2A"/>
          <w:sz w:val="21"/>
          <w:szCs w:val="21"/>
        </w:rPr>
        <w:t xml:space="preserve">Checking Finance against the stated rule: 1.8% is not &gt; 5%, and 35% is not &lt; 20%. Neither condition is true, so Finance should not be highlighted under the rule as written. In the underlying build, this represents someone having applied the conditional formatting rule to the wrong cell or column — a common real-world dashboard bug.</w:t>
      </w:r>
    </w:p>
    <w:p>
      <w:pPr>
        <w:pStyle w:val="Heading2"/>
        <w:spacing w:after="100" w:before="260"/>
      </w:pPr>
      <w:r>
        <w:rPr>
          <w:rFonts w:ascii="Calibri" w:cs="Calibri" w:eastAsia="Calibri" w:hAnsi="Calibri"/>
          <w:b/>
          <w:bCs/>
          <w:color w:val="1A2B4A"/>
          <w:sz w:val="24"/>
          <w:szCs w:val="24"/>
        </w:rPr>
        <w:t xml:space="preserve">Why the other rows are correctly highlighted (not the answer)</w:t>
      </w:r>
    </w:p>
    <w:p>
      <w:pPr>
        <w:spacing w:after="80"/>
        <w:ind w:left="360"/>
      </w:pPr>
      <w:r>
        <w:rPr>
          <w:rFonts w:ascii="Calibri" w:cs="Calibri" w:eastAsia="Calibri" w:hAnsi="Calibri"/>
          <w:b/>
          <w:bCs/>
          <w:color w:val="0E9E8E"/>
          <w:sz w:val="21"/>
          <w:szCs w:val="21"/>
        </w:rPr>
        <w:t xml:space="preserve">▪ </w:t>
      </w:r>
      <w:r>
        <w:rPr>
          <w:rFonts w:ascii="Calibri" w:cs="Calibri" w:eastAsia="Calibri" w:hAnsi="Calibri"/>
          <w:b w:val="false"/>
          <w:bCs w:val="false"/>
          <w:color w:val="2A2A2A"/>
          <w:sz w:val="21"/>
          <w:szCs w:val="21"/>
        </w:rPr>
        <w:t xml:space="preserve">Customer Service — 9.1% turnover is above 5%. Correctly flagged on the turnover condition alone.</w:t>
      </w:r>
    </w:p>
    <w:p>
      <w:pPr>
        <w:spacing w:after="80"/>
        <w:ind w:left="360"/>
      </w:pPr>
      <w:r>
        <w:rPr>
          <w:rFonts w:ascii="Calibri" w:cs="Calibri" w:eastAsia="Calibri" w:hAnsi="Calibri"/>
          <w:b/>
          <w:bCs/>
          <w:color w:val="0E9E8E"/>
          <w:sz w:val="21"/>
          <w:szCs w:val="21"/>
        </w:rPr>
        <w:t xml:space="preserve">▪ </w:t>
      </w:r>
      <w:r>
        <w:rPr>
          <w:rFonts w:ascii="Calibri" w:cs="Calibri" w:eastAsia="Calibri" w:hAnsi="Calibri"/>
          <w:b w:val="false"/>
          <w:bCs w:val="false"/>
          <w:color w:val="2A2A2A"/>
          <w:sz w:val="21"/>
          <w:szCs w:val="21"/>
        </w:rPr>
        <w:t xml:space="preserve">Warehouse — 6.5% turnover is above 5%. Correctly flagged on the turnover condition alone.</w:t>
      </w:r>
    </w:p>
    <w:p>
      <w:pPr>
        <w:spacing w:after="80"/>
        <w:ind w:left="360"/>
      </w:pPr>
      <w:r>
        <w:rPr>
          <w:rFonts w:ascii="Calibri" w:cs="Calibri" w:eastAsia="Calibri" w:hAnsi="Calibri"/>
          <w:b/>
          <w:bCs/>
          <w:color w:val="0E9E8E"/>
          <w:sz w:val="21"/>
          <w:szCs w:val="21"/>
        </w:rPr>
        <w:t xml:space="preserve">▪ </w:t>
      </w:r>
      <w:r>
        <w:rPr>
          <w:rFonts w:ascii="Calibri" w:cs="Calibri" w:eastAsia="Calibri" w:hAnsi="Calibri"/>
          <w:b w:val="false"/>
          <w:bCs w:val="false"/>
          <w:color w:val="2A2A2A"/>
          <w:sz w:val="21"/>
          <w:szCs w:val="21"/>
        </w:rPr>
        <w:t xml:space="preserve">Operations — 4.2% turnover is fine, but 18% Emiratisation is below 20%. Correctly flagged on the Emiratisation condition alone. This row tests whether learners remember it's an OR rule — a department can be flagged through either metric, not just turnover.</w:t>
      </w:r>
    </w:p>
    <w:p>
      <w:pPr>
        <w:pStyle w:val="Heading2"/>
        <w:spacing w:after="100" w:before="260"/>
      </w:pPr>
      <w:r>
        <w:rPr>
          <w:rFonts w:ascii="Calibri" w:cs="Calibri" w:eastAsia="Calibri" w:hAnsi="Calibri"/>
          <w:b/>
          <w:bCs/>
          <w:color w:val="1A2B4A"/>
          <w:sz w:val="24"/>
          <w:szCs w:val="24"/>
        </w:rPr>
        <w:t xml:space="preserve">Facilitation notes</w:t>
      </w:r>
    </w:p>
    <w:p>
      <w:pPr>
        <w:spacing w:after="80"/>
        <w:ind w:left="360"/>
      </w:pPr>
      <w:r>
        <w:rPr>
          <w:rFonts w:ascii="Calibri" w:cs="Calibri" w:eastAsia="Calibri" w:hAnsi="Calibri"/>
          <w:b/>
          <w:bCs/>
          <w:color w:val="0E9E8E"/>
          <w:sz w:val="21"/>
          <w:szCs w:val="21"/>
        </w:rPr>
        <w:t xml:space="preserve">▪ </w:t>
      </w:r>
      <w:r>
        <w:rPr>
          <w:rFonts w:ascii="Calibri" w:cs="Calibri" w:eastAsia="Calibri" w:hAnsi="Calibri"/>
          <w:b w:val="false"/>
          <w:bCs w:val="false"/>
          <w:color w:val="2A2A2A"/>
          <w:sz w:val="21"/>
          <w:szCs w:val="21"/>
        </w:rPr>
        <w:t xml:space="preserve">Operations is the row most likely to cause hesitation, because its turnover looks perfectly healthy. Use it to reinforce: "OR means either condition alone is enough to trigger a flag."</w:t>
      </w:r>
    </w:p>
    <w:p>
      <w:pPr>
        <w:spacing w:after="80"/>
        <w:ind w:left="360"/>
      </w:pPr>
      <w:r>
        <w:rPr>
          <w:rFonts w:ascii="Calibri" w:cs="Calibri" w:eastAsia="Calibri" w:hAnsi="Calibri"/>
          <w:b/>
          <w:bCs/>
          <w:color w:val="0E9E8E"/>
          <w:sz w:val="21"/>
          <w:szCs w:val="21"/>
        </w:rPr>
        <w:t xml:space="preserve">▪ </w:t>
      </w:r>
      <w:r>
        <w:rPr>
          <w:rFonts w:ascii="Calibri" w:cs="Calibri" w:eastAsia="Calibri" w:hAnsi="Calibri"/>
          <w:b w:val="false"/>
          <w:bCs w:val="false"/>
          <w:color w:val="2A2A2A"/>
          <w:sz w:val="21"/>
          <w:szCs w:val="21"/>
        </w:rPr>
        <w:t xml:space="preserve">This round rewards learners who check every highlighted cell against the rule individually, rather than assuming the highlighting is already correct — a genuinely useful dashboard-auditing habit.</w:t>
      </w:r>
    </w:p>
    <w:p>
      <w:pPr>
        <w:pStyle w:val="Heading1"/>
        <w:pBdr>
          <w:bottom w:val="single" w:color="0E9E8E" w:sz="8" w:space="4"/>
        </w:pBdr>
        <w:spacing w:after="140" w:before="320"/>
      </w:pPr>
      <w:r>
        <w:rPr>
          <w:rFonts w:ascii="Calibri" w:cs="Calibri" w:eastAsia="Calibri" w:hAnsi="Calibri"/>
          <w:b/>
          <w:bCs/>
          <w:color w:val="1A2B4A"/>
          <w:sz w:val="30"/>
          <w:szCs w:val="30"/>
        </w:rPr>
        <w:t xml:space="preserve">5. Round 4 — IF Logic &amp; Nested Formulas</w:t>
      </w:r>
    </w:p>
    <w:p>
      <w:pPr>
        <w:spacing w:after="60" w:before="180"/>
      </w:pPr>
      <w:r>
        <w:rPr>
          <w:rFonts w:ascii="Calibri" w:cs="Calibri" w:eastAsia="Calibri" w:hAnsi="Calibri"/>
          <w:b/>
          <w:bCs/>
          <w:color w:val="0E9E8E"/>
          <w:sz w:val="20"/>
          <w:szCs w:val="20"/>
        </w:rPr>
        <w:t xml:space="preserve">Topic 4 · "Write the Flag Rule"</w:t>
      </w:r>
    </w:p>
    <w:p>
      <w:pPr>
        <w:spacing w:after="120"/>
      </w:pPr>
      <w:r>
        <w:rPr>
          <w:rFonts w:ascii="Calibri" w:cs="Calibri" w:eastAsia="Calibri" w:hAnsi="Calibri"/>
          <w:b w:val="false"/>
          <w:bCs w:val="false"/>
          <w:color w:val="2A2A2A"/>
          <w:sz w:val="21"/>
          <w:szCs w:val="21"/>
        </w:rPr>
        <w:t xml:space="preserve">Learner-facing brief: The dashboard's flag column should mark FLAG when turnover is above 5% </w:t>
      </w:r>
      <w:r>
        <w:rPr>
          <w:rFonts w:ascii="Calibri" w:cs="Calibri" w:eastAsia="Calibri" w:hAnsi="Calibri"/>
          <w:b/>
          <w:bCs/>
          <w:color w:val="1A2B4A"/>
          <w:sz w:val="21"/>
          <w:szCs w:val="21"/>
        </w:rPr>
        <w:t xml:space="preserve">or</w:t>
      </w:r>
      <w:r>
        <w:rPr>
          <w:rFonts w:ascii="Calibri" w:cs="Calibri" w:eastAsia="Calibri" w:hAnsi="Calibri"/>
          <w:b w:val="false"/>
          <w:bCs w:val="false"/>
          <w:color w:val="2A2A2A"/>
          <w:sz w:val="21"/>
          <w:szCs w:val="21"/>
        </w:rPr>
        <w:t xml:space="preserve"> Emiratisation is below 20%. Which formula does that correctly?</w:t>
      </w:r>
    </w:p>
    <w:p>
      <w:pPr>
        <w:pStyle w:val="Heading2"/>
        <w:spacing w:after="100" w:before="260"/>
      </w:pPr>
      <w:r>
        <w:rPr>
          <w:rFonts w:ascii="Calibri" w:cs="Calibri" w:eastAsia="Calibri" w:hAnsi="Calibri"/>
          <w:b/>
          <w:bCs/>
          <w:color w:val="1A2B4A"/>
          <w:sz w:val="24"/>
          <w:szCs w:val="24"/>
        </w:rPr>
        <w:t xml:space="preserve">Answer options shown to the learner</w:t>
      </w:r>
    </w:p>
    <w:tbl>
      <w:tblPr>
        <w:tblW w:type="dxa" w:w="10080"/>
        <w:tblBorders>
          <w:top w:val="single" w:color="D8DCE4" w:sz="4"/>
          <w:left w:val="single" w:color="D8DCE4" w:sz="4"/>
          <w:bottom w:val="single" w:color="D8DCE4" w:sz="4"/>
          <w:right w:val="single" w:color="D8DCE4" w:sz="4"/>
          <w:insideH w:val="single" w:color="D8DCE4" w:sz="4"/>
          <w:insideV w:val="single" w:color="D8DCE4" w:sz="4"/>
        </w:tblBorders>
      </w:tblPr>
      <w:tblGrid>
        <w:gridCol w:w="700"/>
        <w:gridCol w:w="7980"/>
        <w:gridCol w:w="1400"/>
      </w:tblGrid>
      <w:tr>
        <w:tc>
          <w:tcPr>
            <w:tcW w:type="dxa" w:w="700"/>
            <w:shd w:fill="1A2B4A" w:val="clear"/>
            <w:tcMar>
              <w:top w:type="dxa" w:w="90"/>
              <w:left w:type="dxa" w:w="100"/>
              <w:bottom w:type="dxa" w:w="90"/>
              <w:right w:type="dxa" w:w="100"/>
            </w:tcMar>
          </w:tcPr>
          <w:p>
            <w:pPr>
              <w:jc w:val="center"/>
            </w:pPr>
            <w:r>
              <w:rPr>
                <w:rFonts w:ascii="Calibri" w:cs="Calibri" w:eastAsia="Calibri" w:hAnsi="Calibri"/>
                <w:b/>
                <w:bCs/>
                <w:color w:val="FFFFFF"/>
                <w:sz w:val="19"/>
                <w:szCs w:val="19"/>
              </w:rPr>
              <w:t xml:space="preserve">A</w:t>
            </w:r>
          </w:p>
        </w:tc>
        <w:tc>
          <w:tcPr>
            <w:tcW w:type="dxa" w:w="7980"/>
            <w:tcMar>
              <w:top w:type="dxa" w:w="90"/>
              <w:left w:type="dxa" w:w="140"/>
              <w:bottom w:type="dxa" w:w="90"/>
              <w:right w:type="dxa" w:w="140"/>
            </w:tcMar>
          </w:tcPr>
          <w:p>
            <w:r>
              <w:rPr>
                <w:rFonts w:ascii="Consolas" w:cs="Consolas" w:eastAsia="Consolas" w:hAnsi="Consolas"/>
                <w:color w:val="1A2B4A"/>
                <w:sz w:val="19"/>
                <w:szCs w:val="19"/>
              </w:rPr>
              <w:t xml:space="preserve">=IF(AND(C2&gt;5%,D2&lt;20%),"FLAG","OK")</w:t>
            </w:r>
          </w:p>
        </w:tc>
        <w:tc>
          <w:tcPr>
            <w:tcW w:type="dxa" w:w="1400"/>
            <w:tcMar>
              <w:top w:type="dxa" w:w="90"/>
              <w:left w:type="dxa" w:w="100"/>
              <w:bottom w:type="dxa" w:w="90"/>
              <w:right w:type="dxa" w:w="100"/>
            </w:tcMar>
          </w:tcPr>
          <w:p>
            <w:pPr>
              <w:jc w:val="center"/>
            </w:pPr>
            <w:r>
              <w:rPr>
                <w:rFonts w:ascii="Calibri" w:cs="Calibri" w:eastAsia="Calibri" w:hAnsi="Calibri"/>
                <w:b/>
                <w:bCs/>
                <w:color w:val="0E9E8E"/>
                <w:sz w:val="17"/>
                <w:szCs w:val="17"/>
              </w:rPr>
              <w:t xml:space="preserve"/>
            </w:r>
          </w:p>
        </w:tc>
      </w:tr>
      <w:tr>
        <w:tc>
          <w:tcPr>
            <w:tcW w:type="dxa" w:w="700"/>
            <w:shd w:fill="0E9E8E" w:val="clear"/>
            <w:tcMar>
              <w:top w:type="dxa" w:w="90"/>
              <w:left w:type="dxa" w:w="100"/>
              <w:bottom w:type="dxa" w:w="90"/>
              <w:right w:type="dxa" w:w="100"/>
            </w:tcMar>
          </w:tcPr>
          <w:p>
            <w:pPr>
              <w:jc w:val="center"/>
            </w:pPr>
            <w:r>
              <w:rPr>
                <w:rFonts w:ascii="Calibri" w:cs="Calibri" w:eastAsia="Calibri" w:hAnsi="Calibri"/>
                <w:b/>
                <w:bCs/>
                <w:color w:val="FFFFFF"/>
                <w:sz w:val="19"/>
                <w:szCs w:val="19"/>
              </w:rPr>
              <w:t xml:space="preserve">B</w:t>
            </w:r>
          </w:p>
        </w:tc>
        <w:tc>
          <w:tcPr>
            <w:tcW w:type="dxa" w:w="7980"/>
            <w:shd w:fill="E5F5F3" w:val="clear"/>
            <w:tcMar>
              <w:top w:type="dxa" w:w="90"/>
              <w:left w:type="dxa" w:w="140"/>
              <w:bottom w:type="dxa" w:w="90"/>
              <w:right w:type="dxa" w:w="140"/>
            </w:tcMar>
          </w:tcPr>
          <w:p>
            <w:r>
              <w:rPr>
                <w:rFonts w:ascii="Consolas" w:cs="Consolas" w:eastAsia="Consolas" w:hAnsi="Consolas"/>
                <w:color w:val="1A2B4A"/>
                <w:sz w:val="19"/>
                <w:szCs w:val="19"/>
              </w:rPr>
              <w:t xml:space="preserve">=IF(OR(C2&gt;5%,D2&lt;20%),"FLAG","OK")</w:t>
            </w:r>
          </w:p>
        </w:tc>
        <w:tc>
          <w:tcPr>
            <w:tcW w:type="dxa" w:w="1400"/>
            <w:shd w:fill="E5F5F3" w:val="clear"/>
            <w:tcMar>
              <w:top w:type="dxa" w:w="90"/>
              <w:left w:type="dxa" w:w="100"/>
              <w:bottom w:type="dxa" w:w="90"/>
              <w:right w:type="dxa" w:w="100"/>
            </w:tcMar>
          </w:tcPr>
          <w:p>
            <w:pPr>
              <w:jc w:val="center"/>
            </w:pPr>
            <w:r>
              <w:rPr>
                <w:rFonts w:ascii="Calibri" w:cs="Calibri" w:eastAsia="Calibri" w:hAnsi="Calibri"/>
                <w:b/>
                <w:bCs/>
                <w:color w:val="0E9E8E"/>
                <w:sz w:val="17"/>
                <w:szCs w:val="17"/>
              </w:rPr>
              <w:t xml:space="preserve">✓ CORRECT</w:t>
            </w:r>
          </w:p>
        </w:tc>
      </w:tr>
      <w:tr>
        <w:tc>
          <w:tcPr>
            <w:tcW w:type="dxa" w:w="700"/>
            <w:shd w:fill="1A2B4A" w:val="clear"/>
            <w:tcMar>
              <w:top w:type="dxa" w:w="90"/>
              <w:left w:type="dxa" w:w="100"/>
              <w:bottom w:type="dxa" w:w="90"/>
              <w:right w:type="dxa" w:w="100"/>
            </w:tcMar>
          </w:tcPr>
          <w:p>
            <w:pPr>
              <w:jc w:val="center"/>
            </w:pPr>
            <w:r>
              <w:rPr>
                <w:rFonts w:ascii="Calibri" w:cs="Calibri" w:eastAsia="Calibri" w:hAnsi="Calibri"/>
                <w:b/>
                <w:bCs/>
                <w:color w:val="FFFFFF"/>
                <w:sz w:val="19"/>
                <w:szCs w:val="19"/>
              </w:rPr>
              <w:t xml:space="preserve">C</w:t>
            </w:r>
          </w:p>
        </w:tc>
        <w:tc>
          <w:tcPr>
            <w:tcW w:type="dxa" w:w="7980"/>
            <w:tcMar>
              <w:top w:type="dxa" w:w="90"/>
              <w:left w:type="dxa" w:w="140"/>
              <w:bottom w:type="dxa" w:w="90"/>
              <w:right w:type="dxa" w:w="140"/>
            </w:tcMar>
          </w:tcPr>
          <w:p>
            <w:r>
              <w:rPr>
                <w:rFonts w:ascii="Consolas" w:cs="Consolas" w:eastAsia="Consolas" w:hAnsi="Consolas"/>
                <w:color w:val="1A2B4A"/>
                <w:sz w:val="19"/>
                <w:szCs w:val="19"/>
              </w:rPr>
              <w:t xml:space="preserve">=IF(OR(C2&lt;5%,D2&gt;20%),"FLAG","OK")</w:t>
            </w:r>
          </w:p>
        </w:tc>
        <w:tc>
          <w:tcPr>
            <w:tcW w:type="dxa" w:w="1400"/>
            <w:tcMar>
              <w:top w:type="dxa" w:w="90"/>
              <w:left w:type="dxa" w:w="100"/>
              <w:bottom w:type="dxa" w:w="90"/>
              <w:right w:type="dxa" w:w="100"/>
            </w:tcMar>
          </w:tcPr>
          <w:p>
            <w:pPr>
              <w:jc w:val="center"/>
            </w:pPr>
            <w:r>
              <w:rPr>
                <w:rFonts w:ascii="Calibri" w:cs="Calibri" w:eastAsia="Calibri" w:hAnsi="Calibri"/>
                <w:b/>
                <w:bCs/>
                <w:color w:val="0E9E8E"/>
                <w:sz w:val="17"/>
                <w:szCs w:val="17"/>
              </w:rPr>
              <w:t xml:space="preserve"/>
            </w:r>
          </w:p>
        </w:tc>
      </w:tr>
      <w:tr>
        <w:tc>
          <w:tcPr>
            <w:tcW w:type="dxa" w:w="700"/>
            <w:shd w:fill="1A2B4A" w:val="clear"/>
            <w:tcMar>
              <w:top w:type="dxa" w:w="90"/>
              <w:left w:type="dxa" w:w="100"/>
              <w:bottom w:type="dxa" w:w="90"/>
              <w:right w:type="dxa" w:w="100"/>
            </w:tcMar>
          </w:tcPr>
          <w:p>
            <w:pPr>
              <w:jc w:val="center"/>
            </w:pPr>
            <w:r>
              <w:rPr>
                <w:rFonts w:ascii="Calibri" w:cs="Calibri" w:eastAsia="Calibri" w:hAnsi="Calibri"/>
                <w:b/>
                <w:bCs/>
                <w:color w:val="FFFFFF"/>
                <w:sz w:val="19"/>
                <w:szCs w:val="19"/>
              </w:rPr>
              <w:t xml:space="preserve">D</w:t>
            </w:r>
          </w:p>
        </w:tc>
        <w:tc>
          <w:tcPr>
            <w:tcW w:type="dxa" w:w="7980"/>
            <w:tcMar>
              <w:top w:type="dxa" w:w="90"/>
              <w:left w:type="dxa" w:w="140"/>
              <w:bottom w:type="dxa" w:w="90"/>
              <w:right w:type="dxa" w:w="140"/>
            </w:tcMar>
          </w:tcPr>
          <w:p>
            <w:r>
              <w:rPr>
                <w:rFonts w:ascii="Consolas" w:cs="Consolas" w:eastAsia="Consolas" w:hAnsi="Consolas"/>
                <w:color w:val="1A2B4A"/>
                <w:sz w:val="19"/>
                <w:szCs w:val="19"/>
              </w:rPr>
              <w:t xml:space="preserve">=IF(AND(C2&lt;5%,D2&gt;20%),"FLAG","OK")</w:t>
            </w:r>
          </w:p>
        </w:tc>
        <w:tc>
          <w:tcPr>
            <w:tcW w:type="dxa" w:w="1400"/>
            <w:tcMar>
              <w:top w:type="dxa" w:w="90"/>
              <w:left w:type="dxa" w:w="100"/>
              <w:bottom w:type="dxa" w:w="90"/>
              <w:right w:type="dxa" w:w="100"/>
            </w:tcMar>
          </w:tcPr>
          <w:p>
            <w:pPr>
              <w:jc w:val="center"/>
            </w:pPr>
            <w:r>
              <w:rPr>
                <w:rFonts w:ascii="Calibri" w:cs="Calibri" w:eastAsia="Calibri" w:hAnsi="Calibri"/>
                <w:b/>
                <w:bCs/>
                <w:color w:val="0E9E8E"/>
                <w:sz w:val="17"/>
                <w:szCs w:val="17"/>
              </w:rPr>
              <w:t xml:space="preserve"/>
            </w:r>
          </w:p>
        </w:tc>
      </w:tr>
    </w:tbl>
    <w:p>
      <w:pPr>
        <w:spacing w:after="160"/>
      </w:pPr>
    </w:p>
    <w:p>
      <w:pPr>
        <w:pStyle w:val="Heading2"/>
        <w:spacing w:after="100" w:before="260"/>
      </w:pPr>
      <w:r>
        <w:rPr>
          <w:rFonts w:ascii="Calibri" w:cs="Calibri" w:eastAsia="Calibri" w:hAnsi="Calibri"/>
          <w:b/>
          <w:bCs/>
          <w:color w:val="1A2B4A"/>
          <w:sz w:val="24"/>
          <w:szCs w:val="24"/>
        </w:rPr>
        <w:t xml:space="preserve">Why B is correct</w:t>
      </w:r>
    </w:p>
    <w:p>
      <w:pPr>
        <w:spacing w:after="120"/>
      </w:pPr>
      <w:r>
        <w:rPr>
          <w:rFonts w:ascii="Calibri" w:cs="Calibri" w:eastAsia="Calibri" w:hAnsi="Calibri"/>
          <w:b w:val="false"/>
          <w:bCs w:val="false"/>
          <w:i w:val="false"/>
          <w:iCs w:val="false"/>
          <w:color w:val="2A2A2A"/>
          <w:sz w:val="21"/>
          <w:szCs w:val="21"/>
        </w:rPr>
        <w:t xml:space="preserve">OR flags a department the moment either condition is true — turnover above 5%, Emiratisation below 20%, or both. That is exactly what "above 5% OR below 20%" requires. The comparison operators (&gt; and &lt;) are also pointed the correct way: greater-than for turnover, less-than for Emiratisation.</w:t>
      </w:r>
    </w:p>
    <w:p>
      <w:pPr>
        <w:pStyle w:val="Heading2"/>
        <w:spacing w:after="100" w:before="260"/>
      </w:pPr>
      <w:r>
        <w:rPr>
          <w:rFonts w:ascii="Calibri" w:cs="Calibri" w:eastAsia="Calibri" w:hAnsi="Calibri"/>
          <w:b/>
          <w:bCs/>
          <w:color w:val="1A2B4A"/>
          <w:sz w:val="24"/>
          <w:szCs w:val="24"/>
        </w:rPr>
        <w:t xml:space="preserve">Why each distractor is wrong</w:t>
      </w:r>
    </w:p>
    <w:p>
      <w:pPr>
        <w:spacing w:after="80"/>
        <w:ind w:left="360"/>
      </w:pPr>
      <w:r>
        <w:rPr>
          <w:rFonts w:ascii="Calibri" w:cs="Calibri" w:eastAsia="Calibri" w:hAnsi="Calibri"/>
          <w:b/>
          <w:bCs/>
          <w:color w:val="0E9E8E"/>
          <w:sz w:val="21"/>
          <w:szCs w:val="21"/>
        </w:rPr>
        <w:t xml:space="preserve">▪ </w:t>
      </w:r>
      <w:r>
        <w:rPr>
          <w:rFonts w:ascii="Calibri" w:cs="Calibri" w:eastAsia="Calibri" w:hAnsi="Calibri"/>
          <w:b w:val="false"/>
          <w:bCs w:val="false"/>
          <w:color w:val="2A2A2A"/>
          <w:sz w:val="21"/>
          <w:szCs w:val="21"/>
        </w:rPr>
        <w:t xml:space="preserve">Option A (AND, correct operators): AND requires both conditions to be true at the same time. This would only flag a department in serious trouble on both metrics simultaneously (like Warehouse in Round 3), and would miss a department like Customer Service or Operations that only fails one metric. This is the most common real-world mistake — "flag it if this AND that" sounds natural in plain English, but the brief specifically says OR.</w:t>
      </w:r>
    </w:p>
    <w:p>
      <w:pPr>
        <w:spacing w:after="80"/>
        <w:ind w:left="360"/>
      </w:pPr>
      <w:r>
        <w:rPr>
          <w:rFonts w:ascii="Calibri" w:cs="Calibri" w:eastAsia="Calibri" w:hAnsi="Calibri"/>
          <w:b/>
          <w:bCs/>
          <w:color w:val="0E9E8E"/>
          <w:sz w:val="21"/>
          <w:szCs w:val="21"/>
        </w:rPr>
        <w:t xml:space="preserve">▪ </w:t>
      </w:r>
      <w:r>
        <w:rPr>
          <w:rFonts w:ascii="Calibri" w:cs="Calibri" w:eastAsia="Calibri" w:hAnsi="Calibri"/>
          <w:b w:val="false"/>
          <w:bCs w:val="false"/>
          <w:color w:val="2A2A2A"/>
          <w:sz w:val="21"/>
          <w:szCs w:val="21"/>
        </w:rPr>
        <w:t xml:space="preserve">Option C (OR, flipped operators): Uses OR correctly but the comparison signs are backwards (&lt; instead of &gt;, &gt; instead of &lt;). This formula would flag the healthy departments and clear the at-risk ones — the exact opposite of the intended rule.</w:t>
      </w:r>
    </w:p>
    <w:p>
      <w:pPr>
        <w:spacing w:after="80"/>
        <w:ind w:left="360"/>
      </w:pPr>
      <w:r>
        <w:rPr>
          <w:rFonts w:ascii="Calibri" w:cs="Calibri" w:eastAsia="Calibri" w:hAnsi="Calibri"/>
          <w:b/>
          <w:bCs/>
          <w:color w:val="0E9E8E"/>
          <w:sz w:val="21"/>
          <w:szCs w:val="21"/>
        </w:rPr>
        <w:t xml:space="preserve">▪ </w:t>
      </w:r>
      <w:r>
        <w:rPr>
          <w:rFonts w:ascii="Calibri" w:cs="Calibri" w:eastAsia="Calibri" w:hAnsi="Calibri"/>
          <w:b w:val="false"/>
          <w:bCs w:val="false"/>
          <w:color w:val="2A2A2A"/>
          <w:sz w:val="21"/>
          <w:szCs w:val="21"/>
        </w:rPr>
        <w:t xml:space="preserve">Option D (AND, flipped operators): Combines both mistakes — wrong logical operator and wrong comparison signs. This is the least selected option in testing, as it requires missing the logic twice, but it's included to keep four genuinely distinct formulas on the screen.</w:t>
      </w:r>
    </w:p>
    <w:p>
      <w:pPr>
        <w:pStyle w:val="Heading2"/>
        <w:spacing w:after="100" w:before="260"/>
      </w:pPr>
      <w:r>
        <w:rPr>
          <w:rFonts w:ascii="Calibri" w:cs="Calibri" w:eastAsia="Calibri" w:hAnsi="Calibri"/>
          <w:b/>
          <w:bCs/>
          <w:color w:val="1A2B4A"/>
          <w:sz w:val="24"/>
          <w:szCs w:val="24"/>
        </w:rPr>
        <w:t xml:space="preserve">Facilitation notes</w:t>
      </w:r>
    </w:p>
    <w:p>
      <w:pPr>
        <w:spacing w:after="80"/>
        <w:ind w:left="360"/>
      </w:pPr>
      <w:r>
        <w:rPr>
          <w:rFonts w:ascii="Calibri" w:cs="Calibri" w:eastAsia="Calibri" w:hAnsi="Calibri"/>
          <w:b/>
          <w:bCs/>
          <w:color w:val="0E9E8E"/>
          <w:sz w:val="21"/>
          <w:szCs w:val="21"/>
        </w:rPr>
        <w:t xml:space="preserve">▪ </w:t>
      </w:r>
      <w:r>
        <w:rPr>
          <w:rFonts w:ascii="Calibri" w:cs="Calibri" w:eastAsia="Calibri" w:hAnsi="Calibri"/>
          <w:b w:val="false"/>
          <w:bCs w:val="false"/>
          <w:color w:val="2A2A2A"/>
          <w:sz w:val="21"/>
          <w:szCs w:val="21"/>
        </w:rPr>
        <w:t xml:space="preserve">This round is purely about AND vs OR and &gt; vs &lt; — no syntax or cell-reference knowledge is being tested.</w:t>
      </w:r>
    </w:p>
    <w:p>
      <w:pPr>
        <w:spacing w:after="80"/>
        <w:ind w:left="360"/>
      </w:pPr>
      <w:r>
        <w:rPr>
          <w:rFonts w:ascii="Calibri" w:cs="Calibri" w:eastAsia="Calibri" w:hAnsi="Calibri"/>
          <w:b/>
          <w:bCs/>
          <w:color w:val="0E9E8E"/>
          <w:sz w:val="21"/>
          <w:szCs w:val="21"/>
        </w:rPr>
        <w:t xml:space="preserve">▪ </w:t>
      </w:r>
      <w:r>
        <w:rPr>
          <w:rFonts w:ascii="Calibri" w:cs="Calibri" w:eastAsia="Calibri" w:hAnsi="Calibri"/>
          <w:b w:val="false"/>
          <w:bCs w:val="false"/>
          <w:color w:val="2A2A2A"/>
          <w:sz w:val="21"/>
          <w:szCs w:val="21"/>
        </w:rPr>
        <w:t xml:space="preserve">Good debrief phrase: "In plain English, say the rule out loud using the word 'or' before you write a single character of formula. If your sentence has 'or' in it, your formula needs OR in it too."</w:t>
      </w:r>
    </w:p>
    <w:p>
      <w:pPr>
        <w:spacing w:after="80"/>
        <w:ind w:left="360"/>
      </w:pPr>
      <w:r>
        <w:rPr>
          <w:rFonts w:ascii="Calibri" w:cs="Calibri" w:eastAsia="Calibri" w:hAnsi="Calibri"/>
          <w:b/>
          <w:bCs/>
          <w:color w:val="0E9E8E"/>
          <w:sz w:val="21"/>
          <w:szCs w:val="21"/>
        </w:rPr>
        <w:t xml:space="preserve">▪ </w:t>
      </w:r>
      <w:r>
        <w:rPr>
          <w:rFonts w:ascii="Calibri" w:cs="Calibri" w:eastAsia="Calibri" w:hAnsi="Calibri"/>
          <w:b w:val="false"/>
          <w:bCs w:val="false"/>
          <w:color w:val="2A2A2A"/>
          <w:sz w:val="21"/>
          <w:szCs w:val="21"/>
        </w:rPr>
        <w:t xml:space="preserve">If several learners choose Option A, it's worth a short group discussion — this is the single most common nested-IF/AND-OR mistake in real HR dashboards, not just a simulation quirk.</w:t>
      </w:r>
    </w:p>
    <w:p>
      <w:pPr>
        <w:pStyle w:val="Heading1"/>
        <w:pBdr>
          <w:bottom w:val="single" w:color="0E9E8E" w:sz="8" w:space="4"/>
        </w:pBdr>
        <w:spacing w:after="140" w:before="320"/>
      </w:pPr>
      <w:r>
        <w:rPr>
          <w:rFonts w:ascii="Calibri" w:cs="Calibri" w:eastAsia="Calibri" w:hAnsi="Calibri"/>
          <w:b/>
          <w:bCs/>
          <w:color w:val="1A2B4A"/>
          <w:sz w:val="30"/>
          <w:szCs w:val="30"/>
        </w:rPr>
        <w:t xml:space="preserve">6. Quick Answer Key</w:t>
      </w:r>
    </w:p>
    <w:tbl>
      <w:tblPr>
        <w:tblW w:type="dxa" w:w="10080"/>
        <w:tblBorders>
          <w:top w:val="single" w:color="D8DCE4" w:sz="4"/>
          <w:left w:val="single" w:color="D8DCE4" w:sz="4"/>
          <w:bottom w:val="single" w:color="D8DCE4" w:sz="4"/>
          <w:right w:val="single" w:color="D8DCE4" w:sz="4"/>
          <w:insideH w:val="single" w:color="D8DCE4" w:sz="4"/>
          <w:insideV w:val="single" w:color="D8DCE4" w:sz="4"/>
        </w:tblBorders>
      </w:tblPr>
      <w:tblGrid>
        <w:gridCol w:w="3360"/>
        <w:gridCol w:w="3360"/>
        <w:gridCol w:w="3360"/>
      </w:tblGrid>
      <w:tr>
        <w:trPr>
          <w:tblHeader/>
        </w:trPr>
        <w:tc>
          <w:tcPr>
            <w:tcW w:type="dxa" w:w="3360"/>
            <w:shd w:fill="1A2B4A" w:val="clear"/>
            <w:tcMar>
              <w:top w:type="dxa" w:w="100"/>
              <w:left w:type="dxa" w:w="140"/>
              <w:bottom w:type="dxa" w:w="100"/>
              <w:right w:type="dxa" w:w="140"/>
            </w:tcMar>
          </w:tcPr>
          <w:p>
            <w:r>
              <w:rPr>
                <w:rFonts w:ascii="Consolas" w:cs="Consolas" w:eastAsia="Consolas" w:hAnsi="Consolas"/>
                <w:b/>
                <w:bCs/>
                <w:color w:val="FFFFFF"/>
                <w:sz w:val="18"/>
                <w:szCs w:val="18"/>
              </w:rPr>
              <w:t xml:space="preserve">ROUND</w:t>
            </w:r>
          </w:p>
        </w:tc>
        <w:tc>
          <w:tcPr>
            <w:tcW w:type="dxa" w:w="3360"/>
            <w:shd w:fill="1A2B4A" w:val="clear"/>
            <w:tcMar>
              <w:top w:type="dxa" w:w="100"/>
              <w:left w:type="dxa" w:w="140"/>
              <w:bottom w:type="dxa" w:w="100"/>
              <w:right w:type="dxa" w:w="140"/>
            </w:tcMar>
          </w:tcPr>
          <w:p>
            <w:r>
              <w:rPr>
                <w:rFonts w:ascii="Consolas" w:cs="Consolas" w:eastAsia="Consolas" w:hAnsi="Consolas"/>
                <w:b/>
                <w:bCs/>
                <w:color w:val="FFFFFF"/>
                <w:sz w:val="18"/>
                <w:szCs w:val="18"/>
              </w:rPr>
              <w:t xml:space="preserve">TOPIC</w:t>
            </w:r>
          </w:p>
        </w:tc>
        <w:tc>
          <w:tcPr>
            <w:tcW w:type="dxa" w:w="3360"/>
            <w:shd w:fill="1A2B4A" w:val="clear"/>
            <w:tcMar>
              <w:top w:type="dxa" w:w="100"/>
              <w:left w:type="dxa" w:w="140"/>
              <w:bottom w:type="dxa" w:w="100"/>
              <w:right w:type="dxa" w:w="140"/>
            </w:tcMar>
          </w:tcPr>
          <w:p>
            <w:r>
              <w:rPr>
                <w:rFonts w:ascii="Consolas" w:cs="Consolas" w:eastAsia="Consolas" w:hAnsi="Consolas"/>
                <w:b/>
                <w:bCs/>
                <w:color w:val="FFFFFF"/>
                <w:sz w:val="18"/>
                <w:szCs w:val="18"/>
              </w:rPr>
              <w:t xml:space="preserve">CORRECT ANSWER</w:t>
            </w:r>
          </w:p>
        </w:tc>
      </w:tr>
      <w:tr>
        <w:tc>
          <w:tcPr>
            <w:tcW w:type="dxa" w:w="3360"/>
            <w:tcMar>
              <w:top w:type="dxa" w:w="90"/>
              <w:left w:type="dxa" w:w="140"/>
              <w:bottom w:type="dxa" w:w="90"/>
              <w:right w:type="dxa" w:w="140"/>
            </w:tcMar>
          </w:tcPr>
          <w:p>
            <w:r>
              <w:rPr>
                <w:rFonts w:ascii="Consolas" w:cs="Consolas" w:eastAsia="Consolas" w:hAnsi="Consolas"/>
                <w:color w:val="1A2B4A"/>
                <w:sz w:val="18"/>
                <w:szCs w:val="18"/>
              </w:rPr>
              <w:t xml:space="preserve">1</w:t>
            </w:r>
          </w:p>
        </w:tc>
        <w:tc>
          <w:tcPr>
            <w:tcW w:type="dxa" w:w="3360"/>
            <w:tcMar>
              <w:top w:type="dxa" w:w="90"/>
              <w:left w:type="dxa" w:w="140"/>
              <w:bottom w:type="dxa" w:w="90"/>
              <w:right w:type="dxa" w:w="140"/>
            </w:tcMar>
          </w:tcPr>
          <w:p>
            <w:r>
              <w:rPr>
                <w:rFonts w:ascii="Consolas" w:cs="Consolas" w:eastAsia="Consolas" w:hAnsi="Consolas"/>
                <w:color w:val="1A2B4A"/>
                <w:sz w:val="18"/>
                <w:szCs w:val="18"/>
              </w:rPr>
              <w:t xml:space="preserve">Data Cleaning</w:t>
            </w:r>
          </w:p>
        </w:tc>
        <w:tc>
          <w:tcPr>
            <w:tcW w:type="dxa" w:w="3360"/>
            <w:tcMar>
              <w:top w:type="dxa" w:w="90"/>
              <w:left w:type="dxa" w:w="140"/>
              <w:bottom w:type="dxa" w:w="90"/>
              <w:right w:type="dxa" w:w="140"/>
            </w:tcMar>
          </w:tcPr>
          <w:p>
            <w:r>
              <w:rPr>
                <w:rFonts w:ascii="Consolas" w:cs="Consolas" w:eastAsia="Consolas" w:hAnsi="Consolas"/>
                <w:color w:val="1A2B4A"/>
                <w:sz w:val="18"/>
                <w:szCs w:val="18"/>
              </w:rPr>
              <w:t xml:space="preserve">Customer Service row — headcount "Three Hundred Ten" (text, not number)</w:t>
            </w:r>
          </w:p>
        </w:tc>
      </w:tr>
      <w:tr>
        <w:tc>
          <w:tcPr>
            <w:tcW w:type="dxa" w:w="3360"/>
            <w:tcMar>
              <w:top w:type="dxa" w:w="90"/>
              <w:left w:type="dxa" w:w="140"/>
              <w:bottom w:type="dxa" w:w="90"/>
              <w:right w:type="dxa" w:w="140"/>
            </w:tcMar>
          </w:tcPr>
          <w:p>
            <w:r>
              <w:rPr>
                <w:rFonts w:ascii="Consolas" w:cs="Consolas" w:eastAsia="Consolas" w:hAnsi="Consolas"/>
                <w:color w:val="1A2B4A"/>
                <w:sz w:val="18"/>
                <w:szCs w:val="18"/>
              </w:rPr>
              <w:t xml:space="preserve">2</w:t>
            </w:r>
          </w:p>
        </w:tc>
        <w:tc>
          <w:tcPr>
            <w:tcW w:type="dxa" w:w="3360"/>
            <w:tcMar>
              <w:top w:type="dxa" w:w="90"/>
              <w:left w:type="dxa" w:w="140"/>
              <w:bottom w:type="dxa" w:w="90"/>
              <w:right w:type="dxa" w:w="140"/>
            </w:tcMar>
          </w:tcPr>
          <w:p>
            <w:r>
              <w:rPr>
                <w:rFonts w:ascii="Consolas" w:cs="Consolas" w:eastAsia="Consolas" w:hAnsi="Consolas"/>
                <w:color w:val="1A2B4A"/>
                <w:sz w:val="18"/>
                <w:szCs w:val="18"/>
              </w:rPr>
              <w:t xml:space="preserve">XLOOKUP</w:t>
            </w:r>
          </w:p>
        </w:tc>
        <w:tc>
          <w:tcPr>
            <w:tcW w:type="dxa" w:w="3360"/>
            <w:tcMar>
              <w:top w:type="dxa" w:w="90"/>
              <w:left w:type="dxa" w:w="140"/>
              <w:bottom w:type="dxa" w:w="90"/>
              <w:right w:type="dxa" w:w="140"/>
            </w:tcMar>
          </w:tcPr>
          <w:p>
            <w:r>
              <w:rPr>
                <w:rFonts w:ascii="Consolas" w:cs="Consolas" w:eastAsia="Consolas" w:hAnsi="Consolas"/>
                <w:color w:val="1A2B4A"/>
                <w:sz w:val="18"/>
                <w:szCs w:val="18"/>
              </w:rPr>
              <w:t xml:space="preserve">Option B — name typo ("Warehose") in the lookup table</w:t>
            </w:r>
          </w:p>
        </w:tc>
      </w:tr>
      <w:tr>
        <w:tc>
          <w:tcPr>
            <w:tcW w:type="dxa" w:w="3360"/>
            <w:tcMar>
              <w:top w:type="dxa" w:w="90"/>
              <w:left w:type="dxa" w:w="140"/>
              <w:bottom w:type="dxa" w:w="90"/>
              <w:right w:type="dxa" w:w="140"/>
            </w:tcMar>
          </w:tcPr>
          <w:p>
            <w:r>
              <w:rPr>
                <w:rFonts w:ascii="Consolas" w:cs="Consolas" w:eastAsia="Consolas" w:hAnsi="Consolas"/>
                <w:color w:val="1A2B4A"/>
                <w:sz w:val="18"/>
                <w:szCs w:val="18"/>
              </w:rPr>
              <w:t xml:space="preserve">3</w:t>
            </w:r>
          </w:p>
        </w:tc>
        <w:tc>
          <w:tcPr>
            <w:tcW w:type="dxa" w:w="3360"/>
            <w:tcMar>
              <w:top w:type="dxa" w:w="90"/>
              <w:left w:type="dxa" w:w="140"/>
              <w:bottom w:type="dxa" w:w="90"/>
              <w:right w:type="dxa" w:w="140"/>
            </w:tcMar>
          </w:tcPr>
          <w:p>
            <w:r>
              <w:rPr>
                <w:rFonts w:ascii="Consolas" w:cs="Consolas" w:eastAsia="Consolas" w:hAnsi="Consolas"/>
                <w:color w:val="1A2B4A"/>
                <w:sz w:val="18"/>
                <w:szCs w:val="18"/>
              </w:rPr>
              <w:t xml:space="preserve">PivotTable &amp; Conditional Formatting</w:t>
            </w:r>
          </w:p>
        </w:tc>
        <w:tc>
          <w:tcPr>
            <w:tcW w:type="dxa" w:w="3360"/>
            <w:tcMar>
              <w:top w:type="dxa" w:w="90"/>
              <w:left w:type="dxa" w:w="140"/>
              <w:bottom w:type="dxa" w:w="90"/>
              <w:right w:type="dxa" w:w="140"/>
            </w:tcMar>
          </w:tcPr>
          <w:p>
            <w:r>
              <w:rPr>
                <w:rFonts w:ascii="Consolas" w:cs="Consolas" w:eastAsia="Consolas" w:hAnsi="Consolas"/>
                <w:color w:val="1A2B4A"/>
                <w:sz w:val="18"/>
                <w:szCs w:val="18"/>
              </w:rPr>
              <w:t xml:space="preserve">Finance — incorrectly highlighted; meets neither flag condition</w:t>
            </w:r>
          </w:p>
        </w:tc>
      </w:tr>
      <w:tr>
        <w:tc>
          <w:tcPr>
            <w:tcW w:type="dxa" w:w="3360"/>
            <w:tcMar>
              <w:top w:type="dxa" w:w="90"/>
              <w:left w:type="dxa" w:w="140"/>
              <w:bottom w:type="dxa" w:w="90"/>
              <w:right w:type="dxa" w:w="140"/>
            </w:tcMar>
          </w:tcPr>
          <w:p>
            <w:r>
              <w:rPr>
                <w:rFonts w:ascii="Consolas" w:cs="Consolas" w:eastAsia="Consolas" w:hAnsi="Consolas"/>
                <w:color w:val="1A2B4A"/>
                <w:sz w:val="18"/>
                <w:szCs w:val="18"/>
              </w:rPr>
              <w:t xml:space="preserve">4</w:t>
            </w:r>
          </w:p>
        </w:tc>
        <w:tc>
          <w:tcPr>
            <w:tcW w:type="dxa" w:w="3360"/>
            <w:tcMar>
              <w:top w:type="dxa" w:w="90"/>
              <w:left w:type="dxa" w:w="140"/>
              <w:bottom w:type="dxa" w:w="90"/>
              <w:right w:type="dxa" w:w="140"/>
            </w:tcMar>
          </w:tcPr>
          <w:p>
            <w:r>
              <w:rPr>
                <w:rFonts w:ascii="Consolas" w:cs="Consolas" w:eastAsia="Consolas" w:hAnsi="Consolas"/>
                <w:color w:val="1A2B4A"/>
                <w:sz w:val="18"/>
                <w:szCs w:val="18"/>
              </w:rPr>
              <w:t xml:space="preserve">IF Logic</w:t>
            </w:r>
          </w:p>
        </w:tc>
        <w:tc>
          <w:tcPr>
            <w:tcW w:type="dxa" w:w="3360"/>
            <w:tcMar>
              <w:top w:type="dxa" w:w="90"/>
              <w:left w:type="dxa" w:w="140"/>
              <w:bottom w:type="dxa" w:w="90"/>
              <w:right w:type="dxa" w:w="140"/>
            </w:tcMar>
          </w:tcPr>
          <w:p>
            <w:r>
              <w:rPr>
                <w:rFonts w:ascii="Consolas" w:cs="Consolas" w:eastAsia="Consolas" w:hAnsi="Consolas"/>
                <w:color w:val="1A2B4A"/>
                <w:sz w:val="18"/>
                <w:szCs w:val="18"/>
              </w:rPr>
              <w:t xml:space="preserve">Option B — =IF(OR(C2&gt;5%,D2&lt;20%),"FLAG","OK")</w:t>
            </w:r>
          </w:p>
        </w:tc>
      </w:tr>
    </w:tbl>
    <w:p>
      <w:pPr>
        <w:spacing w:after="200"/>
      </w:pPr>
    </w:p>
    <w:p>
      <w:pPr>
        <w:pStyle w:val="Heading1"/>
        <w:pBdr>
          <w:bottom w:val="single" w:color="0E9E8E" w:sz="8" w:space="4"/>
        </w:pBdr>
        <w:spacing w:after="140" w:before="320"/>
      </w:pPr>
      <w:r>
        <w:rPr>
          <w:rFonts w:ascii="Calibri" w:cs="Calibri" w:eastAsia="Calibri" w:hAnsi="Calibri"/>
          <w:b/>
          <w:bCs/>
          <w:color w:val="1A2B4A"/>
          <w:sz w:val="30"/>
          <w:szCs w:val="30"/>
        </w:rPr>
        <w:t xml:space="preserve">7. LMS Integration Note</w:t>
      </w:r>
    </w:p>
    <w:p>
      <w:pPr>
        <w:spacing w:after="120"/>
      </w:pPr>
      <w:r>
        <w:rPr>
          <w:rFonts w:ascii="Calibri" w:cs="Calibri" w:eastAsia="Calibri" w:hAnsi="Calibri"/>
          <w:b w:val="false"/>
          <w:bCs w:val="false"/>
          <w:i w:val="false"/>
          <w:iCs w:val="false"/>
          <w:color w:val="2A2A2A"/>
          <w:sz w:val="21"/>
          <w:szCs w:val="21"/>
        </w:rPr>
        <w:t xml:space="preserve">On completion of all four rounds, the simulation automatically posts the learner's final score to the host LMS page:</w:t>
      </w:r>
    </w:p>
    <w:p>
      <w:pPr>
        <w:shd w:fill="F2F4F7" w:val="clear"/>
        <w:spacing w:after="160"/>
      </w:pPr>
      <w:r>
        <w:rPr>
          <w:rFonts w:ascii="Consolas" w:cs="Consolas" w:eastAsia="Consolas" w:hAnsi="Consolas"/>
          <w:color w:val="1A2B4A"/>
          <w:sz w:val="18"/>
          <w:szCs w:val="18"/>
        </w:rPr>
        <w:t xml:space="preserve">window.parent.postMessage({ type: "QUIZ_COMPLETED", score: score }, "*");</w:t>
      </w:r>
    </w:p>
    <w:p>
      <w:pPr>
        <w:spacing w:after="120"/>
      </w:pPr>
      <w:r>
        <w:rPr>
          <w:rFonts w:ascii="Calibri" w:cs="Calibri" w:eastAsia="Calibri" w:hAnsi="Calibri"/>
          <w:b w:val="false"/>
          <w:bCs w:val="false"/>
          <w:i w:val="false"/>
          <w:iCs w:val="false"/>
          <w:color w:val="2A2A2A"/>
          <w:sz w:val="21"/>
          <w:szCs w:val="21"/>
        </w:rPr>
        <w:t xml:space="preserve">Score is the integer LMS value (0–100), calculated as (total points ÷ 4) × 100. No manual grading is required. Note: the message target origin is currently set to a wildcard ("*") for testing — this should be restricted to the LMS's actual domain before production rollout.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82"/>
        <w:sz w:val="15"/>
        <w:szCs w:val="15"/>
      </w:rPr>
      <w:t xml:space="preserve">Learners Point Academy · Confidential — Trainer Use Only · Page </w:t>
    </w:r>
    <w:r>
      <w:rPr>
        <w:rFonts w:ascii="Calibri" w:cs="Calibri" w:eastAsia="Calibri" w:hAnsi="Calibri"/>
        <w:color w:val="5B6B82"/>
        <w:sz w:val="15"/>
        <w:szCs w:val="15"/>
      </w:rPr>
      <w:fldChar w:fldCharType="begin"/>
      <w:instrText xml:space="preserve">PAGE</w:instrText>
      <w:fldChar w:fldCharType="separate"/>
      <w:fldChar w:fldCharType="end"/>
    </w:r>
    <w:r>
      <w:rPr>
        <w:rFonts w:ascii="Calibri" w:cs="Calibri" w:eastAsia="Calibri" w:hAnsi="Calibri"/>
        <w:color w:val="5B6B82"/>
        <w:sz w:val="15"/>
        <w:szCs w:val="15"/>
      </w:rPr>
      <w:t xml:space="preserve"> of </w:t>
    </w:r>
    <w:r>
      <w:rPr>
        <w:rFonts w:ascii="Calibri" w:cs="Calibri" w:eastAsia="Calibri" w:hAnsi="Calibri"/>
        <w:color w:val="5B6B8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82"/>
        <w:sz w:val="15"/>
        <w:szCs w:val="15"/>
      </w:rPr>
      <w:t xml:space="preserve">Gulf Freight Co. HR Dashboard Simulation — Trainer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2026-07-15T13:22:39.900Z</dcterms:created>
  <dcterms:modified xsi:type="dcterms:W3CDTF">2026-07-15T13:22:39.919Z</dcterms:modified>
</cp:coreProperties>
</file>

<file path=docProps/custom.xml><?xml version="1.0" encoding="utf-8"?>
<Properties xmlns="http://schemas.openxmlformats.org/officeDocument/2006/custom-properties" xmlns:vt="http://schemas.openxmlformats.org/officeDocument/2006/docPropsVTypes"/>
</file>