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 de Projeto…………………………………………………………………………………2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Termo de Abertura de Projeto……………………………………………………………………….3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EAP…………………………………………………………………………………………………….4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Quadro de Tempo…………………………………………………………………………………….5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Quadro de Equipe…………………………………………………………………………………….6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Quadro do diagrama de redes………………………………………………………………………7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Diagrama de Rede……………………………………………………………………………………8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DESCRIÇÃO DO PROJETO:</w:t>
      </w:r>
    </w:p>
    <w:p w:rsidR="00000000" w:rsidDel="00000000" w:rsidP="00000000" w:rsidRDefault="00000000" w:rsidRPr="00000000" w14:paraId="0000005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Construção de um equipamento utilizado para </w:t>
      </w:r>
      <w:r w:rsidDel="00000000" w:rsidR="00000000" w:rsidRPr="00000000">
        <w:rPr>
          <w:color w:val="222222"/>
          <w:rtl w:val="0"/>
        </w:rPr>
        <w:t xml:space="preserve">gerar sinais senoidais, triangulares, quadrados, pulsos, todos com diversas frequências e amplitudes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sendo utilizado em laboratórios como fonte de sinal para testes de equipamentos eletrônicos.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566.9291338582677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