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7fef7125ee1073bcc3a40464f30c91fb2efd2c1"/>
      <w:r>
        <w:t xml:space="preserve">DEMANDE INTRODUCTIVE D’INSTANCE — abus de procédure (art. 51-56 C.p.c.) + diffamation (art. 1457 C.c.Q. + Charte)</w:t>
      </w:r>
      <w:bookmarkEnd w:id="20"/>
    </w:p>
    <w:p>
      <w:pPr>
        <w:pStyle w:val="BlockText"/>
      </w:pPr>
      <w:r>
        <w:rPr>
          <w:b/>
        </w:rPr>
        <w:t xml:space="preserve">STATUT : BROUILLON DE TRAVAIL — COQUILLE.</w:t>
      </w:r>
      <w:r>
        <w:t xml:space="preserve"> </w:t>
      </w:r>
      <w:r>
        <w:t xml:space="preserve">À réviser par un avocat avant tout dépôt. Les</w:t>
      </w:r>
      <w:r>
        <w:t xml:space="preserve"> </w:t>
      </w:r>
      <w:r>
        <w:rPr>
          <w:b/>
        </w:rPr>
        <w:t xml:space="preserve">numéros d’articles</w:t>
      </w:r>
      <w:r>
        <w:t xml:space="preserve"> </w:t>
      </w:r>
      <w:r>
        <w:t xml:space="preserve">(C.p.c. / C.c.Q. / Charte) sont à</w:t>
      </w:r>
      <w:r>
        <w:t xml:space="preserve"> </w:t>
      </w:r>
      <w:r>
        <w:rPr>
          <w:b/>
        </w:rPr>
        <w:t xml:space="preserve">vérifier</w:t>
      </w:r>
      <w:r>
        <w:t xml:space="preserve"> </w:t>
      </w:r>
      <w:r>
        <w:t xml:space="preserve">contre le texte en vigueur ([legal_reference_cpc] en mémoire).</w:t>
      </w:r>
    </w:p>
    <w:p>
      <w:pPr>
        <w:pStyle w:val="BlockText"/>
      </w:pPr>
      <w:r>
        <w:rPr>
          <w:b/>
        </w:rPr>
        <w:t xml:space="preserve">Architecture (décidée avec le client).</w:t>
      </w:r>
      <w:r>
        <w:t xml:space="preserve"> </w:t>
      </w:r>
      <w:r>
        <w:t xml:space="preserve">Ce fichier est la</w:t>
      </w:r>
      <w:r>
        <w:t xml:space="preserve"> </w:t>
      </w:r>
      <w:r>
        <w:rPr>
          <w:b/>
        </w:rPr>
        <w:t xml:space="preserve">coquille complète</w:t>
      </w:r>
      <w:r>
        <w:t xml:space="preserve"> </w:t>
      </w:r>
      <w:r>
        <w:t xml:space="preserve">de l’acte : intitulé, parties, moyens, causalité, préjudice, prescription, conclusions, bordereau, signature. La</w:t>
      </w:r>
      <w:r>
        <w:t xml:space="preserve"> </w:t>
      </w:r>
      <w:r>
        <w:rPr>
          <w:b/>
        </w:rPr>
        <w:t xml:space="preserve">section « Exposé des faits »</w:t>
      </w:r>
      <w:r>
        <w:t xml:space="preserve"> </w:t>
      </w:r>
      <w:r>
        <w:t xml:space="preserve">est laissée</w:t>
      </w:r>
      <w:r>
        <w:t xml:space="preserve"> </w:t>
      </w:r>
      <w:r>
        <w:rPr>
          <w:b/>
        </w:rPr>
        <w:t xml:space="preserve">vide</w:t>
      </w:r>
      <w:r>
        <w:t xml:space="preserve"> </w:t>
      </w:r>
      <w:r>
        <w:t xml:space="preserve">(emplacement réservé, § II) : l’exposé abouti vit séparément dans</w:t>
      </w:r>
      <w:r>
        <w:t xml:space="preserve"> </w:t>
      </w:r>
      <w:hyperlink r:id="rId21">
        <w:r>
          <w:rPr>
            <w:rStyle w:val="Hyperlink"/>
          </w:rPr>
          <w:t xml:space="preserve">requete_secton_faits_lp.md</w:t>
        </w:r>
      </w:hyperlink>
      <w:r>
        <w:t xml:space="preserve"> </w:t>
      </w:r>
      <w:r>
        <w:t xml:space="preserve">et sera</w:t>
      </w:r>
      <w:r>
        <w:t xml:space="preserve"> </w:t>
      </w:r>
      <w:r>
        <w:rPr>
          <w:b/>
        </w:rPr>
        <w:t xml:space="preserve">collé ici</w:t>
      </w:r>
      <w:r>
        <w:t xml:space="preserve"> </w:t>
      </w:r>
      <w:r>
        <w:t xml:space="preserve">(sans son entête) une fois le reste complété et conforme.</w:t>
      </w:r>
      <w:r>
        <w:t xml:space="preserve"> </w:t>
      </w:r>
      <w:r>
        <w:rPr>
          <w:b/>
        </w:rPr>
        <w:t xml:space="preserve">Ne pas dupliquer les faits ici.</w:t>
      </w:r>
    </w:p>
    <w:p>
      <w:pPr>
        <w:pStyle w:val="BlockText"/>
      </w:pPr>
      <w:r>
        <w:rPr>
          <w:b/>
        </w:rPr>
        <w:t xml:space="preserve">Décisions (du client) :</w:t>
      </w:r>
      <w:r>
        <w:t xml:space="preserve"> </w:t>
      </w:r>
      <w:r>
        <w:t xml:space="preserve">véhicule =</w:t>
      </w:r>
      <w:r>
        <w:t xml:space="preserve"> </w:t>
      </w:r>
      <w:r>
        <w:rPr>
          <w:b/>
        </w:rPr>
        <w:t xml:space="preserve">demande introductive d’instance</w:t>
      </w:r>
      <w:r>
        <w:t xml:space="preserve"> </w:t>
      </w:r>
      <w:r>
        <w:t xml:space="preserve">; garde + pension + plan 2013 + 2019 + 2023 intégrés au même acte (un seul patron de détournement). Défenderesses =</w:t>
      </w:r>
      <w:r>
        <w:t xml:space="preserve"> </w:t>
      </w:r>
      <w:r>
        <w:rPr>
          <w:b/>
        </w:rPr>
        <w:t xml:space="preserve">Élise Marie Ayoub</w:t>
      </w:r>
      <w:r>
        <w:t xml:space="preserve"> </w:t>
      </w:r>
      <w:r>
        <w:rPr>
          <w:i/>
        </w:rPr>
        <w:t xml:space="preserve">et</w:t>
      </w:r>
      <w:r>
        <w:t xml:space="preserve"> </w:t>
      </w:r>
      <w:r>
        <w:rPr>
          <w:b/>
        </w:rPr>
        <w:t xml:space="preserve">Me Marie-Josée Ayoub</w:t>
      </w:r>
      <w:r>
        <w:t xml:space="preserve">,</w:t>
      </w:r>
      <w:r>
        <w:t xml:space="preserve"> </w:t>
      </w:r>
      <w:r>
        <w:rPr>
          <w:b/>
        </w:rPr>
        <w:t xml:space="preserve">solidairement</w:t>
      </w:r>
      <w:r>
        <w:t xml:space="preserve"> </w:t>
      </w:r>
      <w:r>
        <w:t xml:space="preserve">(art. 1526 C.c.Q.) — déclarante sous serment + autrice des actes.</w:t>
      </w:r>
    </w:p>
    <w:p>
      <w:pPr>
        <w:pStyle w:val="BlockText"/>
      </w:pPr>
      <w:r>
        <w:rPr>
          <w:b/>
        </w:rPr>
        <w:t xml:space="preserve">⚠️ Système de cotes.</w:t>
      </w:r>
      <w:r>
        <w:t xml:space="preserve"> </w:t>
      </w:r>
      <w:r>
        <w:t xml:space="preserve">Toutes les cotes de cet acte suivent le système de l’</w:t>
      </w:r>
      <w:r>
        <w:rPr>
          <w:b/>
        </w:rPr>
        <w:t xml:space="preserve">exposé</w:t>
      </w:r>
      <w:r>
        <w:t xml:space="preserve"> </w:t>
      </w:r>
      <w:r>
        <w:t xml:space="preserve">et de</w:t>
      </w:r>
      <w:r>
        <w:t xml:space="preserve"> </w:t>
      </w:r>
      <w:hyperlink r:id="rId22">
        <w:r>
          <w:rPr>
            <w:rStyle w:val="Hyperlink"/>
          </w:rPr>
          <w:t xml:space="preserve">bordereau_pieces.md</w:t>
        </w:r>
      </w:hyperlink>
      <w:r>
        <w:t xml:space="preserve"> </w:t>
      </w:r>
      <w:r>
        <w:t xml:space="preserve">:</w:t>
      </w:r>
      <w:r>
        <w:t xml:space="preserve"> </w:t>
      </w:r>
      <w:r>
        <w:rPr>
          <w:b/>
        </w:rPr>
        <w:t xml:space="preserve">Requête 19 nov. 2015 = P-19</w:t>
      </w:r>
      <w:r>
        <w:t xml:space="preserve">, DA-2019 = P-42, dénonciation 2023 = P-40, courriel « plan » 11 juin 2013 = P-2, jugement 14 janv. 2016 = P-21. (L’ancien système P-6 de ce fichier a été abandonné.)</w:t>
      </w:r>
    </w:p>
    <w:p>
      <w:r>
        <w:pict>
          <v:rect style="width:0;height:1.5pt" o:hralign="center" o:hrstd="t" o:hr="t"/>
        </w:pict>
      </w:r>
    </w:p>
    <w:p>
      <w:pPr>
        <w:pStyle w:val="Heading2"/>
      </w:pPr>
      <w:bookmarkStart w:id="23" w:name="canevas-table-de-lacte"/>
      <w:r>
        <w:t xml:space="preserve">CANEVAS (table de l’acte)</w:t>
      </w:r>
      <w:bookmarkEnd w:id="23"/>
    </w:p>
    <w:p>
      <w:pPr>
        <w:pStyle w:val="Compact"/>
        <w:numPr>
          <w:numId w:val="1001"/>
          <w:ilvl w:val="0"/>
        </w:numPr>
      </w:pPr>
      <w:r>
        <w:rPr>
          <w:b/>
        </w:rPr>
        <w:t xml:space="preserve">Intitulé</w:t>
      </w:r>
      <w:r>
        <w:t xml:space="preserve"> </w:t>
      </w:r>
      <w:r>
        <w:t xml:space="preserve">(tribunal, district, parties)</w:t>
      </w:r>
    </w:p>
    <w:p>
      <w:pPr>
        <w:pStyle w:val="Compact"/>
        <w:numPr>
          <w:numId w:val="1001"/>
          <w:ilvl w:val="0"/>
        </w:numPr>
      </w:pPr>
      <w:r>
        <w:rPr>
          <w:b/>
        </w:rPr>
        <w:t xml:space="preserve">Objet de la demande</w:t>
      </w:r>
      <w:r>
        <w:t xml:space="preserve"> </w:t>
      </w:r>
      <w:r>
        <w:t xml:space="preserve">(art. 99 al. 2)</w:t>
      </w:r>
    </w:p>
    <w:p>
      <w:pPr>
        <w:pStyle w:val="Compact"/>
        <w:numPr>
          <w:numId w:val="1001"/>
          <w:ilvl w:val="0"/>
        </w:numPr>
      </w:pPr>
      <w:r>
        <w:rPr>
          <w:b/>
        </w:rPr>
        <w:t xml:space="preserve">§ I — Les parties et le contexte</w:t>
      </w:r>
    </w:p>
    <w:p>
      <w:pPr>
        <w:pStyle w:val="Compact"/>
        <w:numPr>
          <w:numId w:val="1001"/>
          <w:ilvl w:val="0"/>
        </w:numPr>
      </w:pPr>
      <w:r>
        <w:rPr>
          <w:b/>
        </w:rPr>
        <w:t xml:space="preserve">§ II — Exposé des faits</w:t>
      </w:r>
      <w:r>
        <w:t xml:space="preserve"> </w:t>
      </w:r>
      <w:r>
        <w:rPr>
          <w:i/>
        </w:rPr>
        <w:t xml:space="preserve">(EMPLACEMENT RÉSERVÉ — à coller depuis l’exposé)</w:t>
      </w:r>
    </w:p>
    <w:p>
      <w:pPr>
        <w:pStyle w:val="Compact"/>
        <w:numPr>
          <w:numId w:val="1001"/>
          <w:ilvl w:val="0"/>
        </w:numPr>
      </w:pPr>
      <w:r>
        <w:rPr>
          <w:b/>
        </w:rPr>
        <w:t xml:space="preserve">§ III — Les fautes</w:t>
      </w:r>
      <w:r>
        <w:t xml:space="preserve"> </w:t>
      </w:r>
      <w:r>
        <w:t xml:space="preserve">—</w:t>
      </w:r>
      <w:r>
        <w:t xml:space="preserve"> </w:t>
      </w:r>
      <w:r>
        <w:rPr>
          <w:b/>
        </w:rPr>
        <w:t xml:space="preserve">trois paliers indépendants et cumulatifs</w:t>
      </w:r>
      <w:r>
        <w:t xml:space="preserve"> </w:t>
      </w:r>
      <w:r>
        <w:t xml:space="preserve">: (1)</w:t>
      </w:r>
      <w:r>
        <w:t xml:space="preserve"> </w:t>
      </w:r>
      <w:r>
        <w:rPr>
          <w:b/>
        </w:rPr>
        <w:t xml:space="preserve">les faussetés</w:t>
      </w:r>
      <w:r>
        <w:t xml:space="preserve"> </w:t>
      </w:r>
      <w:r>
        <w:t xml:space="preserve">(fautes discrètes, § par §) · (2)</w:t>
      </w:r>
      <w:r>
        <w:t xml:space="preserve"> </w:t>
      </w:r>
      <w:r>
        <w:rPr>
          <w:b/>
        </w:rPr>
        <w:t xml:space="preserve">le cumul</w:t>
      </w:r>
      <w:r>
        <w:t xml:space="preserve"> </w:t>
      </w:r>
      <w:r>
        <w:t xml:space="preserve">(aggravation : durée, répétition, persistance) · (3)</w:t>
      </w:r>
      <w:r>
        <w:t xml:space="preserve"> </w:t>
      </w:r>
      <w:r>
        <w:rPr>
          <w:b/>
        </w:rPr>
        <w:t xml:space="preserve">le concert</w:t>
      </w:r>
      <w:r>
        <w:t xml:space="preserve"> </w:t>
      </w:r>
      <w:r>
        <w:t xml:space="preserve">(faute concertée → solidarité)</w:t>
      </w:r>
    </w:p>
    <w:p>
      <w:pPr>
        <w:pStyle w:val="Compact"/>
        <w:numPr>
          <w:numId w:val="1001"/>
          <w:ilvl w:val="0"/>
        </w:numPr>
      </w:pPr>
      <w:r>
        <w:rPr>
          <w:b/>
        </w:rPr>
        <w:t xml:space="preserve">§ IV — Moyens de droit I : Abus de procédure (art. 51-56 C.p.c.)</w:t>
      </w:r>
    </w:p>
    <w:p>
      <w:pPr>
        <w:pStyle w:val="Compact"/>
        <w:numPr>
          <w:numId w:val="1001"/>
          <w:ilvl w:val="0"/>
        </w:numPr>
      </w:pPr>
      <w:r>
        <w:rPr>
          <w:b/>
        </w:rPr>
        <w:t xml:space="preserve">§ V — Moyens de droit II : Diffamation (art. 1457 C.c.Q. + Charte, art. 4 et 49)</w:t>
      </w:r>
    </w:p>
    <w:p>
      <w:pPr>
        <w:pStyle w:val="Compact"/>
        <w:numPr>
          <w:numId w:val="1001"/>
          <w:ilvl w:val="0"/>
        </w:numPr>
      </w:pPr>
      <w:r>
        <w:rPr>
          <w:b/>
        </w:rPr>
        <w:t xml:space="preserve">§ VI — La solidarité (art. 1526 C.c.Q.)</w:t>
      </w:r>
    </w:p>
    <w:p>
      <w:pPr>
        <w:pStyle w:val="Compact"/>
        <w:numPr>
          <w:numId w:val="1001"/>
          <w:ilvl w:val="0"/>
        </w:numPr>
      </w:pPr>
      <w:r>
        <w:rPr>
          <w:b/>
        </w:rPr>
        <w:t xml:space="preserve">§ VII — Le lien de causalité</w:t>
      </w:r>
      <w:r>
        <w:t xml:space="preserve"> </w:t>
      </w:r>
      <w:r>
        <w:rPr>
          <w:i/>
        </w:rPr>
        <w:t xml:space="preserve">(à compléter)</w:t>
      </w:r>
    </w:p>
    <w:p>
      <w:pPr>
        <w:pStyle w:val="Compact"/>
        <w:numPr>
          <w:numId w:val="1001"/>
          <w:ilvl w:val="0"/>
        </w:numPr>
      </w:pPr>
      <w:r>
        <w:rPr>
          <w:b/>
        </w:rPr>
        <w:t xml:space="preserve">§ VIII — Le préjudice</w:t>
      </w:r>
      <w:r>
        <w:t xml:space="preserve"> </w:t>
      </w:r>
      <w:r>
        <w:rPr>
          <w:i/>
        </w:rPr>
        <w:t xml:space="preserve">(à chiffrer)</w:t>
      </w:r>
    </w:p>
    <w:p>
      <w:pPr>
        <w:pStyle w:val="Compact"/>
        <w:numPr>
          <w:numId w:val="1001"/>
          <w:ilvl w:val="0"/>
        </w:numPr>
      </w:pPr>
      <w:r>
        <w:rPr>
          <w:b/>
        </w:rPr>
        <w:t xml:space="preserve">§ IX — La prescription</w:t>
      </w:r>
      <w:r>
        <w:t xml:space="preserve"> </w:t>
      </w:r>
      <w:r>
        <w:t xml:space="preserve">(faute continue ; ancre 2023)</w:t>
      </w:r>
    </w:p>
    <w:p>
      <w:pPr>
        <w:pStyle w:val="Compact"/>
        <w:numPr>
          <w:numId w:val="1001"/>
          <w:ilvl w:val="0"/>
        </w:numPr>
      </w:pPr>
      <w:r>
        <w:rPr>
          <w:b/>
        </w:rPr>
        <w:t xml:space="preserve">§ X — L’admissibilité de la correspondance de règlement</w:t>
      </w:r>
      <w:r>
        <w:t xml:space="preserve"> </w:t>
      </w:r>
      <w:r>
        <w:t xml:space="preserve">(privilège — section anticipatoire)</w:t>
      </w:r>
    </w:p>
    <w:p>
      <w:pPr>
        <w:pStyle w:val="Compact"/>
        <w:numPr>
          <w:numId w:val="1001"/>
          <w:ilvl w:val="0"/>
        </w:numPr>
      </w:pPr>
      <w:r>
        <w:rPr>
          <w:b/>
        </w:rPr>
        <w:t xml:space="preserve">Conclusions</w:t>
      </w:r>
      <w:r>
        <w:t xml:space="preserve"> </w:t>
      </w:r>
      <w:r>
        <w:t xml:space="preserve">(POUR CES MOTIFS)</w:t>
      </w:r>
    </w:p>
    <w:p>
      <w:pPr>
        <w:pStyle w:val="Compact"/>
        <w:numPr>
          <w:numId w:val="1001"/>
          <w:ilvl w:val="0"/>
        </w:numPr>
      </w:pPr>
      <w:r>
        <w:rPr>
          <w:b/>
        </w:rPr>
        <w:t xml:space="preserve">Bordereau des pièces</w:t>
      </w:r>
      <w:r>
        <w:t xml:space="preserve"> </w:t>
      </w:r>
      <w:r>
        <w:t xml:space="preserve">(renvoi au bordereau autoritatif)</w:t>
      </w:r>
    </w:p>
    <w:p>
      <w:pPr>
        <w:pStyle w:val="Compact"/>
        <w:numPr>
          <w:numId w:val="1001"/>
          <w:ilvl w:val="0"/>
        </w:numPr>
      </w:pPr>
      <w:r>
        <w:rPr>
          <w:b/>
        </w:rPr>
        <w:t xml:space="preserve">Signature</w:t>
      </w:r>
    </w:p>
    <w:p>
      <w:pPr>
        <w:pStyle w:val="Compact"/>
        <w:numPr>
          <w:numId w:val="1001"/>
          <w:ilvl w:val="0"/>
        </w:numPr>
      </w:pPr>
      <w:r>
        <w:rPr>
          <w:b/>
        </w:rPr>
        <w:t xml:space="preserve">Pièce d’accompagnement — Avis d’assignation (art. 145 C.p.c.)</w:t>
      </w:r>
    </w:p>
    <w:p>
      <w:pPr>
        <w:pStyle w:val="Compact"/>
        <w:numPr>
          <w:numId w:val="1001"/>
          <w:ilvl w:val="0"/>
        </w:numPr>
      </w:pPr>
      <w:r>
        <w:rPr>
          <w:b/>
        </w:rPr>
        <w:t xml:space="preserve">Notes d’assemblage</w:t>
      </w:r>
      <w:r>
        <w:t xml:space="preserve"> </w:t>
      </w:r>
      <w:r>
        <w:t xml:space="preserve">(à traiter avant dépôt)</w:t>
      </w:r>
    </w:p>
    <w:p>
      <w:r>
        <w:pict>
          <v:rect style="width:0;height:1.5pt" o:hralign="center" o:hrstd="t" o:hr="t"/>
        </w:pict>
      </w:r>
    </w:p>
    <w:p>
      <w:pPr>
        <w:pStyle w:val="Heading2"/>
      </w:pPr>
      <w:bookmarkStart w:id="24" w:name="intitulé"/>
      <w:r>
        <w:t xml:space="preserve">INTITULÉ</w:t>
      </w:r>
      <w:bookmarkEnd w:id="24"/>
    </w:p>
    <w:p>
      <w:pPr>
        <w:pStyle w:val="FirstParagraph"/>
      </w:pPr>
      <w:r>
        <w:rPr>
          <w:b/>
        </w:rPr>
        <w:t xml:space="preserve">CANADA</w:t>
      </w:r>
      <w:r>
        <w:t xml:space="preserve"> </w:t>
      </w:r>
      <w:r>
        <w:rPr>
          <w:b/>
        </w:rPr>
        <w:t xml:space="preserve">PROVINCE DE QUÉBEC</w:t>
      </w:r>
      <w:r>
        <w:t xml:space="preserve"> </w:t>
      </w:r>
      <w:r>
        <w:rPr>
          <w:b/>
        </w:rPr>
        <w:t xml:space="preserve">DISTRICT DE</w:t>
      </w:r>
      <w:r>
        <w:t xml:space="preserve"> </w:t>
      </w:r>
      <w:r>
        <w:t xml:space="preserve">______________</w:t>
      </w:r>
      <w:r>
        <w:t xml:space="preserve"> </w:t>
      </w:r>
      <w:r>
        <w:rPr>
          <w:i/>
        </w:rPr>
        <w:t xml:space="preserve">(⚠️</w:t>
      </w:r>
      <w:r>
        <w:rPr>
          <w:i/>
        </w:rPr>
        <w:t xml:space="preserve"> </w:t>
      </w:r>
      <w:r>
        <w:rPr>
          <w:b/>
          <w:i/>
        </w:rPr>
        <w:t xml:space="preserve">for à déterminer</w:t>
      </w:r>
      <w:r>
        <w:rPr>
          <w:i/>
        </w:rPr>
        <w:t xml:space="preserve"> </w:t>
      </w:r>
      <w:r>
        <w:rPr>
          <w:i/>
        </w:rPr>
        <w:t xml:space="preserve">pour l’action en responsabilité — distinct du dossier familial de Longueuil ; règles art. 41-43 C.p.c. : domicile des défenderesses ou lieu de la faute / du préjudice. Voir Notes d’assemblage.)</w:t>
      </w:r>
    </w:p>
    <w:p>
      <w:pPr>
        <w:pStyle w:val="BodyText"/>
      </w:pPr>
      <w:r>
        <w:rPr>
          <w:b/>
        </w:rPr>
        <w:t xml:space="preserve">COUR SUPÉRIEURE</w:t>
      </w:r>
      <w:r>
        <w:t xml:space="preserve"> </w:t>
      </w:r>
      <w:r>
        <w:t xml:space="preserve">(Chambre civile)</w:t>
      </w:r>
    </w:p>
    <w:p>
      <w:pPr>
        <w:pStyle w:val="BodyText"/>
      </w:pPr>
      <w:r>
        <w:t xml:space="preserve">N° : ______________________</w:t>
      </w:r>
    </w:p>
    <w:p>
      <w:pPr>
        <w:pStyle w:val="BodyText"/>
      </w:pPr>
      <w:r>
        <w:rPr>
          <w:b/>
        </w:rPr>
        <w:t xml:space="preserve">LOUIS-PHILIPPE DAVID</w:t>
      </w:r>
      <w:r>
        <w:t xml:space="preserve">, [domicilié et résidant au ______________</w:t>
      </w:r>
      <w:r>
        <w:t xml:space="preserve"> </w:t>
      </w:r>
      <w:r>
        <w:rPr>
          <w:i/>
        </w:rPr>
        <w:t xml:space="preserve">(à compléter)</w:t>
      </w:r>
      <w:r>
        <w:t xml:space="preserve">],</w:t>
      </w:r>
      <w:r>
        <w:t xml:space="preserve"> </w:t>
      </w:r>
      <w:r>
        <w:t xml:space="preserve">    </w:t>
      </w:r>
      <w:r>
        <w:rPr>
          <w:i/>
        </w:rPr>
        <w:t xml:space="preserve">Demandeur</w:t>
      </w:r>
    </w:p>
    <w:p>
      <w:pPr>
        <w:pStyle w:val="FirstParagraph"/>
      </w:pPr>
      <w:r>
        <w:rPr>
          <w:b/>
        </w:rPr>
        <w:t xml:space="preserve">ÉLISE MARIE AYOUB</w:t>
      </w:r>
      <w:r>
        <w:t xml:space="preserve">, [domiciliée et résidant au ______________</w:t>
      </w:r>
      <w:r>
        <w:t xml:space="preserve"> </w:t>
      </w:r>
      <w:r>
        <w:rPr>
          <w:i/>
        </w:rPr>
        <w:t xml:space="preserve">(à compléter)</w:t>
      </w:r>
      <w:r>
        <w:t xml:space="preserve">],</w:t>
      </w:r>
      <w:r>
        <w:t xml:space="preserve"> </w:t>
      </w:r>
      <w:r>
        <w:t xml:space="preserve">    </w:t>
      </w:r>
      <w:r>
        <w:rPr>
          <w:i/>
        </w:rPr>
        <w:t xml:space="preserve">Défenderesse</w:t>
      </w:r>
    </w:p>
    <w:p>
      <w:pPr>
        <w:pStyle w:val="BodyText"/>
      </w:pPr>
      <w:r>
        <w:t xml:space="preserve">-et-</w:t>
      </w:r>
    </w:p>
    <w:p>
      <w:pPr>
        <w:pStyle w:val="BodyText"/>
      </w:pPr>
      <w:r>
        <w:rPr>
          <w:b/>
        </w:rPr>
        <w:t xml:space="preserve">MARIE-JOSÉE AYOUB</w:t>
      </w:r>
      <w:r>
        <w:t xml:space="preserve"> </w:t>
      </w:r>
      <w:r>
        <w:t xml:space="preserve">(Me), [avocate, exerçant / domiciliée au ______________</w:t>
      </w:r>
      <w:r>
        <w:t xml:space="preserve"> </w:t>
      </w:r>
      <w:r>
        <w:rPr>
          <w:i/>
        </w:rPr>
        <w:t xml:space="preserve">(à compléter)</w:t>
      </w:r>
      <w:r>
        <w:t xml:space="preserve">],</w:t>
      </w:r>
      <w:r>
        <w:t xml:space="preserve"> </w:t>
      </w:r>
      <w:r>
        <w:t xml:space="preserve">    </w:t>
      </w:r>
      <w:r>
        <w:rPr>
          <w:i/>
        </w:rPr>
        <w:t xml:space="preserve">Défenderesse</w:t>
      </w:r>
    </w:p>
    <w:p>
      <w:pPr>
        <w:pStyle w:val="BodyText"/>
      </w:pPr>
      <w:r>
        <w:t xml:space="preserve">    </w:t>
      </w:r>
      <w:r>
        <w:rPr>
          <w:i/>
        </w:rPr>
        <w:t xml:space="preserve">(les défenderesses étant recherchées</w:t>
      </w:r>
      <w:r>
        <w:rPr>
          <w:i/>
        </w:rPr>
        <w:t xml:space="preserve"> </w:t>
      </w:r>
      <w:r>
        <w:rPr>
          <w:b/>
          <w:i/>
        </w:rPr>
        <w:t xml:space="preserve">solidairement</w:t>
      </w:r>
      <w:r>
        <w:rPr>
          <w:i/>
        </w:rPr>
        <w:t xml:space="preserve"> </w:t>
      </w:r>
      <w:r>
        <w:rPr>
          <w:i/>
        </w:rPr>
        <w:t xml:space="preserve">— art. 1526 C.c.Q.)</w:t>
      </w:r>
    </w:p>
    <w:p>
      <w:r>
        <w:pict>
          <v:rect style="width:0;height:1.5pt" o:hralign="center" o:hrstd="t" o:hr="t"/>
        </w:pict>
      </w:r>
    </w:p>
    <w:p>
      <w:pPr>
        <w:pStyle w:val="Heading2"/>
      </w:pPr>
      <w:bookmarkStart w:id="25" w:name="objet-de-la-demande-art.-99-al.-2-c.p.c."/>
      <w:r>
        <w:t xml:space="preserve">OBJET DE LA DEMANDE (art. 99 al. 2 C.p.c.)</w:t>
      </w:r>
      <w:bookmarkEnd w:id="25"/>
    </w:p>
    <w:p>
      <w:pPr>
        <w:pStyle w:val="FirstParagraph"/>
      </w:pPr>
      <w:r>
        <w:t xml:space="preserve">La présente demande vise à obtenir la</w:t>
      </w:r>
      <w:r>
        <w:t xml:space="preserve"> </w:t>
      </w:r>
      <w:r>
        <w:rPr>
          <w:b/>
        </w:rPr>
        <w:t xml:space="preserve">condamnation solidaire</w:t>
      </w:r>
      <w:r>
        <w:t xml:space="preserve"> </w:t>
      </w:r>
      <w:r>
        <w:t xml:space="preserve">des défenderesses à des</w:t>
      </w:r>
      <w:r>
        <w:t xml:space="preserve"> </w:t>
      </w:r>
      <w:r>
        <w:rPr>
          <w:b/>
        </w:rPr>
        <w:t xml:space="preserve">dommages-intérêts compensatoires et punitifs</w:t>
      </w:r>
      <w:r>
        <w:t xml:space="preserve"> </w:t>
      </w:r>
      <w:r>
        <w:t xml:space="preserve">pour</w:t>
      </w:r>
      <w:r>
        <w:t xml:space="preserve"> </w:t>
      </w:r>
      <w:r>
        <w:rPr>
          <w:b/>
        </w:rPr>
        <w:t xml:space="preserve">abus de procédure</w:t>
      </w:r>
      <w:r>
        <w:t xml:space="preserve"> </w:t>
      </w:r>
      <w:r>
        <w:t xml:space="preserve">(art. 51-56 C.p.c.) et</w:t>
      </w:r>
      <w:r>
        <w:t xml:space="preserve"> </w:t>
      </w:r>
      <w:r>
        <w:rPr>
          <w:b/>
        </w:rPr>
        <w:t xml:space="preserve">atteinte à la réputation et à la dignité</w:t>
      </w:r>
      <w:r>
        <w:t xml:space="preserve"> </w:t>
      </w:r>
      <w:r>
        <w:t xml:space="preserve">(art. 1457 C.c.Q. ; art. 4 et 49 de la</w:t>
      </w:r>
      <w:r>
        <w:t xml:space="preserve"> </w:t>
      </w:r>
      <w:r>
        <w:rPr>
          <w:i/>
        </w:rPr>
        <w:t xml:space="preserve">Charte des droits et libertés de la personne</w:t>
      </w:r>
      <w:r>
        <w:t xml:space="preserve">), à raison d’une série d’actes de procédure et de déclarations assermentées, conçus par la défenderesse Me Marie-Josée Ayoub et attestés sous serment par la défenderesse Élise Marie Ayoub entre 2013 et 2023, présentant au tribunal une réalité que les défenderesses savaient ou devaient savoir fausse.</w:t>
      </w:r>
    </w:p>
    <w:p>
      <w:pPr>
        <w:pStyle w:val="BodyText"/>
      </w:pPr>
      <w:r>
        <w:rPr>
          <w:b/>
        </w:rPr>
        <w:t xml:space="preserve">AU SOUTIEN DE SA DEMANDE, LE DEMANDEUR EXPOSE RESPECTUEUSEMENT CE QUI SUIT :</w:t>
      </w:r>
    </w:p>
    <w:p>
      <w:r>
        <w:pict>
          <v:rect style="width:0;height:1.5pt" o:hralign="center" o:hrstd="t" o:hr="t"/>
        </w:pict>
      </w:r>
    </w:p>
    <w:p>
      <w:pPr>
        <w:pStyle w:val="Heading2"/>
      </w:pPr>
      <w:bookmarkStart w:id="26" w:name="i-les-parties-et-le-contexte"/>
      <w:r>
        <w:t xml:space="preserve">§ I — LES PARTIES ET LE CONTEXTE</w:t>
      </w:r>
      <w:bookmarkEnd w:id="26"/>
    </w:p>
    <w:p>
      <w:pPr>
        <w:numPr>
          <w:numId w:val="1003"/>
          <w:ilvl w:val="0"/>
        </w:numPr>
      </w:pPr>
      <w:r>
        <w:t xml:space="preserve">Le demandeur, Louis-Philippe David, et la défenderesse Élise Marie Ayoub ont fait vie commune pendant environ dix (10) ans et sont les parents de deux enfants : Alexia, née le 6 octobre 2009, et Nicolas, né le 1er février 2013.</w:t>
      </w:r>
    </w:p>
    <w:p>
      <w:pPr>
        <w:numPr>
          <w:numId w:val="1003"/>
          <w:ilvl w:val="0"/>
        </w:numPr>
      </w:pPr>
      <w:r>
        <w:t xml:space="preserve">La défenderesse Me Marie-Josée Ayoub est la sœur de la défenderesse Élise Marie Ayoub et est avocate.</w:t>
      </w:r>
    </w:p>
    <w:p>
      <w:pPr>
        <w:numPr>
          <w:numId w:val="1003"/>
          <w:ilvl w:val="0"/>
        </w:numPr>
      </w:pPr>
      <w:r>
        <w:t xml:space="preserve">De 2013 à 2023, la défenderesse Me Marie-Josée Ayoub a agi comme</w:t>
      </w:r>
      <w:r>
        <w:t xml:space="preserve"> </w:t>
      </w:r>
      <w:r>
        <w:rPr>
          <w:b/>
        </w:rPr>
        <w:t xml:space="preserve">conceptrice et rédactrice</w:t>
      </w:r>
      <w:r>
        <w:t xml:space="preserve"> </w:t>
      </w:r>
      <w:r>
        <w:t xml:space="preserve">des actes, projets et correspondances émanant de la partie maternelle — à l’</w:t>
      </w:r>
      <w:r>
        <w:rPr>
          <w:b/>
        </w:rPr>
        <w:t xml:space="preserve">exception</w:t>
      </w:r>
      <w:r>
        <w:t xml:space="preserve"> </w:t>
      </w:r>
      <w:r>
        <w:t xml:space="preserve">de la Requête du 19 novembre 2015, rédigée par Me Adelia Ferreira, dont le demandeur n’allègue aucune instruction ou communication entre Me Marie-Josée Ayoub et Me Ferreira qui ne soit établie par une preuve distincte.</w:t>
      </w:r>
    </w:p>
    <w:p>
      <w:pPr>
        <w:numPr>
          <w:numId w:val="1003"/>
          <w:ilvl w:val="0"/>
        </w:numPr>
      </w:pPr>
      <w:r>
        <w:t xml:space="preserve">La défenderesse Élise Marie Ayoub a, pour sa part,</w:t>
      </w:r>
      <w:r>
        <w:t xml:space="preserve"> </w:t>
      </w:r>
      <w:r>
        <w:rPr>
          <w:b/>
        </w:rPr>
        <w:t xml:space="preserve">attesté sous serment</w:t>
      </w:r>
      <w:r>
        <w:t xml:space="preserve"> </w:t>
      </w:r>
      <w:r>
        <w:t xml:space="preserve">les actes en cause : la Requête du 19 novembre 2015 (pièce P-19), la déclaration assermentée et le formulaire de fixation de la pension du 21 octobre 2019 (pièces P-42 et P-29) et la dénonciation du 21 juillet 2023 (pièce P-40).</w:t>
      </w:r>
    </w:p>
    <w:p>
      <w:pPr>
        <w:numPr>
          <w:numId w:val="1003"/>
          <w:ilvl w:val="0"/>
        </w:numPr>
      </w:pPr>
      <w:r>
        <w:t xml:space="preserve">Les défenderesses sont recherchées</w:t>
      </w:r>
      <w:r>
        <w:t xml:space="preserve"> </w:t>
      </w:r>
      <w:r>
        <w:rPr>
          <w:b/>
        </w:rPr>
        <w:t xml:space="preserve">solidairement</w:t>
      </w:r>
      <w:r>
        <w:t xml:space="preserve"> </w:t>
      </w:r>
      <w:r>
        <w:t xml:space="preserve">(art. 1526 C.c.Q.), Élise Marie Ayoub comme déclarante sous serment et Me Marie-Josée Ayoub comme autrice et architecte des actes (voir § VI).</w:t>
      </w:r>
    </w:p>
    <w:p>
      <w:pPr>
        <w:numPr>
          <w:numId w:val="1003"/>
          <w:ilvl w:val="0"/>
        </w:numPr>
      </w:pPr>
      <w:r>
        <w:t xml:space="preserve">Dans le dossier de la Cour supérieure portant le numéro 505-04-024603-151 (dossier familial), le demandeur était désigné comme défendeur et la défenderesse Élise Marie Ayoub comme demanderesse.</w:t>
      </w:r>
    </w:p>
    <w:p>
      <w:pPr>
        <w:pStyle w:val="BlockText"/>
      </w:pPr>
      <w:r>
        <w:rPr>
          <w:i/>
        </w:rPr>
        <w:t xml:space="preserve">Note d’assemblage : renuméroter §1-6 au moment du montage final si l’exposé collé démarre sa propre numérotation ; voir § II.</w:t>
      </w:r>
    </w:p>
    <w:p>
      <w:r>
        <w:pict>
          <v:rect style="width:0;height:1.5pt" o:hralign="center" o:hrstd="t" o:hr="t"/>
        </w:pict>
      </w:r>
    </w:p>
    <w:p>
      <w:pPr>
        <w:pStyle w:val="Heading2"/>
      </w:pPr>
      <w:bookmarkStart w:id="27" w:name="ii-exposé-des-faits"/>
      <w:r>
        <w:t xml:space="preserve">§ II — EXPOSÉ DES FAITS</w:t>
      </w:r>
      <w:bookmarkEnd w:id="27"/>
    </w:p>
    <w:p>
      <w:pPr>
        <w:pStyle w:val="Heading3"/>
        <w:pStyle w:val="BlockText"/>
      </w:pPr>
      <w:bookmarkStart w:id="28" w:name="emplacement-réservé-ne-rien-rédiger-ici"/>
      <w:r>
        <w:t xml:space="preserve">🔲 EMPLACEMENT RÉSERVÉ — NE RIEN RÉDIGER ICI</w:t>
      </w:r>
      <w:bookmarkEnd w:id="28"/>
    </w:p>
    <w:p>
      <w:pPr>
        <w:pStyle w:val="BlockText"/>
      </w:pPr>
      <w:r>
        <w:rPr>
          <w:b/>
        </w:rPr>
        <w:t xml:space="preserve">Coller ici l’intégralité de</w:t>
      </w:r>
      <w:r>
        <w:rPr>
          <w:b/>
        </w:rPr>
        <w:t xml:space="preserve"> </w:t>
      </w:r>
      <w:hyperlink r:id="rId21">
        <w:r>
          <w:rPr>
            <w:rStyle w:val="Hyperlink"/>
            <w:b/>
          </w:rPr>
          <w:t xml:space="preserve">requete_secton_faits_lp.md</w:t>
        </w:r>
      </w:hyperlink>
      <w:r>
        <w:rPr>
          <w:b/>
        </w:rPr>
        <w:t xml:space="preserve">, sans son entête</w:t>
      </w:r>
      <w:r>
        <w:t xml:space="preserve">, une fois cette coquille complétée et conforme.</w:t>
      </w:r>
    </w:p>
    <w:p>
      <w:pPr>
        <w:pStyle w:val="BlockText"/>
      </w:pPr>
      <w:r>
        <w:rPr>
          <w:b/>
        </w:rPr>
        <w:t xml:space="preserve">Au montage :</w:t>
      </w:r>
      <w:r>
        <w:t xml:space="preserve"> </w:t>
      </w:r>
      <w:r>
        <w:t xml:space="preserve">1.</w:t>
      </w:r>
      <w:r>
        <w:t xml:space="preserve"> </w:t>
      </w:r>
      <w:r>
        <w:rPr>
          <w:b/>
        </w:rPr>
        <w:t xml:space="preserve">Renumérotation consécutive</w:t>
      </w:r>
      <w:r>
        <w:t xml:space="preserve"> </w:t>
      </w:r>
      <w:r>
        <w:t xml:space="preserve">— les faits reprendront à la suite du § I (donc à partir du § 7), en une seule séquence continue jusqu’à la fin ; ou bien conserver une numérotation autonome de la section et</w:t>
      </w:r>
      <w:r>
        <w:t xml:space="preserve"> </w:t>
      </w:r>
      <w:r>
        <w:rPr>
          <w:b/>
        </w:rPr>
        <w:t xml:space="preserve">référencer les faits par thème</w:t>
      </w:r>
      <w:r>
        <w:t xml:space="preserve"> </w:t>
      </w:r>
      <w:r>
        <w:t xml:space="preserve">(recommandé : les moyens ci-dessous renvoient déjà aux blocs par leur objet, pas par un numéro rigide, pour survivre à la renumérotation).</w:t>
      </w:r>
      <w:r>
        <w:t xml:space="preserve"> </w:t>
      </w:r>
      <w:r>
        <w:t xml:space="preserve">2.</w:t>
      </w:r>
      <w:r>
        <w:t xml:space="preserve"> </w:t>
      </w:r>
      <w:r>
        <w:rPr>
          <w:b/>
        </w:rPr>
        <w:t xml:space="preserve">Renvois internes</w:t>
      </w:r>
      <w:r>
        <w:t xml:space="preserve"> </w:t>
      </w:r>
      <w:r>
        <w:t xml:space="preserve">— l’exposé contient des renvois en attente « §[XX] à [XX] » (p. ex. exposé §213) et « exposés séparément ci-après » (exposé §133, §229, §347, §378, §399, §430) : les faire pointer vers les § III à IX de la présente coquille.</w:t>
      </w:r>
      <w:r>
        <w:t xml:space="preserve"> </w:t>
      </w:r>
      <w:r>
        <w:t xml:space="preserve">3.</w:t>
      </w:r>
      <w:r>
        <w:t xml:space="preserve"> </w:t>
      </w:r>
      <w:r>
        <w:rPr>
          <w:b/>
        </w:rPr>
        <w:t xml:space="preserve">Cotes</w:t>
      </w:r>
      <w:r>
        <w:t xml:space="preserve"> </w:t>
      </w:r>
      <w:r>
        <w:t xml:space="preserve">— l’exposé utilise déjà le système autoritatif (P-19, P-40, P-42, P-43.x…) ; aucune conversion requise.</w:t>
      </w:r>
    </w:p>
    <w:p>
      <w:r>
        <w:pict>
          <v:rect style="width:0;height:1.5pt" o:hralign="center" o:hrstd="t" o:hr="t"/>
        </w:pict>
      </w:r>
    </w:p>
    <w:p>
      <w:pPr>
        <w:pStyle w:val="Heading2"/>
      </w:pPr>
      <w:bookmarkStart w:id="29" w:name="iii-les-fautes"/>
      <w:r>
        <w:t xml:space="preserve">§ III — LES FAUTES</w:t>
      </w:r>
      <w:bookmarkEnd w:id="29"/>
    </w:p>
    <w:p>
      <w:pPr>
        <w:pStyle w:val="BlockText"/>
      </w:pPr>
      <w:r>
        <w:rPr>
          <w:b/>
        </w:rPr>
        <w:t xml:space="preserve">Architecture en trois paliers — indépendants et cumulatifs.</w:t>
      </w:r>
      <w:r>
        <w:t xml:space="preserve"> </w:t>
      </w:r>
      <w:r>
        <w:t xml:space="preserve">Chaque palier</w:t>
      </w:r>
      <w:r>
        <w:t xml:space="preserve"> </w:t>
      </w:r>
      <w:r>
        <w:rPr>
          <w:b/>
        </w:rPr>
        <w:t xml:space="preserve">monte</w:t>
      </w:r>
      <w:r>
        <w:t xml:space="preserve"> </w:t>
      </w:r>
      <w:r>
        <w:t xml:space="preserve">sur le précédent</w:t>
      </w:r>
      <w:r>
        <w:t xml:space="preserve"> </w:t>
      </w:r>
      <w:r>
        <w:rPr>
          <w:b/>
        </w:rPr>
        <w:t xml:space="preserve">sans le porter</w:t>
      </w:r>
      <w:r>
        <w:t xml:space="preserve"> </w:t>
      </w:r>
      <w:r>
        <w:t xml:space="preserve">: si le palier 3 est écarté, les paliers 1 et 2 demeurent entiers ; si le palier 2 l’est, le palier 1 tient seul. ⚠️</w:t>
      </w:r>
      <w:r>
        <w:t xml:space="preserve"> </w:t>
      </w:r>
      <w:r>
        <w:rPr>
          <w:b/>
        </w:rPr>
        <w:t xml:space="preserve">Ne jamais faire reposer les faussetés (1) sur le cumul (2) ni sur le concert (3).</w:t>
      </w:r>
    </w:p>
    <w:p>
      <w:pPr>
        <w:pStyle w:val="BlockText"/>
      </w:pPr>
      <w:r>
        <w:rPr>
          <w:i/>
        </w:rPr>
        <w:t xml:space="preserve">Trames :</w:t>
      </w:r>
      <w:r>
        <w:rPr>
          <w:i/>
        </w:rPr>
        <w:t xml:space="preserve"> </w:t>
      </w:r>
      <w:hyperlink r:id="rId30">
        <w:r>
          <w:rPr>
            <w:rStyle w:val="Hyperlink"/>
            <w:i/>
          </w:rPr>
          <w:t xml:space="preserve">these_patron_abstrait.md</w:t>
        </w:r>
      </w:hyperlink>
      <w:r>
        <w:rPr>
          <w:i/>
        </w:rPr>
        <w:t xml:space="preserve">,</w:t>
      </w:r>
      <w:r>
        <w:rPr>
          <w:i/>
        </w:rPr>
        <w:t xml:space="preserve"> </w:t>
      </w:r>
      <w:hyperlink r:id="rId31">
        <w:r>
          <w:rPr>
            <w:rStyle w:val="Hyperlink"/>
            <w:i/>
          </w:rPr>
          <w:t xml:space="preserve">these_norme_instrument_soumission.md</w:t>
        </w:r>
      </w:hyperlink>
      <w:r>
        <w:rPr>
          <w:i/>
        </w:rPr>
        <w:t xml:space="preserve">,</w:t>
      </w:r>
      <w:r>
        <w:rPr>
          <w:i/>
        </w:rPr>
        <w:t xml:space="preserve"> </w:t>
      </w:r>
      <w:hyperlink r:id="rId32">
        <w:r>
          <w:rPr>
            <w:rStyle w:val="Hyperlink"/>
            <w:i/>
          </w:rPr>
          <w:t xml:space="preserve">these_2019_saisine_amiable.md</w:t>
        </w:r>
      </w:hyperlink>
      <w:r>
        <w:rPr>
          <w:i/>
        </w:rPr>
        <w:t xml:space="preserve"> </w:t>
      </w:r>
      <w:r>
        <w:rPr>
          <w:i/>
        </w:rPr>
        <w:t xml:space="preserve">(axe K — unité d’agentivité),</w:t>
      </w:r>
      <w:r>
        <w:rPr>
          <w:i/>
        </w:rPr>
        <w:t xml:space="preserve"> </w:t>
      </w:r>
      <w:hyperlink r:id="rId33">
        <w:r>
          <w:rPr>
            <w:rStyle w:val="Hyperlink"/>
            <w:i/>
          </w:rPr>
          <w:t xml:space="preserve">synthese_abus_diffamation_requete2015.md</w:t>
        </w:r>
      </w:hyperlink>
      <w:r>
        <w:rPr>
          <w:i/>
        </w:rPr>
        <w:t xml:space="preserve">.</w:t>
      </w:r>
    </w:p>
    <w:p>
      <w:pPr>
        <w:pStyle w:val="BlockText"/>
      </w:pPr>
      <w:r>
        <w:rPr>
          <w:i/>
        </w:rPr>
        <w:t xml:space="preserve">(Numérotation à suffixes — la renumérotation consécutive se fera au montage final.)</w:t>
      </w:r>
    </w:p>
    <w:p>
      <w:r>
        <w:pict>
          <v:rect style="width:0;height:1.5pt" o:hralign="center" o:hrstd="t" o:hr="t"/>
        </w:pict>
      </w:r>
    </w:p>
    <w:p>
      <w:pPr>
        <w:pStyle w:val="Heading3"/>
      </w:pPr>
      <w:bookmarkStart w:id="34" w:name="Xe2b00c21342284ffcc067b25eedd1e854d04828"/>
      <w:r>
        <w:t xml:space="preserve">PALIER 1 — Les faussetés : des fautes discrètes et autonomes</w:t>
      </w:r>
      <w:bookmarkEnd w:id="34"/>
    </w:p>
    <w:p>
      <w:pPr>
        <w:pStyle w:val="Compact"/>
        <w:numPr>
          <w:numId w:val="1004"/>
          <w:ilvl w:val="0"/>
        </w:numPr>
      </w:pPr>
      <w:r>
        <w:t xml:space="preserve">Chaque énoncé faux</w:t>
      </w:r>
      <w:r>
        <w:t xml:space="preserve"> </w:t>
      </w:r>
      <w:r>
        <w:rPr>
          <w:b/>
        </w:rPr>
        <w:t xml:space="preserve">attesté sous serment</w:t>
      </w:r>
      <w:r>
        <w:t xml:space="preserve"> </w:t>
      </w:r>
      <w:r>
        <w:t xml:space="preserve">constitue,</w:t>
      </w:r>
      <w:r>
        <w:t xml:space="preserve"> </w:t>
      </w:r>
      <w:r>
        <w:rPr>
          <w:b/>
        </w:rPr>
        <w:t xml:space="preserve">par lui-même</w:t>
      </w:r>
      <w:r>
        <w:t xml:space="preserve">, une faute (art. 1457 C.c.Q.). Ces énoncés sont établis</w:t>
      </w:r>
      <w:r>
        <w:t xml:space="preserve"> </w:t>
      </w:r>
      <w:r>
        <w:rPr>
          <w:b/>
        </w:rPr>
        <w:t xml:space="preserve">un à un, paragraphe par paragraphe</w:t>
      </w:r>
      <w:r>
        <w:t xml:space="preserve">, à la section Faits ; leur démonstration ne dépend</w:t>
      </w:r>
      <w:r>
        <w:t xml:space="preserve"> </w:t>
      </w:r>
      <w:r>
        <w:rPr>
          <w:b/>
        </w:rPr>
        <w:t xml:space="preserve">ni</w:t>
      </w:r>
      <w:r>
        <w:t xml:space="preserve"> </w:t>
      </w:r>
      <w:r>
        <w:t xml:space="preserve">du cumul (palier 2)</w:t>
      </w:r>
      <w:r>
        <w:t xml:space="preserve"> </w:t>
      </w:r>
      <w:r>
        <w:rPr>
          <w:b/>
        </w:rPr>
        <w:t xml:space="preserve">ni</w:t>
      </w:r>
      <w:r>
        <w:t xml:space="preserve"> </w:t>
      </w:r>
      <w:r>
        <w:t xml:space="preserve">du concert (palier 3). Ils ne figurent pas dans de simples actes de procédure : ils sont</w:t>
      </w:r>
      <w:r>
        <w:t xml:space="preserve"> </w:t>
      </w:r>
      <w:r>
        <w:rPr>
          <w:b/>
        </w:rPr>
        <w:t xml:space="preserve">jurés</w:t>
      </w:r>
      <w:r>
        <w:t xml:space="preserve"> </w:t>
      </w:r>
      <w:r>
        <w:t xml:space="preserve">— Requête du 19 novembre 2015 (pièce</w:t>
      </w:r>
      <w:r>
        <w:t xml:space="preserve"> </w:t>
      </w:r>
      <w:r>
        <w:rPr>
          <w:b/>
        </w:rPr>
        <w:t xml:space="preserve">P-19</w:t>
      </w:r>
      <w:r>
        <w:t xml:space="preserve">), déclaration assermentée du 21 octobre 2019 (</w:t>
      </w:r>
      <w:r>
        <w:rPr>
          <w:b/>
        </w:rPr>
        <w:t xml:space="preserve">P-42</w:t>
      </w:r>
      <w:r>
        <w:t xml:space="preserve">), formulaire de fixation du 21 octobre 2019 (</w:t>
      </w:r>
      <w:r>
        <w:rPr>
          <w:b/>
        </w:rPr>
        <w:t xml:space="preserve">P-29</w:t>
      </w:r>
      <w:r>
        <w:t xml:space="preserve">), dénonciation du 21 juillet 2023 (</w:t>
      </w:r>
      <w:r>
        <w:rPr>
          <w:b/>
        </w:rPr>
        <w:t xml:space="preserve">P-40</w:t>
      </w:r>
      <w:r>
        <w:t xml:space="preserve">).</w:t>
      </w:r>
    </w:p>
    <w:p>
      <w:pPr>
        <w:pStyle w:val="FirstParagraph"/>
      </w:pPr>
      <w:r>
        <w:rPr>
          <w:b/>
        </w:rPr>
        <w:t xml:space="preserve">A — La faute de la défenderesse Me Marie-Josée Ayoub</w:t>
      </w:r>
    </w:p>
    <w:p>
      <w:pPr>
        <w:numPr>
          <w:numId w:val="1005"/>
          <w:ilvl w:val="0"/>
        </w:numPr>
      </w:pPr>
      <w:r>
        <w:t xml:space="preserve">Me Marie-Josée Ayoub a commis des fautes personnelles en</w:t>
      </w:r>
      <w:r>
        <w:t xml:space="preserve"> </w:t>
      </w:r>
      <w:r>
        <w:rPr>
          <w:b/>
        </w:rPr>
        <w:t xml:space="preserve">concevant et en rédigeant</w:t>
      </w:r>
      <w:r>
        <w:t xml:space="preserve"> </w:t>
      </w:r>
      <w:r>
        <w:t xml:space="preserve">des actes présentant des caractérisations qu’elle savait ou devait savoir fausses, et en les</w:t>
      </w:r>
      <w:r>
        <w:t xml:space="preserve"> </w:t>
      </w:r>
      <w:r>
        <w:rPr>
          <w:b/>
        </w:rPr>
        <w:t xml:space="preserve">maintenant</w:t>
      </w:r>
      <w:r>
        <w:t xml:space="preserve"> </w:t>
      </w:r>
      <w:r>
        <w:t xml:space="preserve">après avoir été personnellement informée de leur contestation et invitée à en identifier le fondement documentaire.</w:t>
      </w:r>
    </w:p>
    <w:p>
      <w:pPr>
        <w:numPr>
          <w:numId w:val="1005"/>
          <w:ilvl w:val="0"/>
        </w:numPr>
      </w:pPr>
      <w:r>
        <w:t xml:space="preserve">Ces fautes s’apprécient à la lumière de son</w:t>
      </w:r>
      <w:r>
        <w:t xml:space="preserve"> </w:t>
      </w:r>
      <w:r>
        <w:rPr>
          <w:b/>
        </w:rPr>
        <w:t xml:space="preserve">Code de déontologie</w:t>
      </w:r>
      <w:r>
        <w:t xml:space="preserve"> </w:t>
      </w:r>
      <w:r>
        <w:t xml:space="preserve">(obligations de bonne foi et de ne pas présenter un écrit faux ou qu’elle devrait savoir faux ; ne pas induire en erreur ni surprendre la bonne foi d’une partie ; interdiction de recourir à la procédure dans le seul but de nuire)</w:t>
      </w:r>
      <w:r>
        <w:t xml:space="preserve"> </w:t>
      </w:r>
      <w:r>
        <w:rPr>
          <w:i/>
        </w:rPr>
        <w:t xml:space="preserve">(pièce à coter — Code de déontologie des avocats)</w:t>
      </w:r>
      <w:r>
        <w:t xml:space="preserve">. Le standard de connaissance y est</w:t>
      </w:r>
      <w:r>
        <w:t xml:space="preserve"> </w:t>
      </w:r>
      <w:r>
        <w:rPr>
          <w:b/>
        </w:rPr>
        <w:t xml:space="preserve">constructif</w:t>
      </w:r>
      <w:r>
        <w:t xml:space="preserve"> </w:t>
      </w:r>
      <w:r>
        <w:t xml:space="preserve">(« ou qu’il devrait savoir faux ») : la preuve d’une intention subjective n’est pas requise.</w:t>
      </w:r>
    </w:p>
    <w:p>
      <w:pPr>
        <w:pStyle w:val="FirstParagraph"/>
      </w:pPr>
      <w:r>
        <w:t xml:space="preserve">9-A. ⚠️</w:t>
      </w:r>
      <w:r>
        <w:t xml:space="preserve"> </w:t>
      </w:r>
      <w:r>
        <w:rPr>
          <w:b/>
        </w:rPr>
        <w:t xml:space="preserve">La Requête du 19 novembre 2015 a été rédigée par Me Adelia Ferreira.</w:t>
      </w:r>
      <w:r>
        <w:t xml:space="preserve"> </w:t>
      </w:r>
      <w:r>
        <w:t xml:space="preserve">Aucune faute de rédaction de cet acte n’est imputée à Me Marie-Josée Ayoub. Ses fautes se prouvent dans</w:t>
      </w:r>
      <w:r>
        <w:t xml:space="preserve"> </w:t>
      </w:r>
      <w:r>
        <w:rPr>
          <w:b/>
        </w:rPr>
        <w:t xml:space="preserve">ses propres</w:t>
      </w:r>
      <w:r>
        <w:t xml:space="preserve"> </w:t>
      </w:r>
      <w:r>
        <w:t xml:space="preserve">documents : le courriel du 11 juin 2013 (</w:t>
      </w:r>
      <w:r>
        <w:rPr>
          <w:b/>
        </w:rPr>
        <w:t xml:space="preserve">P-2</w:t>
      </w:r>
      <w:r>
        <w:t xml:space="preserve">), la lettre du 27 avril 2015 (</w:t>
      </w:r>
      <w:r>
        <w:rPr>
          <w:b/>
        </w:rPr>
        <w:t xml:space="preserve">P-9</w:t>
      </w:r>
      <w:r>
        <w:t xml:space="preserve">), le projet de consentement du 13 août 2015 (</w:t>
      </w:r>
      <w:r>
        <w:rPr>
          <w:b/>
        </w:rPr>
        <w:t xml:space="preserve">P-16</w:t>
      </w:r>
      <w:r>
        <w:t xml:space="preserve">), la réponse du 3 septembre 2015 (</w:t>
      </w:r>
      <w:r>
        <w:rPr>
          <w:b/>
        </w:rPr>
        <w:t xml:space="preserve">P-18</w:t>
      </w:r>
      <w:r>
        <w:t xml:space="preserve">), la déclaration assermentée et le formulaire de fixation du 21 octobre 2019 (</w:t>
      </w:r>
      <w:r>
        <w:rPr>
          <w:b/>
        </w:rPr>
        <w:t xml:space="preserve">P-42</w:t>
      </w:r>
      <w:r>
        <w:t xml:space="preserve">,</w:t>
      </w:r>
      <w:r>
        <w:t xml:space="preserve"> </w:t>
      </w:r>
      <w:r>
        <w:rPr>
          <w:b/>
        </w:rPr>
        <w:t xml:space="preserve">P-29</w:t>
      </w:r>
      <w:r>
        <w:t xml:space="preserve">), la dénonciation du 21 juillet 2023 (</w:t>
      </w:r>
      <w:r>
        <w:rPr>
          <w:b/>
        </w:rPr>
        <w:t xml:space="preserve">P-40</w:t>
      </w:r>
      <w:r>
        <w:t xml:space="preserve">).</w:t>
      </w:r>
    </w:p>
    <w:p>
      <w:pPr>
        <w:pStyle w:val="BodyText"/>
      </w:pPr>
      <w:r>
        <w:rPr>
          <w:b/>
        </w:rPr>
        <w:t xml:space="preserve">B — La faute de la défenderesse Élise Marie Ayoub</w:t>
      </w:r>
    </w:p>
    <w:p>
      <w:pPr>
        <w:pStyle w:val="Compact"/>
        <w:numPr>
          <w:numId w:val="1006"/>
          <w:ilvl w:val="0"/>
        </w:numPr>
      </w:pPr>
      <w:r>
        <w:t xml:space="preserve">Élise Marie Ayoub a commis des fautes en</w:t>
      </w:r>
      <w:r>
        <w:t xml:space="preserve"> </w:t>
      </w:r>
      <w:r>
        <w:rPr>
          <w:b/>
        </w:rPr>
        <w:t xml:space="preserve">attestant sous serment</w:t>
      </w:r>
      <w:r>
        <w:t xml:space="preserve"> </w:t>
      </w:r>
      <w:r>
        <w:t xml:space="preserve">la véracité de faits qu’elle savait ou devait savoir faux, portant sur des démarches et des états de fait relevant de sa</w:t>
      </w:r>
      <w:r>
        <w:t xml:space="preserve"> </w:t>
      </w:r>
      <w:r>
        <w:rPr>
          <w:b/>
        </w:rPr>
        <w:t xml:space="preserve">connaissance personnelle</w:t>
      </w:r>
      <w:r>
        <w:t xml:space="preserve"> </w:t>
      </w:r>
      <w:r>
        <w:t xml:space="preserve">(Requête 2015 ; DA-2019 ; formulaire de fixation 2019 ; dénonciation 2023).</w:t>
      </w:r>
    </w:p>
    <w:p>
      <w:r>
        <w:pict>
          <v:rect style="width:0;height:1.5pt" o:hralign="center" o:hrstd="t" o:hr="t"/>
        </w:pict>
      </w:r>
    </w:p>
    <w:p>
      <w:pPr>
        <w:pStyle w:val="Heading3"/>
      </w:pPr>
      <w:bookmarkStart w:id="35" w:name="X7834a920c3d9afcb273bfd1080b75f77bb54f15"/>
      <w:r>
        <w:t xml:space="preserve">PALIER 2 — Le cumul : l’aggravation par la durée, la répétition et la persistance</w:t>
      </w:r>
      <w:bookmarkEnd w:id="35"/>
    </w:p>
    <w:p>
      <w:pPr>
        <w:pStyle w:val="FirstParagraph"/>
      </w:pPr>
      <w:r>
        <w:t xml:space="preserve">10-A. Les faussetés ne sont pas des incidents isolés. Elles se répètent</w:t>
      </w:r>
      <w:r>
        <w:t xml:space="preserve"> </w:t>
      </w:r>
      <w:r>
        <w:rPr>
          <w:b/>
        </w:rPr>
        <w:t xml:space="preserve">d’un acte à l’autre et d’un forum à l’autre</w:t>
      </w:r>
      <w:r>
        <w:t xml:space="preserve">, contre la</w:t>
      </w:r>
      <w:r>
        <w:t xml:space="preserve"> </w:t>
      </w:r>
      <w:r>
        <w:rPr>
          <w:b/>
        </w:rPr>
        <w:t xml:space="preserve">même personne</w:t>
      </w:r>
      <w:r>
        <w:t xml:space="preserve">, sur</w:t>
      </w:r>
      <w:r>
        <w:t xml:space="preserve"> </w:t>
      </w:r>
      <w:r>
        <w:rPr>
          <w:b/>
        </w:rPr>
        <w:t xml:space="preserve">plus de dix ans</w:t>
      </w:r>
      <w:r>
        <w:t xml:space="preserve"> </w:t>
      </w:r>
      <w:r>
        <w:t xml:space="preserve">— du courriel du 11 juin 2013 à la dénonciation du 21 juillet 2023 — et leurs conséquences</w:t>
      </w:r>
      <w:r>
        <w:t xml:space="preserve"> </w:t>
      </w:r>
      <w:r>
        <w:rPr>
          <w:b/>
        </w:rPr>
        <w:t xml:space="preserve">courent toujours</w:t>
      </w:r>
      <w:r>
        <w:t xml:space="preserve"> </w:t>
      </w:r>
      <w:r>
        <w:t xml:space="preserve">: la pension alimentaire n’a</w:t>
      </w:r>
      <w:r>
        <w:t xml:space="preserve"> </w:t>
      </w:r>
      <w:r>
        <w:rPr>
          <w:b/>
        </w:rPr>
        <w:t xml:space="preserve">jamais</w:t>
      </w:r>
      <w:r>
        <w:t xml:space="preserve"> </w:t>
      </w:r>
      <w:r>
        <w:t xml:space="preserve">été ajustée depuis la perte d’emploi du demandeur en juin 2018.</w:t>
      </w:r>
    </w:p>
    <w:p>
      <w:pPr>
        <w:pStyle w:val="BodyText"/>
      </w:pPr>
      <w:r>
        <w:t xml:space="preserve">10-B. Ces fautes procèdent d’un</w:t>
      </w:r>
      <w:r>
        <w:t xml:space="preserve"> </w:t>
      </w:r>
      <w:r>
        <w:rPr>
          <w:b/>
        </w:rPr>
        <w:t xml:space="preserve">patron unique</w:t>
      </w:r>
      <w:r>
        <w:t xml:space="preserve"> </w:t>
      </w:r>
      <w:r>
        <w:t xml:space="preserve">— l’instrumentalisation de normes (intérêt de l’enfant, autorité parentale, stabilité, capacité de gain) tour à tour</w:t>
      </w:r>
      <w:r>
        <w:t xml:space="preserve"> </w:t>
      </w:r>
      <w:r>
        <w:rPr>
          <w:b/>
        </w:rPr>
        <w:t xml:space="preserve">écartées</w:t>
      </w:r>
      <w:r>
        <w:t xml:space="preserve"> </w:t>
      </w:r>
      <w:r>
        <w:t xml:space="preserve">lorsqu’elles contraignaient la partie maternelle (le baptême de Nicolas décidé seule, le 19 juillet 2015) et</w:t>
      </w:r>
      <w:r>
        <w:t xml:space="preserve"> </w:t>
      </w:r>
      <w:r>
        <w:rPr>
          <w:b/>
        </w:rPr>
        <w:t xml:space="preserve">brandies</w:t>
      </w:r>
      <w:r>
        <w:t xml:space="preserve"> </w:t>
      </w:r>
      <w:r>
        <w:t xml:space="preserve">lorsqu’elles servaient à accabler le demandeur (le §30 de la Requête lui reprochant de refuser l’exercice conjoint de l’autorité parentale) —, conçu dès juin 2013 (pièce</w:t>
      </w:r>
      <w:r>
        <w:t xml:space="preserve"> </w:t>
      </w:r>
      <w:r>
        <w:rPr>
          <w:b/>
        </w:rPr>
        <w:t xml:space="preserve">P-2</w:t>
      </w:r>
      <w:r>
        <w:t xml:space="preserve">) et répété d’une procédure familiale à l’autre jusqu’en 2023.</w:t>
      </w:r>
    </w:p>
    <w:p>
      <w:pPr>
        <w:pStyle w:val="BodyText"/>
      </w:pPr>
      <w:r>
        <w:t xml:space="preserve">10-C. La</w:t>
      </w:r>
      <w:r>
        <w:t xml:space="preserve"> </w:t>
      </w:r>
      <w:r>
        <w:rPr>
          <w:b/>
        </w:rPr>
        <w:t xml:space="preserve">conclusion recherchée demeurait fixe</w:t>
      </w:r>
      <w:r>
        <w:t xml:space="preserve"> </w:t>
      </w:r>
      <w:r>
        <w:t xml:space="preserve">(l’éviction ou la minimisation du rôle paternel) tandis que le</w:t>
      </w:r>
      <w:r>
        <w:t xml:space="preserve"> </w:t>
      </w:r>
      <w:r>
        <w:rPr>
          <w:b/>
        </w:rPr>
        <w:t xml:space="preserve">motif invoqué changeait</w:t>
      </w:r>
      <w:r>
        <w:t xml:space="preserve"> </w:t>
      </w:r>
      <w:r>
        <w:t xml:space="preserve">d’un acte à l’autre (routine récente / indisponibilité historique / choix de ne pas travailler), révélant une requalification</w:t>
      </w:r>
      <w:r>
        <w:t xml:space="preserve"> </w:t>
      </w:r>
      <w:r>
        <w:rPr>
          <w:i/>
        </w:rPr>
        <w:t xml:space="preserve">a posteriori</w:t>
      </w:r>
      <w:r>
        <w:t xml:space="preserve"> </w:t>
      </w:r>
      <w:r>
        <w:t xml:space="preserve">et non un raisonnement de bonne foi. Dans les §§4 à 6 de la Requête de 2015, l’impossibilité alléguée contraste avec la surprise de la défenderesse devant le départ; la difficulté globale n’est pas particularisée alors que la relation demeurait possible sur des axes financiers, parentaux, médicaux, matériels, personnels et familiaux; enfin, la seule cause précise offerte — l’implication « minimale » laissant toute la responsabilité à la mère — est directement contredite et désavouée. La réponse de la défenderesse du 11 janvier 2016 révèle le mécanisme de substitution : la thèse d’une répartition inégale qu’elle dit avoir soumise à l’avocate est remplacée, dans la Requête, par une thèse de défaillance parentale absolue — le portrait d’un père historiquement désengagé, irresponsable, rarement disponible, seulement supplétif et obstructeur — que le cumul des paragraphes rend apte à soutenir la garde exclusive recherchée. La réalité vécue par les enfants est établie séparément par les pièces. La même relation a par ailleurs été représentée de manière diamétralement opposée dans les forums fiscal et judiciaire. Aucune des deux versions n’est invoquée comme vérité privilégiée : leur incompatibilité révèle l’adaptation de la réalité représentée au résultat recherché.</w:t>
      </w:r>
    </w:p>
    <w:p>
      <w:pPr>
        <w:pStyle w:val="BodyText"/>
      </w:pPr>
      <w:r>
        <w:t xml:space="preserve">10-C.1. Le</w:t>
      </w:r>
      <w:r>
        <w:t xml:space="preserve"> </w:t>
      </w:r>
      <w:r>
        <w:rPr>
          <w:b/>
        </w:rPr>
        <w:t xml:space="preserve">§7 de la Requête de 2015 donne une profondeur historique à ce portrait</w:t>
      </w:r>
      <w:r>
        <w:t xml:space="preserve"> </w:t>
      </w:r>
      <w:r>
        <w:t xml:space="preserve">en affirmant qu’il serait ressorti de la thérapie de 2011 que le demandeur avait « de la difficulté à assumer son rôle de père et s’investir ». Cette caractérisation globale n’est rattachée à aucun rapport, aucune évaluation, aucune note ni aucune déclaration du psychologue. Pendant la période même qu’elle vise, les pièces documentent plutôt l’engagement direct, l’accessibilité, la responsabilité et la continuité des soins du demandeur : routines du soir pendant les cours de danse, adaptations de ses obligations professionnelles, rendez-vous médicaux et activités d’Alexia (pièces</w:t>
      </w:r>
      <w:r>
        <w:t xml:space="preserve"> </w:t>
      </w:r>
      <w:r>
        <w:rPr>
          <w:b/>
        </w:rPr>
        <w:t xml:space="preserve">P-43</w:t>
      </w:r>
      <w:r>
        <w:t xml:space="preserve">,</w:t>
      </w:r>
      <w:r>
        <w:t xml:space="preserve"> </w:t>
      </w:r>
      <w:r>
        <w:rPr>
          <w:b/>
        </w:rPr>
        <w:t xml:space="preserve">P-49</w:t>
      </w:r>
      <w:r>
        <w:t xml:space="preserve">,</w:t>
      </w:r>
      <w:r>
        <w:t xml:space="preserve"> </w:t>
      </w:r>
      <w:r>
        <w:rPr>
          <w:b/>
        </w:rPr>
        <w:t xml:space="preserve">P-52</w:t>
      </w:r>
      <w:r>
        <w:t xml:space="preserve">,</w:t>
      </w:r>
      <w:r>
        <w:t xml:space="preserve"> </w:t>
      </w:r>
      <w:r>
        <w:rPr>
          <w:b/>
        </w:rPr>
        <w:t xml:space="preserve">P-53</w:t>
      </w:r>
      <w:r>
        <w:t xml:space="preserve"> </w:t>
      </w:r>
      <w:r>
        <w:t xml:space="preserve">et</w:t>
      </w:r>
      <w:r>
        <w:t xml:space="preserve"> </w:t>
      </w:r>
      <w:r>
        <w:rPr>
          <w:b/>
        </w:rPr>
        <w:t xml:space="preserve">P-72</w:t>
      </w:r>
      <w:r>
        <w:t xml:space="preserve">). Le contenu des séances ne peut être reconstitué; cette limite concerne l’attribution du constat au professionnel et ne transforme pas l’allégation effectivement plaidée en une difficulté passagère ou sans portée. Dans une requête recherchant la garde exclusive, la matérialité de cette caractérisation dépendait d’un effet sur les besoins, la sécurité, la stabilité ou les soins d’Alexia; le §7 n’en identifie aucun.</w:t>
      </w:r>
    </w:p>
    <w:p>
      <w:pPr>
        <w:pStyle w:val="BodyText"/>
      </w:pPr>
      <w:r>
        <w:t xml:space="preserve">10-C.2. Le</w:t>
      </w:r>
      <w:r>
        <w:t xml:space="preserve"> </w:t>
      </w:r>
      <w:r>
        <w:rPr>
          <w:b/>
        </w:rPr>
        <w:t xml:space="preserve">§9 ne décrit pas simplement une résidence nocturne distincte</w:t>
      </w:r>
      <w:r>
        <w:t xml:space="preserve">. En affirmant que le demandeur était « parti tout l’été »</w:t>
      </w:r>
      <w:r>
        <w:t xml:space="preserve"> </w:t>
      </w:r>
      <w:r>
        <w:rPr>
          <w:b/>
        </w:rPr>
        <w:t xml:space="preserve">et</w:t>
      </w:r>
      <w:r>
        <w:t xml:space="preserve"> </w:t>
      </w:r>
      <w:r>
        <w:t xml:space="preserve">avait « laissé la demanderesse seule avec les deux enfants », la Requête lui impute un retrait parental continu et présente la mère comme ayant assumé seule la charge des enfants pendant une saison entière. Le second membre fixe ainsi la portée du premier. Or les pièces documentent, après une absence réelle et brève en juin, une présence quotidienne auprès des enfants, des prises en charge autonomes, des activités distribuées pendant l’été, des sorties familiales et un séjour à Cape Cod avec les deux enfants (pièces</w:t>
      </w:r>
      <w:r>
        <w:t xml:space="preserve"> </w:t>
      </w:r>
      <w:r>
        <w:rPr>
          <w:b/>
        </w:rPr>
        <w:t xml:space="preserve">P-5</w:t>
      </w:r>
      <w:r>
        <w:t xml:space="preserve">,</w:t>
      </w:r>
      <w:r>
        <w:t xml:space="preserve"> </w:t>
      </w:r>
      <w:r>
        <w:rPr>
          <w:b/>
        </w:rPr>
        <w:t xml:space="preserve">P-73</w:t>
      </w:r>
      <w:r>
        <w:t xml:space="preserve"> </w:t>
      </w:r>
      <w:r>
        <w:t xml:space="preserve">à</w:t>
      </w:r>
      <w:r>
        <w:t xml:space="preserve"> </w:t>
      </w:r>
      <w:r>
        <w:rPr>
          <w:b/>
        </w:rPr>
        <w:t xml:space="preserve">P-82</w:t>
      </w:r>
      <w:r>
        <w:t xml:space="preserve">). Le fait que le demandeur ait temporairement couché chez ses parents ne rend pas cette allégation partiellement vraie : il distingue précisément le lieu de sommeil de la présence parentale que la phrase nie.</w:t>
      </w:r>
    </w:p>
    <w:p>
      <w:pPr>
        <w:pStyle w:val="BodyText"/>
      </w:pPr>
      <w:r>
        <w:t xml:space="preserve">10-C.3. Le</w:t>
      </w:r>
      <w:r>
        <w:t xml:space="preserve"> </w:t>
      </w:r>
      <w:r>
        <w:rPr>
          <w:b/>
        </w:rPr>
        <w:t xml:space="preserve">§14 pris isolément conserve un noyau historique exact</w:t>
      </w:r>
      <w:r>
        <w:t xml:space="preserve"> </w:t>
      </w:r>
      <w:r>
        <w:t xml:space="preserve">: le demandeur a proposé une garde partagée 2-2-3, sans en fixer la date de prise d’effet, et la défenderesse Élise Ayoub l’a refusée. La faute reprochée réside dans la</w:t>
      </w:r>
      <w:r>
        <w:t xml:space="preserve"> </w:t>
      </w:r>
      <w:r>
        <w:rPr>
          <w:b/>
        </w:rPr>
        <w:t xml:space="preserve">requalification rétrospective du motif au sein du bloc §§14 à 17</w:t>
      </w:r>
      <w:r>
        <w:t xml:space="preserve">. Le 27 avril 2015, Me Marie-Josée Ayoub avait expressément justifié le refus par le jeune âge et par l’intérêt de ne pas modifier une « routine établie depuis plus de deux mois » (pièce</w:t>
      </w:r>
      <w:r>
        <w:t xml:space="preserve"> </w:t>
      </w:r>
      <w:r>
        <w:rPr>
          <w:b/>
        </w:rPr>
        <w:t xml:space="preserve">P-9</w:t>
      </w:r>
      <w:r>
        <w:t xml:space="preserve">). En novembre, le jeune âge demeure, mais la routine disparaît et les §§15 à 17 lui substituent une déficience parentale historique : demandeur « rarement disponible », défenderesse s’occupant des enfants et demandeur n’aidant que lorsqu’elle ne l’était pas (pièce</w:t>
      </w:r>
      <w:r>
        <w:t xml:space="preserve"> </w:t>
      </w:r>
      <w:r>
        <w:rPr>
          <w:b/>
        </w:rPr>
        <w:t xml:space="preserve">P-19</w:t>
      </w:r>
      <w:r>
        <w:t xml:space="preserve">). Cette nouvelle justification vise exclusivement des faits antérieurs à la rupture, déjà accessibles au moment du refus d’avril; elle ne correspond donc pas à un fait nouveau survenu entre les deux formulations.</w:t>
      </w:r>
    </w:p>
    <w:p>
      <w:pPr>
        <w:pStyle w:val="BodyText"/>
      </w:pPr>
      <w:r>
        <w:t xml:space="preserve">10-C.4. Le projet du 13 août 2015 (pièce</w:t>
      </w:r>
      <w:r>
        <w:t xml:space="preserve"> </w:t>
      </w:r>
      <w:r>
        <w:rPr>
          <w:b/>
        </w:rPr>
        <w:t xml:space="preserve">P-16</w:t>
      </w:r>
      <w:r>
        <w:t xml:space="preserve">) n’est ni un motif invoqué dans la Requête ni une acceptation de la garde partagée. Il constitue une</w:t>
      </w:r>
      <w:r>
        <w:t xml:space="preserve"> </w:t>
      </w:r>
      <w:r>
        <w:rPr>
          <w:b/>
        </w:rPr>
        <w:t xml:space="preserve">contre-épreuve extrinsèque par la conduite</w:t>
      </w:r>
      <w:r>
        <w:t xml:space="preserve"> </w:t>
      </w:r>
      <w:r>
        <w:t xml:space="preserve">: la défenderesse y proposait des nuitées de semaine et des transitions scolaires selon des phases fixées par dates, sans condition d’évaluation, de réhabilitation ou d’amélioration de la disponibilité parentale du demandeur. L’incompatibilité est</w:t>
      </w:r>
      <w:r>
        <w:t xml:space="preserve"> </w:t>
      </w:r>
      <w:r>
        <w:rPr>
          <w:b/>
        </w:rPr>
        <w:t xml:space="preserve">causale</w:t>
      </w:r>
      <w:r>
        <w:t xml:space="preserve">, non temporelle : le projet ne réécrit pas la répartition passée des tâches, mais affaiblit l’utilisation des §§15 à 17, introduits par « En effet », comme cause actuelle du caractère prétendument contraire de la garde partagée à l’intérêt des enfants. Cette conduite renforce l’inférence d’une requalification</w:t>
      </w:r>
      <w:r>
        <w:t xml:space="preserve"> </w:t>
      </w:r>
      <w:r>
        <w:rPr>
          <w:i/>
        </w:rPr>
        <w:t xml:space="preserve">a posteriori</w:t>
      </w:r>
      <w:r>
        <w:t xml:space="preserve">, sans permettre de conclure que la garde partagée elle-même avait été acceptée.</w:t>
      </w:r>
    </w:p>
    <w:p>
      <w:pPr>
        <w:pStyle w:val="BodyText"/>
      </w:pPr>
      <w:r>
        <w:t xml:space="preserve">10-C.5. Les</w:t>
      </w:r>
      <w:r>
        <w:t xml:space="preserve"> </w:t>
      </w:r>
      <w:r>
        <w:rPr>
          <w:b/>
        </w:rPr>
        <w:t xml:space="preserve">§§16 et 17 doivent être lus ensemble</w:t>
      </w:r>
      <w:r>
        <w:t xml:space="preserve">. Ils n’affirment pas simplement que la défenderesse s’occupait des enfants : ils lui attribuent la prise en charge parentale de façon exclusive et réduisent le demandeur à un rôle d’aide conditionnelle, exercé uniquement lorsqu’elle n’était pas disponible. Cette thèse est contredite par les prises en charge autonomes et récurrentes documentées dans les pièces. Elle ne peut être ramenée à un simple débat sur le seuil de cinquante pour cent : une asymétrie quantitative n’équivaut ni à une rare disponibilité, ni à une prise en charge maternelle exclusive, ni à un père seulement supplétif.</w:t>
      </w:r>
    </w:p>
    <w:p>
      <w:pPr>
        <w:pStyle w:val="BodyText"/>
      </w:pPr>
      <w:r>
        <w:t xml:space="preserve">10-C.6. L’échange du 16 septembre 2016 (pièce</w:t>
      </w:r>
      <w:r>
        <w:t xml:space="preserve"> </w:t>
      </w:r>
      <w:r>
        <w:rPr>
          <w:b/>
        </w:rPr>
        <w:t xml:space="preserve">P-22</w:t>
      </w:r>
      <w:r>
        <w:t xml:space="preserve">) révèle la variation interne du discours. La défenderesse y formule successivement un reproche quantitatif (« pas 50 % »), invoque l’incapacité des parties à se comprendre, met expressément en doute la capacité du demandeur, puis nie environ deux heures plus tard l’avoir « jamais traité d’incapable ». Elle écrit aussi : « Peu importe mes accusations du passé […] tu aurais pu decide de te foutre de moi et ce que je te disais et le faire », reconnaissant ainsi que ses accusations et ses paroles ont été un facteur que le demandeur aurait pu ignorer. Cette phrase ne constitue pas, isolément, un aveu juridique d’avoir empêché la garde partagée; elle corrobore toutefois sa connaissance de l’effet de ses propres représentations.</w:t>
      </w:r>
    </w:p>
    <w:p>
      <w:pPr>
        <w:pStyle w:val="BodyText"/>
      </w:pPr>
      <w:r>
        <w:t xml:space="preserve">10-C.7. La matérialité de cette substitution est graduée. Le portrait des §§15 à 17 soutient directement la garde exclusive recherchée. Il contribue aussi au fondement narratif de la majoration de vingt pour cent demandée aux §§51 et 52, lesquels invoquent les « circonstances et agissements » et répètent que la mère « doit tout faire seule », sans en être l’unique fondement. Pour l’autorité parentale, son effet est cumulatif et contextuel; les fondements textuels directs se trouvent aux §§30 et 31.</w:t>
      </w:r>
    </w:p>
    <w:p>
      <w:pPr>
        <w:pStyle w:val="BodyText"/>
      </w:pPr>
      <w:r>
        <w:t xml:space="preserve">10-D.</w:t>
      </w:r>
      <w:r>
        <w:t xml:space="preserve"> </w:t>
      </w:r>
      <w:r>
        <w:rPr>
          <w:b/>
        </w:rPr>
        <w:t xml:space="preserve">Portée du palier 2.</w:t>
      </w:r>
      <w:r>
        <w:t xml:space="preserve"> </w:t>
      </w:r>
      <w:r>
        <w:t xml:space="preserve">Le cumul n’est</w:t>
      </w:r>
      <w:r>
        <w:t xml:space="preserve"> </w:t>
      </w:r>
      <w:r>
        <w:rPr>
          <w:b/>
        </w:rPr>
        <w:t xml:space="preserve">pas une faute autonome</w:t>
      </w:r>
      <w:r>
        <w:t xml:space="preserve"> </w:t>
      </w:r>
      <w:r>
        <w:t xml:space="preserve">: il</w:t>
      </w:r>
      <w:r>
        <w:t xml:space="preserve"> </w:t>
      </w:r>
      <w:r>
        <w:rPr>
          <w:b/>
        </w:rPr>
        <w:t xml:space="preserve">aggrave</w:t>
      </w:r>
      <w:r>
        <w:t xml:space="preserve"> </w:t>
      </w:r>
      <w:r>
        <w:t xml:space="preserve">celles du palier 1. Il fonde :</w:t>
      </w:r>
      <w:r>
        <w:t xml:space="preserve"> </w:t>
      </w:r>
      <w:r>
        <w:rPr>
          <w:b/>
        </w:rPr>
        <w:t xml:space="preserve">(a)</w:t>
      </w:r>
      <w:r>
        <w:t xml:space="preserve"> </w:t>
      </w:r>
      <w:r>
        <w:t xml:space="preserve">le registre</w:t>
      </w:r>
      <w:r>
        <w:t xml:space="preserve"> </w:t>
      </w:r>
      <w:r>
        <w:rPr>
          <w:b/>
        </w:rPr>
        <w:t xml:space="preserve">vexatoire</w:t>
      </w:r>
      <w:r>
        <w:t xml:space="preserve"> </w:t>
      </w:r>
      <w:r>
        <w:t xml:space="preserve">de l’abus (art. 51 C.p.c.) ;</w:t>
      </w:r>
      <w:r>
        <w:t xml:space="preserve"> </w:t>
      </w:r>
      <w:r>
        <w:rPr>
          <w:b/>
        </w:rPr>
        <w:t xml:space="preserve">(b)</w:t>
      </w:r>
      <w:r>
        <w:t xml:space="preserve"> </w:t>
      </w:r>
      <w:r>
        <w:t xml:space="preserve">les</w:t>
      </w:r>
      <w:r>
        <w:t xml:space="preserve"> </w:t>
      </w:r>
      <w:r>
        <w:rPr>
          <w:b/>
        </w:rPr>
        <w:t xml:space="preserve">dommages-intérêts punitifs</w:t>
      </w:r>
      <w:r>
        <w:t xml:space="preserve"> </w:t>
      </w:r>
      <w:r>
        <w:t xml:space="preserve">(art. 1621 C.c.Q. — gravité de la faute,</w:t>
      </w:r>
      <w:r>
        <w:t xml:space="preserve"> </w:t>
      </w:r>
      <w:r>
        <w:rPr>
          <w:b/>
        </w:rPr>
        <w:t xml:space="preserve">durée</w:t>
      </w:r>
      <w:r>
        <w:t xml:space="preserve">, répétition, et la qualité d’</w:t>
      </w:r>
      <w:r>
        <w:rPr>
          <w:b/>
        </w:rPr>
        <w:t xml:space="preserve">avocate</w:t>
      </w:r>
      <w:r>
        <w:t xml:space="preserve"> </w:t>
      </w:r>
      <w:r>
        <w:t xml:space="preserve">de l’une des défenderesses) ;</w:t>
      </w:r>
      <w:r>
        <w:t xml:space="preserve"> </w:t>
      </w:r>
      <w:r>
        <w:rPr>
          <w:b/>
        </w:rPr>
        <w:t xml:space="preserve">(c)</w:t>
      </w:r>
      <w:r>
        <w:t xml:space="preserve"> </w:t>
      </w:r>
      <w:r>
        <w:t xml:space="preserve">la</w:t>
      </w:r>
      <w:r>
        <w:t xml:space="preserve"> </w:t>
      </w:r>
      <w:r>
        <w:rPr>
          <w:b/>
        </w:rPr>
        <w:t xml:space="preserve">faute continue</w:t>
      </w:r>
      <w:r>
        <w:t xml:space="preserve"> </w:t>
      </w:r>
      <w:r>
        <w:t xml:space="preserve">(art. 2926 C.c.Q. — voir § IX) ;</w:t>
      </w:r>
      <w:r>
        <w:t xml:space="preserve"> </w:t>
      </w:r>
      <w:r>
        <w:rPr>
          <w:b/>
        </w:rPr>
        <w:t xml:space="preserve">(d)</w:t>
      </w:r>
      <w:r>
        <w:t xml:space="preserve"> </w:t>
      </w:r>
      <w:r>
        <w:t xml:space="preserve">le caractère</w:t>
      </w:r>
      <w:r>
        <w:t xml:space="preserve"> </w:t>
      </w:r>
      <w:r>
        <w:rPr>
          <w:b/>
        </w:rPr>
        <w:t xml:space="preserve">actuel et persistant</w:t>
      </w:r>
      <w:r>
        <w:t xml:space="preserve"> </w:t>
      </w:r>
      <w:r>
        <w:t xml:space="preserve">du préjudice (voir § VIII).</w:t>
      </w:r>
    </w:p>
    <w:p>
      <w:r>
        <w:pict>
          <v:rect style="width:0;height:1.5pt" o:hralign="center" o:hrstd="t" o:hr="t"/>
        </w:pict>
      </w:r>
    </w:p>
    <w:p>
      <w:pPr>
        <w:pStyle w:val="Heading3"/>
      </w:pPr>
      <w:bookmarkStart w:id="36" w:name="X94778f5fc3060729d82f588f87d07905b9202a9"/>
      <w:r>
        <w:t xml:space="preserve">PALIER 3 — Le concert : la faute concertée (art. 1526 C.c.Q.)</w:t>
      </w:r>
      <w:bookmarkEnd w:id="36"/>
    </w:p>
    <w:p>
      <w:pPr>
        <w:pStyle w:val="Compact"/>
        <w:numPr>
          <w:numId w:val="1007"/>
          <w:ilvl w:val="0"/>
        </w:numPr>
      </w:pPr>
      <w:r>
        <w:t xml:space="preserve">Les fautes des deux défenderesses ne sont pas</w:t>
      </w:r>
      <w:r>
        <w:t xml:space="preserve"> </w:t>
      </w:r>
      <w:r>
        <w:rPr>
          <w:b/>
        </w:rPr>
        <w:t xml:space="preserve">parallèles</w:t>
      </w:r>
      <w:r>
        <w:t xml:space="preserve"> </w:t>
      </w:r>
      <w:r>
        <w:t xml:space="preserve">: elles procèdent d’une</w:t>
      </w:r>
      <w:r>
        <w:t xml:space="preserve"> </w:t>
      </w:r>
      <w:r>
        <w:rPr>
          <w:b/>
        </w:rPr>
        <w:t xml:space="preserve">entreprise commune</w:t>
      </w:r>
      <w:r>
        <w:t xml:space="preserve">, dont les trois moments sont documentés.</w:t>
      </w:r>
    </w:p>
    <w:p>
      <w:pPr>
        <w:pStyle w:val="FirstParagraph"/>
      </w:pPr>
      <w:r>
        <w:t xml:space="preserve">11-A.</w:t>
      </w:r>
      <w:r>
        <w:t xml:space="preserve"> </w:t>
      </w:r>
      <w:r>
        <w:rPr>
          <w:b/>
        </w:rPr>
        <w:t xml:space="preserve">La conception — 11 juin 2013.</w:t>
      </w:r>
      <w:r>
        <w:t xml:space="preserve"> </w:t>
      </w:r>
      <w:r>
        <w:t xml:space="preserve">Me Marie-Josée Ayoub adresse à Élise Marie Ayoub un plan écrit prévoyant une requête pour garde exclusive d’urgence, l’usage exclusif de la résidence familiale, la relocalisation du demandeur et des accès sans coucher, et énonçant le mécanisme destiné à produire le résultat : « Pendant toute cette procédure les enfants sont avec toi. Donc, cela créé un précédant, c’est-à-dire une routine s’instaure entre toi et les enfants et souvent ce qui fonctionne bien les juges hésitent à les changer » (pièce</w:t>
      </w:r>
      <w:r>
        <w:t xml:space="preserve"> </w:t>
      </w:r>
      <w:r>
        <w:rPr>
          <w:b/>
        </w:rPr>
        <w:t xml:space="preserve">P-2</w:t>
      </w:r>
      <w:r>
        <w:t xml:space="preserve">). Élise Marie Ayoub en est la</w:t>
      </w:r>
      <w:r>
        <w:t xml:space="preserve"> </w:t>
      </w:r>
      <w:r>
        <w:rPr>
          <w:b/>
        </w:rPr>
        <w:t xml:space="preserve">destinataire</w:t>
      </w:r>
      <w:r>
        <w:t xml:space="preserve">.</w:t>
      </w:r>
    </w:p>
    <w:p>
      <w:pPr>
        <w:pStyle w:val="BodyText"/>
      </w:pPr>
      <w:r>
        <w:t xml:space="preserve">11-B.</w:t>
      </w:r>
      <w:r>
        <w:t xml:space="preserve"> </w:t>
      </w:r>
      <w:r>
        <w:rPr>
          <w:b/>
        </w:rPr>
        <w:t xml:space="preserve">L’exécution — avril à septembre 2015.</w:t>
      </w:r>
      <w:r>
        <w:t xml:space="preserve"> </w:t>
      </w:r>
      <w:r>
        <w:t xml:space="preserve">Me Marie-Josée Ayoub, agissant pour Élise Marie Ayoub, affirme une entente inexistante sur la garde exclusive, requalifie l’offre de garde partagée du demandeur en « tentative de modifier une entente déjà intervenue entre les parties », et oppose à cette offre le motif d’« une routine établie depuis plus de deux mois » — soit le mécanisme même énoncé en 2013 (pièces</w:t>
      </w:r>
      <w:r>
        <w:t xml:space="preserve"> </w:t>
      </w:r>
      <w:r>
        <w:rPr>
          <w:b/>
        </w:rPr>
        <w:t xml:space="preserve">P-9</w:t>
      </w:r>
      <w:r>
        <w:t xml:space="preserve">,</w:t>
      </w:r>
      <w:r>
        <w:t xml:space="preserve"> </w:t>
      </w:r>
      <w:r>
        <w:rPr>
          <w:b/>
        </w:rPr>
        <w:t xml:space="preserve">P-16</w:t>
      </w:r>
      <w:r>
        <w:t xml:space="preserve">,</w:t>
      </w:r>
      <w:r>
        <w:t xml:space="preserve"> </w:t>
      </w:r>
      <w:r>
        <w:rPr>
          <w:b/>
        </w:rPr>
        <w:t xml:space="preserve">P-18</w:t>
      </w:r>
      <w:r>
        <w:t xml:space="preserve">). Élise Marie Ayoub en est la</w:t>
      </w:r>
      <w:r>
        <w:t xml:space="preserve"> </w:t>
      </w:r>
      <w:r>
        <w:rPr>
          <w:b/>
        </w:rPr>
        <w:t xml:space="preserve">principale et la bénéficiaire</w:t>
      </w:r>
      <w:r>
        <w:t xml:space="preserve">.</w:t>
      </w:r>
    </w:p>
    <w:p>
      <w:pPr>
        <w:pStyle w:val="BodyText"/>
      </w:pPr>
      <w:r>
        <w:t xml:space="preserve">11-C.</w:t>
      </w:r>
      <w:r>
        <w:t xml:space="preserve"> </w:t>
      </w:r>
      <w:r>
        <w:rPr>
          <w:b/>
        </w:rPr>
        <w:t xml:space="preserve">L’adoption sous serment — 19 novembre 2015.</w:t>
      </w:r>
      <w:r>
        <w:t xml:space="preserve"> </w:t>
      </w:r>
      <w:r>
        <w:t xml:space="preserve">La Requête reprend les assertions de Me Marie-Josée Ayoub : au</w:t>
      </w:r>
      <w:r>
        <w:t xml:space="preserve"> </w:t>
      </w:r>
      <w:r>
        <w:rPr>
          <w:b/>
        </w:rPr>
        <w:t xml:space="preserve">§18</w:t>
      </w:r>
      <w:r>
        <w:t xml:space="preserve">, l’entente que celle-ci avait affirmée ; au</w:t>
      </w:r>
      <w:r>
        <w:t xml:space="preserve"> </w:t>
      </w:r>
      <w:r>
        <w:rPr>
          <w:b/>
        </w:rPr>
        <w:t xml:space="preserve">§23</w:t>
      </w:r>
      <w:r>
        <w:t xml:space="preserve">, la caractérisation littérale de sa lettre du 27 avril (« il a refusé et refuse toujours de les recevoir à son nouvel appartement »). Élise Marie Ayoub, qui a personnellement vécu les deux moments précédents, les</w:t>
      </w:r>
      <w:r>
        <w:t xml:space="preserve"> </w:t>
      </w:r>
      <w:r>
        <w:rPr>
          <w:b/>
        </w:rPr>
        <w:t xml:space="preserve">atteste sous serment</w:t>
      </w:r>
      <w:r>
        <w:t xml:space="preserve"> </w:t>
      </w:r>
      <w:r>
        <w:t xml:space="preserve">(pièce</w:t>
      </w:r>
      <w:r>
        <w:t xml:space="preserve"> </w:t>
      </w:r>
      <w:r>
        <w:rPr>
          <w:b/>
        </w:rPr>
        <w:t xml:space="preserve">P-19</w:t>
      </w:r>
      <w:r>
        <w:t xml:space="preserve">).</w:t>
      </w:r>
    </w:p>
    <w:p>
      <w:pPr>
        <w:pStyle w:val="BodyText"/>
      </w:pPr>
      <w:r>
        <w:t xml:space="preserve">11-D.</w:t>
      </w:r>
      <w:r>
        <w:t xml:space="preserve"> </w:t>
      </w:r>
      <w:r>
        <w:rPr>
          <w:b/>
        </w:rPr>
        <w:t xml:space="preserve">La rédaction par Me Ferreira est sans incidence sur le concert.</w:t>
      </w:r>
      <w:r>
        <w:t xml:space="preserve"> </w:t>
      </w:r>
      <w:r>
        <w:t xml:space="preserve">Le concert s’établit</w:t>
      </w:r>
      <w:r>
        <w:t xml:space="preserve"> </w:t>
      </w:r>
      <w:r>
        <w:rPr>
          <w:b/>
        </w:rPr>
        <w:t xml:space="preserve">entre Me Marie-Josée Ayoub et Élise Marie Ayoub</w:t>
      </w:r>
      <w:r>
        <w:t xml:space="preserve"> </w:t>
      </w:r>
      <w:r>
        <w:t xml:space="preserve">: la première</w:t>
      </w:r>
      <w:r>
        <w:t xml:space="preserve"> </w:t>
      </w:r>
      <w:r>
        <w:rPr>
          <w:b/>
        </w:rPr>
        <w:t xml:space="preserve">conçoit</w:t>
      </w:r>
      <w:r>
        <w:t xml:space="preserve"> </w:t>
      </w:r>
      <w:r>
        <w:t xml:space="preserve">et</w:t>
      </w:r>
      <w:r>
        <w:t xml:space="preserve"> </w:t>
      </w:r>
      <w:r>
        <w:rPr>
          <w:b/>
        </w:rPr>
        <w:t xml:space="preserve">exécute</w:t>
      </w:r>
      <w:r>
        <w:t xml:space="preserve"> </w:t>
      </w:r>
      <w:r>
        <w:t xml:space="preserve">; la seconde</w:t>
      </w:r>
      <w:r>
        <w:t xml:space="preserve"> </w:t>
      </w:r>
      <w:r>
        <w:rPr>
          <w:b/>
        </w:rPr>
        <w:t xml:space="preserve">reçoit</w:t>
      </w:r>
      <w:r>
        <w:t xml:space="preserve">,</w:t>
      </w:r>
      <w:r>
        <w:t xml:space="preserve"> </w:t>
      </w:r>
      <w:r>
        <w:rPr>
          <w:b/>
        </w:rPr>
        <w:t xml:space="preserve">adopte</w:t>
      </w:r>
      <w:r>
        <w:t xml:space="preserve"> </w:t>
      </w:r>
      <w:r>
        <w:t xml:space="preserve">et</w:t>
      </w:r>
      <w:r>
        <w:t xml:space="preserve"> </w:t>
      </w:r>
      <w:r>
        <w:rPr>
          <w:b/>
        </w:rPr>
        <w:t xml:space="preserve">jure</w:t>
      </w:r>
      <w:r>
        <w:t xml:space="preserve">. Le demandeur n’allègue</w:t>
      </w:r>
      <w:r>
        <w:t xml:space="preserve"> </w:t>
      </w:r>
      <w:r>
        <w:rPr>
          <w:b/>
        </w:rPr>
        <w:t xml:space="preserve">aucune</w:t>
      </w:r>
      <w:r>
        <w:t xml:space="preserve"> </w:t>
      </w:r>
      <w:r>
        <w:t xml:space="preserve">instruction ni communication entre Me Marie-Josée Ayoub et Me Adelia Ferreira — et n’en a</w:t>
      </w:r>
      <w:r>
        <w:t xml:space="preserve"> </w:t>
      </w:r>
      <w:r>
        <w:rPr>
          <w:b/>
        </w:rPr>
        <w:t xml:space="preserve">pas besoin</w:t>
      </w:r>
      <w:r>
        <w:t xml:space="preserve"> </w:t>
      </w:r>
      <w:r>
        <w:t xml:space="preserve">: la ratification résulte du</w:t>
      </w:r>
      <w:r>
        <w:t xml:space="preserve"> </w:t>
      </w:r>
      <w:r>
        <w:rPr>
          <w:b/>
        </w:rPr>
        <w:t xml:space="preserve">contenu</w:t>
      </w:r>
      <w:r>
        <w:t xml:space="preserve"> </w:t>
      </w:r>
      <w:r>
        <w:t xml:space="preserve">de l’acte et du</w:t>
      </w:r>
      <w:r>
        <w:t xml:space="preserve"> </w:t>
      </w:r>
      <w:r>
        <w:rPr>
          <w:b/>
        </w:rPr>
        <w:t xml:space="preserve">serment</w:t>
      </w:r>
      <w:r>
        <w:t xml:space="preserve"> </w:t>
      </w:r>
      <w:r>
        <w:t xml:space="preserve">d’Élise Marie Ayoub, non de l’identité de la plume.</w:t>
      </w:r>
    </w:p>
    <w:p>
      <w:pPr>
        <w:pStyle w:val="BodyText"/>
      </w:pPr>
      <w:r>
        <w:t xml:space="preserve">11-E.</w:t>
      </w:r>
      <w:r>
        <w:t xml:space="preserve"> </w:t>
      </w:r>
      <w:r>
        <w:rPr>
          <w:b/>
        </w:rPr>
        <w:t xml:space="preserve">Effet.</w:t>
      </w:r>
      <w:r>
        <w:t xml:space="preserve"> </w:t>
      </w:r>
      <w:r>
        <w:t xml:space="preserve">L’obligation de réparer le préjudice causé à autrui par la faute de deux personnes ou plus est</w:t>
      </w:r>
      <w:r>
        <w:t xml:space="preserve"> </w:t>
      </w:r>
      <w:r>
        <w:rPr>
          <w:b/>
        </w:rPr>
        <w:t xml:space="preserve">solidaire</w:t>
      </w:r>
      <w:r>
        <w:t xml:space="preserve"> </w:t>
      </w:r>
      <w:r>
        <w:t xml:space="preserve">(art. 1526 C.c.Q.). Voir § VI.</w:t>
      </w:r>
    </w:p>
    <w:p>
      <w:r>
        <w:pict>
          <v:rect style="width:0;height:1.5pt" o:hralign="center" o:hrstd="t" o:hr="t"/>
        </w:pict>
      </w:r>
    </w:p>
    <w:p>
      <w:pPr>
        <w:pStyle w:val="Heading2"/>
      </w:pPr>
      <w:bookmarkStart w:id="37" w:name="X08eb3b03ccb60a8c1240ad24048680c484b265e"/>
      <w:r>
        <w:t xml:space="preserve">§ IV — MOYENS DE DROIT I : Abus de procédure (art. 51-56 C.p.c.)</w:t>
      </w:r>
      <w:bookmarkEnd w:id="37"/>
    </w:p>
    <w:p>
      <w:pPr>
        <w:pStyle w:val="BlockText"/>
      </w:pPr>
      <w:r>
        <w:rPr>
          <w:i/>
        </w:rPr>
        <w:t xml:space="preserve">Trame :</w:t>
      </w:r>
      <w:r>
        <w:rPr>
          <w:i/>
        </w:rPr>
        <w:t xml:space="preserve"> </w:t>
      </w:r>
      <w:hyperlink r:id="rId33">
        <w:r>
          <w:rPr>
            <w:rStyle w:val="Hyperlink"/>
            <w:i/>
          </w:rPr>
          <w:t xml:space="preserve">synthese_abus_diffamation_requete2015.md</w:t>
        </w:r>
      </w:hyperlink>
      <w:r>
        <w:rPr>
          <w:i/>
        </w:rPr>
        <w:t xml:space="preserve"> </w:t>
      </w:r>
      <w:r>
        <w:rPr>
          <w:i/>
        </w:rPr>
        <w:t xml:space="preserve">§3 +</w:t>
      </w:r>
      <w:r>
        <w:rPr>
          <w:i/>
        </w:rPr>
        <w:t xml:space="preserve"> </w:t>
      </w:r>
      <w:hyperlink r:id="rId30">
        <w:r>
          <w:rPr>
            <w:rStyle w:val="Hyperlink"/>
            <w:i/>
          </w:rPr>
          <w:t xml:space="preserve">these_patron_abstrait.md</w:t>
        </w:r>
      </w:hyperlink>
      <w:r>
        <w:rPr>
          <w:i/>
        </w:rPr>
        <w:t xml:space="preserve"> </w:t>
      </w:r>
      <w:r>
        <w:rPr>
          <w:i/>
        </w:rPr>
        <w:t xml:space="preserve">§8.</w:t>
      </w:r>
    </w:p>
    <w:p>
      <w:pPr>
        <w:numPr>
          <w:numId w:val="1008"/>
          <w:ilvl w:val="0"/>
        </w:numPr>
      </w:pPr>
      <w:r>
        <w:rPr>
          <w:b/>
        </w:rPr>
        <w:t xml:space="preserve">Le détournement des fins de la justice (art. 51).</w:t>
      </w:r>
      <w:r>
        <w:t xml:space="preserve"> </w:t>
      </w:r>
      <w:r>
        <w:t xml:space="preserve">En droit de la famille, la procédure tire sa légitimité d’un</w:t>
      </w:r>
      <w:r>
        <w:t xml:space="preserve"> </w:t>
      </w:r>
      <w:r>
        <w:rPr>
          <w:b/>
        </w:rPr>
        <w:t xml:space="preserve">tiers intérêt — celui des enfants</w:t>
      </w:r>
      <w:r>
        <w:t xml:space="preserve"> </w:t>
      </w:r>
      <w:r>
        <w:t xml:space="preserve">(art. 33 C.c.Q. ; contribution alimentaire selon la</w:t>
      </w:r>
      <w:r>
        <w:t xml:space="preserve"> </w:t>
      </w:r>
      <w:r>
        <w:rPr>
          <w:b/>
        </w:rPr>
        <w:t xml:space="preserve">capacité réelle de payer</w:t>
      </w:r>
      <w:r>
        <w:t xml:space="preserve">, art. 585-587 C.c.Q.). Les défenderesses ont détourné cette fin dans trois volets : la</w:t>
      </w:r>
      <w:r>
        <w:t xml:space="preserve"> </w:t>
      </w:r>
      <w:r>
        <w:rPr>
          <w:b/>
        </w:rPr>
        <w:t xml:space="preserve">garde</w:t>
      </w:r>
      <w:r>
        <w:t xml:space="preserve"> </w:t>
      </w:r>
      <w:r>
        <w:t xml:space="preserve">(au profit du contrôle de la mère), la</w:t>
      </w:r>
      <w:r>
        <w:t xml:space="preserve"> </w:t>
      </w:r>
      <w:r>
        <w:rPr>
          <w:b/>
        </w:rPr>
        <w:t xml:space="preserve">pension</w:t>
      </w:r>
      <w:r>
        <w:t xml:space="preserve"> </w:t>
      </w:r>
      <w:r>
        <w:t xml:space="preserve">(par sous-évaluation jurée du revenu de la mère et surévaluation du revenu du père), et le recours à l’</w:t>
      </w:r>
      <w:r>
        <w:rPr>
          <w:b/>
        </w:rPr>
        <w:t xml:space="preserve">urgence</w:t>
      </w:r>
      <w:r>
        <w:t xml:space="preserve"> </w:t>
      </w:r>
      <w:r>
        <w:t xml:space="preserve">(ordonnance ex parte proposée en 2013 sur un danger insincère, jamais exécutée mais révélatrice du dessein).</w:t>
      </w:r>
    </w:p>
    <w:p>
      <w:pPr>
        <w:numPr>
          <w:numId w:val="1008"/>
          <w:ilvl w:val="0"/>
        </w:numPr>
      </w:pPr>
      <w:r>
        <w:rPr>
          <w:b/>
        </w:rPr>
        <w:t xml:space="preserve">L’abus est indépendant de l’intention (art. 51).</w:t>
      </w:r>
      <w:r>
        <w:t xml:space="preserve"> </w:t>
      </w:r>
      <w:r>
        <w:t xml:space="preserve">Le caractère objectivement excessif ou déraisonnable suffit ; il n’est pas nécessaire de prouver une intention malveillante. Le noyau contesté n’est pas un désaccord de bonne foi : il est</w:t>
      </w:r>
      <w:r>
        <w:t xml:space="preserve"> </w:t>
      </w:r>
      <w:r>
        <w:rPr>
          <w:b/>
        </w:rPr>
        <w:t xml:space="preserve">affirmativement contredit</w:t>
      </w:r>
      <w:r>
        <w:t xml:space="preserve"> </w:t>
      </w:r>
      <w:r>
        <w:t xml:space="preserve">par les pièces et</w:t>
      </w:r>
      <w:r>
        <w:t xml:space="preserve"> </w:t>
      </w:r>
      <w:r>
        <w:rPr>
          <w:b/>
        </w:rPr>
        <w:t xml:space="preserve">connu faux au moment du serment</w:t>
      </w:r>
      <w:r>
        <w:t xml:space="preserve"> </w:t>
      </w:r>
      <w:r>
        <w:t xml:space="preserve">(scienter documenté). Plusieurs faussetés sont</w:t>
      </w:r>
      <w:r>
        <w:t xml:space="preserve"> </w:t>
      </w:r>
      <w:r>
        <w:rPr>
          <w:b/>
        </w:rPr>
        <w:t xml:space="preserve">jurées</w:t>
      </w:r>
      <w:r>
        <w:t xml:space="preserve"> </w:t>
      </w:r>
      <w:r>
        <w:t xml:space="preserve">(Requête 2015 ; DA-2019 ; formulaire de pension 2019 ; dénonciation 2023).</w:t>
      </w:r>
    </w:p>
    <w:p>
      <w:pPr>
        <w:numPr>
          <w:numId w:val="1008"/>
          <w:ilvl w:val="0"/>
        </w:numPr>
      </w:pPr>
      <w:r>
        <w:rPr>
          <w:b/>
        </w:rPr>
        <w:t xml:space="preserve">Le renversement du fardeau (art. 52).</w:t>
      </w:r>
      <w:r>
        <w:t xml:space="preserve"> </w:t>
      </w:r>
      <w:r>
        <w:t xml:space="preserve">Le demandeur établissant sommairement que ces actes peuvent constituer un abus, il appartiendra aux défenderesses de démontrer que leur conduite n’était ni excessive ni déraisonnable.</w:t>
      </w:r>
    </w:p>
    <w:p>
      <w:pPr>
        <w:numPr>
          <w:numId w:val="1008"/>
          <w:ilvl w:val="0"/>
        </w:numPr>
      </w:pPr>
      <w:r>
        <w:rPr>
          <w:b/>
        </w:rPr>
        <w:t xml:space="preserve">Un modus operandi constant, non une bavure isolée.</w:t>
      </w:r>
      <w:r>
        <w:t xml:space="preserve"> </w:t>
      </w:r>
      <w:r>
        <w:t xml:space="preserve">Voir § III.C : détournement répété d’une procédure à l’autre, conçu dès juin 2013 (préméditation documentée, pièce P-2).</w:t>
      </w:r>
    </w:p>
    <w:p>
      <w:pPr>
        <w:numPr>
          <w:numId w:val="1008"/>
          <w:ilvl w:val="0"/>
        </w:numPr>
      </w:pPr>
      <w:r>
        <w:rPr>
          <w:b/>
        </w:rPr>
        <w:t xml:space="preserve">Les remèdes (art. 54).</w:t>
      </w:r>
      <w:r>
        <w:t xml:space="preserve"> </w:t>
      </w:r>
      <w:r>
        <w:t xml:space="preserve">Remboursement des frais de l’instance, dommages-intérêts compensatoires (honoraires et débours engagés) et</w:t>
      </w:r>
      <w:r>
        <w:t xml:space="preserve"> </w:t>
      </w:r>
      <w:r>
        <w:rPr>
          <w:b/>
        </w:rPr>
        <w:t xml:space="preserve">dommages-intérêts punitifs</w:t>
      </w:r>
      <w:r>
        <w:t xml:space="preserve"> </w:t>
      </w:r>
      <w:r>
        <w:t xml:space="preserve">si les circonstances le justifient.</w:t>
      </w:r>
    </w:p>
    <w:p>
      <w:r>
        <w:pict>
          <v:rect style="width:0;height:1.5pt" o:hralign="center" o:hrstd="t" o:hr="t"/>
        </w:pict>
      </w:r>
    </w:p>
    <w:p>
      <w:pPr>
        <w:pStyle w:val="Heading2"/>
      </w:pPr>
      <w:bookmarkStart w:id="38" w:name="Xfe3176b828103eb3b30668298ee2f3819437d43"/>
      <w:r>
        <w:t xml:space="preserve">§ V — MOYENS DE DROIT II : Diffamation (art. 1457 C.c.Q. ; Charte, art. 4 et 49)</w:t>
      </w:r>
      <w:bookmarkEnd w:id="38"/>
    </w:p>
    <w:p>
      <w:pPr>
        <w:pStyle w:val="BlockText"/>
      </w:pPr>
      <w:r>
        <w:rPr>
          <w:i/>
        </w:rPr>
        <w:t xml:space="preserve">Trame :</w:t>
      </w:r>
      <w:r>
        <w:rPr>
          <w:i/>
        </w:rPr>
        <w:t xml:space="preserve"> </w:t>
      </w:r>
      <w:hyperlink r:id="rId33">
        <w:r>
          <w:rPr>
            <w:rStyle w:val="Hyperlink"/>
            <w:i/>
          </w:rPr>
          <w:t xml:space="preserve">synthese_abus_diffamation_requete2015.md</w:t>
        </w:r>
      </w:hyperlink>
      <w:r>
        <w:rPr>
          <w:i/>
        </w:rPr>
        <w:t xml:space="preserve"> </w:t>
      </w:r>
      <w:r>
        <w:rPr>
          <w:i/>
        </w:rPr>
        <w:t xml:space="preserve">§4.</w:t>
      </w:r>
    </w:p>
    <w:p>
      <w:pPr>
        <w:numPr>
          <w:numId w:val="1009"/>
          <w:ilvl w:val="0"/>
        </w:numPr>
      </w:pPr>
      <w:r>
        <w:rPr>
          <w:b/>
        </w:rPr>
        <w:t xml:space="preserve">Le contenu diffamatoire.</w:t>
      </w:r>
      <w:r>
        <w:t xml:space="preserve"> </w:t>
      </w:r>
      <w:r>
        <w:t xml:space="preserve">Des allégations falsifiables et contredites dépeignent le demandeur comme un père déficient, négligent, désengagé ou dangereux (notamment : implication « minimale » ; « parti tout l’été » ; refus d’exercer l’autorité parentale ; « choix de ne pas travailler pour subvenir aux besoins de ses enfants » ; registre « violence conjugale depuis la naissance » du plan de 2013, pièce P-2).</w:t>
      </w:r>
    </w:p>
    <w:p>
      <w:pPr>
        <w:numPr>
          <w:numId w:val="1009"/>
          <w:ilvl w:val="0"/>
        </w:numPr>
      </w:pPr>
      <w:r>
        <w:rPr>
          <w:b/>
        </w:rPr>
        <w:t xml:space="preserve">La communication à un tiers.</w:t>
      </w:r>
      <w:r>
        <w:t xml:space="preserve"> </w:t>
      </w:r>
      <w:r>
        <w:t xml:space="preserve">Ces propos ont été communiqués au</w:t>
      </w:r>
      <w:r>
        <w:t xml:space="preserve"> </w:t>
      </w:r>
      <w:r>
        <w:rPr>
          <w:b/>
        </w:rPr>
        <w:t xml:space="preserve">tribunal</w:t>
      </w:r>
      <w:r>
        <w:t xml:space="preserve"> </w:t>
      </w:r>
      <w:r>
        <w:t xml:space="preserve">(le seul acteur ignorant de leur fausseté, les deux parties connaissant la réalité vécue des enfants), et le cas échéant à d’autres tiers</w:t>
      </w:r>
      <w:r>
        <w:t xml:space="preserve"> </w:t>
      </w:r>
      <w:r>
        <w:rPr>
          <w:i/>
        </w:rPr>
        <w:t xml:space="preserve">(à préciser)</w:t>
      </w:r>
      <w:r>
        <w:t xml:space="preserve">.</w:t>
      </w:r>
    </w:p>
    <w:p>
      <w:pPr>
        <w:numPr>
          <w:numId w:val="1009"/>
          <w:ilvl w:val="0"/>
        </w:numPr>
      </w:pPr>
      <w:r>
        <w:rPr>
          <w:b/>
        </w:rPr>
        <w:t xml:space="preserve">La faute — l’immunité relative défaite.</w:t>
      </w:r>
      <w:r>
        <w:t xml:space="preserve"> </w:t>
      </w:r>
      <w:r>
        <w:t xml:space="preserve">Les propos tenus dans un acte de procédure bénéficient d’une</w:t>
      </w:r>
      <w:r>
        <w:t xml:space="preserve"> </w:t>
      </w:r>
      <w:r>
        <w:rPr>
          <w:b/>
        </w:rPr>
        <w:t xml:space="preserve">immunité relative</w:t>
      </w:r>
      <w:r>
        <w:t xml:space="preserve">,</w:t>
      </w:r>
      <w:r>
        <w:t xml:space="preserve"> </w:t>
      </w:r>
      <w:r>
        <w:rPr>
          <w:i/>
        </w:rPr>
        <w:t xml:space="preserve">sauf</w:t>
      </w:r>
      <w:r>
        <w:t xml:space="preserve"> </w:t>
      </w:r>
      <w:r>
        <w:t xml:space="preserve">mauvaise foi. Cette mauvaise foi est ici documentée (connaissance de la fausseté au serment) → l’immunité</w:t>
      </w:r>
      <w:r>
        <w:t xml:space="preserve"> </w:t>
      </w:r>
      <w:r>
        <w:rPr>
          <w:b/>
        </w:rPr>
        <w:t xml:space="preserve">tombe</w:t>
      </w:r>
      <w:r>
        <w:t xml:space="preserve"> </w:t>
      </w:r>
      <w:r>
        <w:t xml:space="preserve">sur le noyau connu-faux.</w:t>
      </w:r>
    </w:p>
    <w:p>
      <w:pPr>
        <w:numPr>
          <w:numId w:val="1009"/>
          <w:ilvl w:val="0"/>
        </w:numPr>
      </w:pPr>
      <w:r>
        <w:rPr>
          <w:b/>
        </w:rPr>
        <w:t xml:space="preserve">L’atteinte intentionnelle (Charte, art. 49 al. 2 → dommages punitifs).</w:t>
      </w:r>
      <w:r>
        <w:t xml:space="preserve"> </w:t>
      </w:r>
      <w:r>
        <w:t xml:space="preserve">L’auteur savait ou devait savoir la fausseté des propos et a néanmoins choisi de les présenter et de les maintenir → violation intentionnelle ouvrant droit aux dommages-intérêts punitifs.</w:t>
      </w:r>
    </w:p>
    <w:p>
      <w:r>
        <w:pict>
          <v:rect style="width:0;height:1.5pt" o:hralign="center" o:hrstd="t" o:hr="t"/>
        </w:pict>
      </w:r>
    </w:p>
    <w:p>
      <w:pPr>
        <w:pStyle w:val="Heading2"/>
      </w:pPr>
      <w:bookmarkStart w:id="39" w:name="vi-la-solidarité-art.-1526-c.c.q."/>
      <w:r>
        <w:t xml:space="preserve">§ VI — LA SOLIDARITÉ (art. 1526 C.c.Q.)</w:t>
      </w:r>
      <w:bookmarkEnd w:id="39"/>
    </w:p>
    <w:p>
      <w:pPr>
        <w:numPr>
          <w:numId w:val="1010"/>
          <w:ilvl w:val="0"/>
        </w:numPr>
      </w:pPr>
      <w:r>
        <w:t xml:space="preserve">L’obligation de réparer le préjudice causé à autrui par la faute de deux personnes ou plus est</w:t>
      </w:r>
      <w:r>
        <w:t xml:space="preserve"> </w:t>
      </w:r>
      <w:r>
        <w:rPr>
          <w:b/>
        </w:rPr>
        <w:t xml:space="preserve">solidaire</w:t>
      </w:r>
      <w:r>
        <w:t xml:space="preserve"> </w:t>
      </w:r>
      <w:r>
        <w:t xml:space="preserve">(art. 1526 C.c.Q.). Les faits établissant l’</w:t>
      </w:r>
      <w:r>
        <w:rPr>
          <w:b/>
        </w:rPr>
        <w:t xml:space="preserve">entreprise commune</w:t>
      </w:r>
      <w:r>
        <w:t xml:space="preserve"> </w:t>
      </w:r>
      <w:r>
        <w:t xml:space="preserve">— la conception (11 juin 2013), l’exécution (avril à septembre 2015) et l’adoption sous serment (19 novembre 2015) — sont exposés au</w:t>
      </w:r>
      <w:r>
        <w:t xml:space="preserve"> </w:t>
      </w:r>
      <w:r>
        <w:rPr>
          <w:b/>
        </w:rPr>
        <w:t xml:space="preserve">§ III, palier 3</w:t>
      </w:r>
      <w:r>
        <w:t xml:space="preserve"> </w:t>
      </w:r>
      <w:r>
        <w:t xml:space="preserve">; ils ne sont pas repris ici.</w:t>
      </w:r>
    </w:p>
    <w:p>
      <w:pPr>
        <w:numPr>
          <w:numId w:val="1010"/>
          <w:ilvl w:val="0"/>
        </w:numPr>
      </w:pPr>
      <w:r>
        <w:rPr>
          <w:b/>
        </w:rPr>
        <w:t xml:space="preserve">Le préjudice est unique.</w:t>
      </w:r>
      <w:r>
        <w:t xml:space="preserve"> </w:t>
      </w:r>
      <w:r>
        <w:t xml:space="preserve">Les fautes des deux défenderesses n’ont pas produit des dommages distincts et divisibles : elles ont concouru à un</w:t>
      </w:r>
      <w:r>
        <w:t xml:space="preserve"> </w:t>
      </w:r>
      <w:r>
        <w:rPr>
          <w:b/>
        </w:rPr>
        <w:t xml:space="preserve">même</w:t>
      </w:r>
      <w:r>
        <w:t xml:space="preserve"> </w:t>
      </w:r>
      <w:r>
        <w:t xml:space="preserve">résultat — le régime d’accès restreint et sa perpétuation, et la dissociation entre l’obligation alimentaire et la capacité réelle de payer. Les contributions sont</w:t>
      </w:r>
      <w:r>
        <w:t xml:space="preserve"> </w:t>
      </w:r>
      <w:r>
        <w:rPr>
          <w:b/>
        </w:rPr>
        <w:t xml:space="preserve">indissociables</w:t>
      </w:r>
      <w:r>
        <w:t xml:space="preserve"> </w:t>
      </w:r>
      <w:r>
        <w:t xml:space="preserve">: la conception sans le serment n’aurait produit aucun effet ; le serment sans la conception n’aurait eu aucun contenu.</w:t>
      </w:r>
    </w:p>
    <w:p>
      <w:pPr>
        <w:pStyle w:val="FirstParagraph"/>
      </w:pPr>
      <w:r>
        <w:t xml:space="preserve">22-A.</w:t>
      </w:r>
      <w:r>
        <w:t xml:space="preserve"> </w:t>
      </w:r>
      <w:r>
        <w:rPr>
          <w:b/>
        </w:rPr>
        <w:t xml:space="preserve">La participation respective se prouve néanmoins par des faits distincts</w:t>
      </w:r>
      <w:r>
        <w:t xml:space="preserve">, acte par acte : l’</w:t>
      </w:r>
      <w:r>
        <w:rPr>
          <w:b/>
        </w:rPr>
        <w:t xml:space="preserve">autorat</w:t>
      </w:r>
      <w:r>
        <w:t xml:space="preserve"> </w:t>
      </w:r>
      <w:r>
        <w:t xml:space="preserve">de l’une ; le</w:t>
      </w:r>
      <w:r>
        <w:t xml:space="preserve"> </w:t>
      </w:r>
      <w:r>
        <w:rPr>
          <w:b/>
        </w:rPr>
        <w:t xml:space="preserve">serment</w:t>
      </w:r>
      <w:r>
        <w:t xml:space="preserve"> </w:t>
      </w:r>
      <w:r>
        <w:t xml:space="preserve">de l’autre ; la</w:t>
      </w:r>
      <w:r>
        <w:t xml:space="preserve"> </w:t>
      </w:r>
      <w:r>
        <w:rPr>
          <w:b/>
        </w:rPr>
        <w:t xml:space="preserve">réception directe</w:t>
      </w:r>
      <w:r>
        <w:t xml:space="preserve">, par l’une, des documents contredisant les allégations attestées par l’autre — notamment le courriel du 6 juin 2019 reçu par Me Marie-Josée Ayoub (pièce</w:t>
      </w:r>
      <w:r>
        <w:t xml:space="preserve"> </w:t>
      </w:r>
      <w:r>
        <w:rPr>
          <w:b/>
        </w:rPr>
        <w:t xml:space="preserve">P-25</w:t>
      </w:r>
      <w:r>
        <w:t xml:space="preserve">), qui contredit le §20 juré par Élise Marie Ayoub quatre mois et demi plus tard. Ces faits sont exposés à la section Faits.</w:t>
      </w:r>
    </w:p>
    <w:p>
      <w:pPr>
        <w:pStyle w:val="BodyText"/>
      </w:pPr>
      <w:r>
        <w:t xml:space="preserve">22-B.</w:t>
      </w:r>
      <w:r>
        <w:t xml:space="preserve"> </w:t>
      </w:r>
      <w:r>
        <w:rPr>
          <w:b/>
        </w:rPr>
        <w:t xml:space="preserve">Rattachement des actes de l’agente à la principale.</w:t>
      </w:r>
      <w:r>
        <w:t xml:space="preserve"> </w:t>
      </w:r>
      <w:r>
        <w:t xml:space="preserve">Les actes de Me Marie-Josée Ayoub sont rattachés à Élise Marie Ayoub par</w:t>
      </w:r>
      <w:r>
        <w:t xml:space="preserve"> </w:t>
      </w:r>
      <w:r>
        <w:rPr>
          <w:b/>
        </w:rPr>
        <w:t xml:space="preserve">adoption et bénéfice</w:t>
      </w:r>
      <w:r>
        <w:t xml:space="preserve"> </w:t>
      </w:r>
      <w:r>
        <w:t xml:space="preserve">: celle-ci a reçu le plan de 2013, donné les instructions relatives aux propositions formulées en son nom en 2015, adopté sous serment les assertions de son avocate, et</w:t>
      </w:r>
      <w:r>
        <w:t xml:space="preserve"> </w:t>
      </w:r>
      <w:r>
        <w:rPr>
          <w:b/>
        </w:rPr>
        <w:t xml:space="preserve">profité</w:t>
      </w:r>
      <w:r>
        <w:t xml:space="preserve"> </w:t>
      </w:r>
      <w:r>
        <w:t xml:space="preserve">du régime obtenu.</w:t>
      </w:r>
    </w:p>
    <w:p>
      <w:pPr>
        <w:pStyle w:val="BodyText"/>
      </w:pPr>
      <w:r>
        <w:t xml:space="preserve">22-C. ⚠️</w:t>
      </w:r>
      <w:r>
        <w:t xml:space="preserve"> </w:t>
      </w:r>
      <w:r>
        <w:rPr>
          <w:b/>
        </w:rPr>
        <w:t xml:space="preserve">Rappel d’autorat.</w:t>
      </w:r>
      <w:r>
        <w:t xml:space="preserve"> </w:t>
      </w:r>
      <w:r>
        <w:t xml:space="preserve">Me Marie-Josée Ayoub</w:t>
      </w:r>
      <w:r>
        <w:t xml:space="preserve"> </w:t>
      </w:r>
      <w:r>
        <w:rPr>
          <w:b/>
        </w:rPr>
        <w:t xml:space="preserve">n’a pas rédigé</w:t>
      </w:r>
      <w:r>
        <w:t xml:space="preserve"> </w:t>
      </w:r>
      <w:r>
        <w:t xml:space="preserve">la Requête du 19 novembre 2015. La solidarité ne repose</w:t>
      </w:r>
      <w:r>
        <w:t xml:space="preserve"> </w:t>
      </w:r>
      <w:r>
        <w:rPr>
          <w:b/>
        </w:rPr>
        <w:t xml:space="preserve">pas</w:t>
      </w:r>
      <w:r>
        <w:t xml:space="preserve"> </w:t>
      </w:r>
      <w:r>
        <w:t xml:space="preserve">sur une rédaction commune, mais sur la</w:t>
      </w:r>
      <w:r>
        <w:t xml:space="preserve"> </w:t>
      </w:r>
      <w:r>
        <w:rPr>
          <w:b/>
        </w:rPr>
        <w:t xml:space="preserve">concertation</w:t>
      </w:r>
      <w:r>
        <w:t xml:space="preserve"> </w:t>
      </w:r>
      <w:r>
        <w:t xml:space="preserve">établie au § III, palier 3 (voir 11-D).</w:t>
      </w:r>
    </w:p>
    <w:p>
      <w:r>
        <w:pict>
          <v:rect style="width:0;height:1.5pt" o:hralign="center" o:hrstd="t" o:hr="t"/>
        </w:pict>
      </w:r>
    </w:p>
    <w:p>
      <w:pPr>
        <w:pStyle w:val="Heading2"/>
      </w:pPr>
      <w:bookmarkStart w:id="40" w:name="vii-le-lien-de-causalité"/>
      <w:r>
        <w:t xml:space="preserve">§ VII — LE LIEN DE CAUSALITÉ</w:t>
      </w:r>
      <w:bookmarkEnd w:id="40"/>
    </w:p>
    <w:p>
      <w:pPr>
        <w:pStyle w:val="BlockText"/>
      </w:pPr>
      <w:r>
        <w:rPr>
          <w:b/>
        </w:rPr>
        <w:t xml:space="preserve">Les trois paliers du § III donnent trois registres causaux distincts :</w:t>
      </w:r>
      <w:r>
        <w:t xml:space="preserve"> </w:t>
      </w:r>
      <w:r>
        <w:t xml:space="preserve">le</w:t>
      </w:r>
      <w:r>
        <w:t xml:space="preserve"> </w:t>
      </w:r>
      <w:r>
        <w:rPr>
          <w:b/>
        </w:rPr>
        <w:t xml:space="preserve">palier 1</w:t>
      </w:r>
      <w:r>
        <w:t xml:space="preserve"> </w:t>
      </w:r>
      <w:r>
        <w:t xml:space="preserve">(les faussetés) fonde l’</w:t>
      </w:r>
      <w:r>
        <w:rPr>
          <w:b/>
        </w:rPr>
        <w:t xml:space="preserve">effet prévisible</w:t>
      </w:r>
      <w:r>
        <w:t xml:space="preserve"> </w:t>
      </w:r>
      <w:r>
        <w:t xml:space="preserve">; le</w:t>
      </w:r>
      <w:r>
        <w:t xml:space="preserve"> </w:t>
      </w:r>
      <w:r>
        <w:rPr>
          <w:b/>
        </w:rPr>
        <w:t xml:space="preserve">palier 2</w:t>
      </w:r>
      <w:r>
        <w:t xml:space="preserve"> </w:t>
      </w:r>
      <w:r>
        <w:t xml:space="preserve">(le cumul) fonde la</w:t>
      </w:r>
      <w:r>
        <w:t xml:space="preserve"> </w:t>
      </w:r>
      <w:r>
        <w:rPr>
          <w:b/>
        </w:rPr>
        <w:t xml:space="preserve">persistance</w:t>
      </w:r>
      <w:r>
        <w:t xml:space="preserve"> </w:t>
      </w:r>
      <w:r>
        <w:t xml:space="preserve">et l’</w:t>
      </w:r>
      <w:r>
        <w:rPr>
          <w:b/>
        </w:rPr>
        <w:t xml:space="preserve">actualité</w:t>
      </w:r>
      <w:r>
        <w:t xml:space="preserve"> </w:t>
      </w:r>
      <w:r>
        <w:t xml:space="preserve">du préjudice ; le</w:t>
      </w:r>
      <w:r>
        <w:t xml:space="preserve"> </w:t>
      </w:r>
      <w:r>
        <w:rPr>
          <w:b/>
        </w:rPr>
        <w:t xml:space="preserve">palier 3</w:t>
      </w:r>
      <w:r>
        <w:t xml:space="preserve"> </w:t>
      </w:r>
      <w:r>
        <w:t xml:space="preserve">(le concert) fonde l’</w:t>
      </w:r>
      <w:r>
        <w:rPr>
          <w:b/>
        </w:rPr>
        <w:t xml:space="preserve">imputation solidaire</w:t>
      </w:r>
      <w:r>
        <w:t xml:space="preserve"> </w:t>
      </w:r>
      <w:r>
        <w:t xml:space="preserve">(§ VI).</w:t>
      </w:r>
    </w:p>
    <w:p>
      <w:pPr>
        <w:pStyle w:val="BlockText"/>
      </w:pPr>
      <w:r>
        <w:rPr>
          <w:i/>
        </w:rPr>
        <w:t xml:space="preserve">🔧 Restent à compléter : le</w:t>
      </w:r>
      <w:r>
        <w:rPr>
          <w:i/>
        </w:rPr>
        <w:t xml:space="preserve"> </w:t>
      </w:r>
      <w:r>
        <w:rPr>
          <w:b/>
          <w:i/>
        </w:rPr>
        <w:t xml:space="preserve">quantum</w:t>
      </w:r>
      <w:r>
        <w:rPr>
          <w:i/>
        </w:rPr>
        <w:t xml:space="preserve"> </w:t>
      </w:r>
      <w:r>
        <w:rPr>
          <w:i/>
        </w:rPr>
        <w:t xml:space="preserve">de la chaîne B et la</w:t>
      </w:r>
      <w:r>
        <w:rPr>
          <w:i/>
        </w:rPr>
        <w:t xml:space="preserve"> </w:t>
      </w:r>
      <w:r>
        <w:rPr>
          <w:b/>
          <w:i/>
        </w:rPr>
        <w:t xml:space="preserve">documentation</w:t>
      </w:r>
      <w:r>
        <w:rPr>
          <w:i/>
        </w:rPr>
        <w:t xml:space="preserve"> </w:t>
      </w:r>
      <w:r>
        <w:rPr>
          <w:i/>
        </w:rPr>
        <w:t xml:space="preserve">de la chaîne D (voir § VIII).</w:t>
      </w:r>
    </w:p>
    <w:p>
      <w:r>
        <w:pict>
          <v:rect style="width:0;height:1.5pt" o:hralign="center" o:hrstd="t" o:hr="t"/>
        </w:pict>
      </w:r>
    </w:p>
    <w:p>
      <w:pPr>
        <w:pStyle w:val="Heading3"/>
      </w:pPr>
      <w:bookmarkStart w:id="41" w:name="X88f4893af0dd8fae75ce36643d6eaeacdd57c22"/>
      <w:r>
        <w:t xml:space="preserve">A. Le principe — l’effet prévisible d’un ensemble, non le raisonnement d’un juge</w:t>
      </w:r>
      <w:bookmarkEnd w:id="41"/>
    </w:p>
    <w:p>
      <w:pPr>
        <w:pStyle w:val="Compact"/>
        <w:numPr>
          <w:numId w:val="1011"/>
          <w:ilvl w:val="0"/>
        </w:numPr>
      </w:pPr>
      <w:r>
        <w:rPr>
          <w:b/>
        </w:rPr>
        <w:t xml:space="preserve">La règle.</w:t>
      </w:r>
      <w:r>
        <w:t xml:space="preserve"> </w:t>
      </w:r>
      <w:r>
        <w:t xml:space="preserve">L’article 1457 C.c.Q. exige un lien de causalité entre la faute et le préjudice.</w:t>
      </w:r>
    </w:p>
    <w:p>
      <w:pPr>
        <w:pStyle w:val="FirstParagraph"/>
      </w:pPr>
      <w:r>
        <w:t xml:space="preserve">23-A.</w:t>
      </w:r>
      <w:r>
        <w:t xml:space="preserve"> </w:t>
      </w:r>
      <w:r>
        <w:rPr>
          <w:b/>
        </w:rPr>
        <w:t xml:space="preserve">Ce que le demandeur allègue.</w:t>
      </w:r>
      <w:r>
        <w:t xml:space="preserve"> </w:t>
      </w:r>
      <w:r>
        <w:t xml:space="preserve">Les</w:t>
      </w:r>
      <w:r>
        <w:t xml:space="preserve"> </w:t>
      </w:r>
      <w:r>
        <w:rPr>
          <w:b/>
        </w:rPr>
        <w:t xml:space="preserve">faussetés cumulées sont la faute</w:t>
      </w:r>
      <w:r>
        <w:t xml:space="preserve"> </w:t>
      </w:r>
      <w:r>
        <w:t xml:space="preserve">; le</w:t>
      </w:r>
      <w:r>
        <w:t xml:space="preserve"> </w:t>
      </w:r>
      <w:r>
        <w:rPr>
          <w:b/>
        </w:rPr>
        <w:t xml:space="preserve">régime d’accès restreint et sa perpétuation</w:t>
      </w:r>
      <w:r>
        <w:t xml:space="preserve">, de même que la</w:t>
      </w:r>
      <w:r>
        <w:t xml:space="preserve"> </w:t>
      </w:r>
      <w:r>
        <w:rPr>
          <w:b/>
        </w:rPr>
        <w:t xml:space="preserve">dissociation entre l’obligation alimentaire et la capacité réelle de payer</w:t>
      </w:r>
      <w:r>
        <w:t xml:space="preserve">, en sont l’</w:t>
      </w:r>
      <w:r>
        <w:rPr>
          <w:b/>
        </w:rPr>
        <w:t xml:space="preserve">effet prévisible</w:t>
      </w:r>
      <w:r>
        <w:t xml:space="preserve">.</w:t>
      </w:r>
    </w:p>
    <w:p>
      <w:pPr>
        <w:pStyle w:val="BodyText"/>
      </w:pPr>
      <w:r>
        <w:t xml:space="preserve">23-B.</w:t>
      </w:r>
      <w:r>
        <w:t xml:space="preserve"> </w:t>
      </w:r>
      <w:r>
        <w:rPr>
          <w:b/>
        </w:rPr>
        <w:t xml:space="preserve">Ce que le demandeur n’allègue pas.</w:t>
      </w:r>
      <w:r>
        <w:t xml:space="preserve"> </w:t>
      </w:r>
      <w:r>
        <w:t xml:space="preserve">Le demandeur n’allègue pas qu’un énoncé faux déterminé aurait produit une décision déterminée par un cheminement déterminé. Il n’allègue</w:t>
      </w:r>
      <w:r>
        <w:t xml:space="preserve"> </w:t>
      </w:r>
      <w:r>
        <w:rPr>
          <w:b/>
        </w:rPr>
        <w:t xml:space="preserve">rien</w:t>
      </w:r>
      <w:r>
        <w:t xml:space="preserve"> </w:t>
      </w:r>
      <w:r>
        <w:t xml:space="preserve">quant à la disposition, au raisonnement ou aux motifs des juges saisis : leur appréciation n’est pas mise en cause et aucune conclusion n’est recherchée à son égard. Ce qui est en cause est la</w:t>
      </w:r>
      <w:r>
        <w:t xml:space="preserve"> </w:t>
      </w:r>
      <w:r>
        <w:rPr>
          <w:b/>
        </w:rPr>
        <w:t xml:space="preserve">conduite des défenderesses</w:t>
      </w:r>
      <w:r>
        <w:t xml:space="preserve"> </w:t>
      </w:r>
      <w:r>
        <w:t xml:space="preserve">et l’</w:t>
      </w:r>
      <w:r>
        <w:rPr>
          <w:b/>
        </w:rPr>
        <w:t xml:space="preserve">effet prévisible</w:t>
      </w:r>
      <w:r>
        <w:t xml:space="preserve"> </w:t>
      </w:r>
      <w:r>
        <w:t xml:space="preserve">de cette conduite.</w:t>
      </w:r>
    </w:p>
    <w:p>
      <w:pPr>
        <w:pStyle w:val="BodyText"/>
      </w:pPr>
      <w:r>
        <w:t xml:space="preserve">23-C.</w:t>
      </w:r>
      <w:r>
        <w:t xml:space="preserve"> </w:t>
      </w:r>
      <w:r>
        <w:rPr>
          <w:b/>
        </w:rPr>
        <w:t xml:space="preserve">Pourquoi cette structure suffit en droit.</w:t>
      </w:r>
      <w:r>
        <w:t xml:space="preserve"> </w:t>
      </w:r>
      <w:r>
        <w:t xml:space="preserve">L’abus se mesure à l’</w:t>
      </w:r>
      <w:r>
        <w:rPr>
          <w:b/>
        </w:rPr>
        <w:t xml:space="preserve">acte</w:t>
      </w:r>
      <w:r>
        <w:t xml:space="preserve">, « sans égard à l’intention » et indépendamment de son issue (art. 51 C.p.c.). La diffamation se mesure à la</w:t>
      </w:r>
      <w:r>
        <w:t xml:space="preserve"> </w:t>
      </w:r>
      <w:r>
        <w:rPr>
          <w:b/>
        </w:rPr>
        <w:t xml:space="preserve">communication</w:t>
      </w:r>
      <w:r>
        <w:t xml:space="preserve"> </w:t>
      </w:r>
      <w:r>
        <w:t xml:space="preserve">du propos et à l’atteinte qui en résulte. Ni l’un ni l’autre n’exige d’établir ce qui a mû un décideur. La partie qui</w:t>
      </w:r>
      <w:r>
        <w:t xml:space="preserve"> </w:t>
      </w:r>
      <w:r>
        <w:rPr>
          <w:b/>
        </w:rPr>
        <w:t xml:space="preserve">initie</w:t>
      </w:r>
      <w:r>
        <w:t xml:space="preserve"> </w:t>
      </w:r>
      <w:r>
        <w:t xml:space="preserve">répond de l’</w:t>
      </w:r>
      <w:r>
        <w:rPr>
          <w:b/>
        </w:rPr>
        <w:t xml:space="preserve">effet</w:t>
      </w:r>
      <w:r>
        <w:t xml:space="preserve"> </w:t>
      </w:r>
      <w:r>
        <w:t xml:space="preserve">que ses énoncés produisent sur l’appréciation du tribunal — responsabilité</w:t>
      </w:r>
      <w:r>
        <w:t xml:space="preserve"> </w:t>
      </w:r>
      <w:r>
        <w:rPr>
          <w:b/>
        </w:rPr>
        <w:t xml:space="preserve">autonome de la contestation</w:t>
      </w:r>
      <w:r>
        <w:t xml:space="preserve"> </w:t>
      </w:r>
      <w:r>
        <w:t xml:space="preserve">par la partie adverse : l’effet découle de l’</w:t>
      </w:r>
      <w:r>
        <w:rPr>
          <w:b/>
        </w:rPr>
        <w:t xml:space="preserve">énoncé lui-même</w:t>
      </w:r>
      <w:r>
        <w:t xml:space="preserve">, non de l’absence de réplique.</w:t>
      </w:r>
    </w:p>
    <w:p>
      <w:r>
        <w:pict>
          <v:rect style="width:0;height:1.5pt" o:hralign="center" o:hrstd="t" o:hr="t"/>
        </w:pict>
      </w:r>
    </w:p>
    <w:p>
      <w:pPr>
        <w:pStyle w:val="Heading3"/>
      </w:pPr>
      <w:bookmarkStart w:id="42" w:name="X42164fa8fe6a7d6de1f760c34b491f661a4ff74"/>
      <w:r>
        <w:t xml:space="preserve">B. Chaîne A — le portrait faux, le régime d’accès et sa perpétuation</w:t>
      </w:r>
      <w:bookmarkEnd w:id="42"/>
    </w:p>
    <w:p>
      <w:pPr>
        <w:pStyle w:val="Compact"/>
        <w:numPr>
          <w:numId w:val="1012"/>
          <w:ilvl w:val="0"/>
        </w:numPr>
      </w:pPr>
      <w:r>
        <w:rPr>
          <w:b/>
        </w:rPr>
        <w:t xml:space="preserve">La faute.</w:t>
      </w:r>
      <w:r>
        <w:t xml:space="preserve"> </w:t>
      </w:r>
      <w:r>
        <w:t xml:space="preserve">L’ensemble des caractérisations fausses attestées sous serment — implication « minimale » (§6), difficulté historique à assumer le rôle de père (§7), « parti tout l’été » (§9), « rarement disponible » (§15), prise en charge maternelle exclusive et père seulement supplétif (§§16-17), entente fictive sur la garde (§18), refus d’exercer conjointement l’autorité parentale (§30), obstruction à l’utilisation des assurances (§57) — dresse le portrait d’un père</w:t>
      </w:r>
      <w:r>
        <w:t xml:space="preserve"> </w:t>
      </w:r>
      <w:r>
        <w:rPr>
          <w:b/>
        </w:rPr>
        <w:t xml:space="preserve">désengagé, obstructeur et déficient</w:t>
      </w:r>
      <w:r>
        <w:t xml:space="preserve"> </w:t>
      </w:r>
      <w:r>
        <w:t xml:space="preserve">(§ III, palier 1).</w:t>
      </w:r>
    </w:p>
    <w:p>
      <w:pPr>
        <w:pStyle w:val="FirstParagraph"/>
      </w:pPr>
      <w:r>
        <w:t xml:space="preserve">24-A.</w:t>
      </w:r>
      <w:r>
        <w:t xml:space="preserve"> </w:t>
      </w:r>
      <w:r>
        <w:rPr>
          <w:b/>
        </w:rPr>
        <w:t xml:space="preserve">L’effet prévisible.</w:t>
      </w:r>
      <w:r>
        <w:t xml:space="preserve"> </w:t>
      </w:r>
      <w:r>
        <w:t xml:space="preserve">Ce portrait avait pour effet prévisible l’établissement, puis la conservation, d’un régime parental périphérique : garde exclusive confiée à la défenderesse Élise Marie Ayoub et accès du demandeur limités au dimanche, de 16 h à 20 h (pièce</w:t>
      </w:r>
      <w:r>
        <w:t xml:space="preserve"> </w:t>
      </w:r>
      <w:r>
        <w:rPr>
          <w:b/>
        </w:rPr>
        <w:t xml:space="preserve">P-21</w:t>
      </w:r>
      <w:r>
        <w:t xml:space="preserve">).</w:t>
      </w:r>
    </w:p>
    <w:p>
      <w:pPr>
        <w:pStyle w:val="BodyText"/>
      </w:pPr>
      <w:r>
        <w:t xml:space="preserve">24-B.</w:t>
      </w:r>
      <w:r>
        <w:t xml:space="preserve"> </w:t>
      </w:r>
      <w:r>
        <w:rPr>
          <w:b/>
        </w:rPr>
        <w:t xml:space="preserve">La perpétuation — l’absence de fait nouveau.</w:t>
      </w:r>
      <w:r>
        <w:t xml:space="preserve"> </w:t>
      </w:r>
      <w:r>
        <w:t xml:space="preserve">Une mesure prise dans l’intérêt de l’enfant est fonction de la situation de celui-ci : elle ne se modifie qu’au vu d’un fait nouveau. Aucune rétractation des allégations ni aucun fait nouveau n’a été produit. Les restrictions se sont donc</w:t>
      </w:r>
      <w:r>
        <w:t xml:space="preserve"> </w:t>
      </w:r>
      <w:r>
        <w:rPr>
          <w:b/>
        </w:rPr>
        <w:t xml:space="preserve">perpétuées par leur seule inertie</w:t>
      </w:r>
      <w:r>
        <w:t xml:space="preserve">.</w:t>
      </w:r>
    </w:p>
    <w:p>
      <w:pPr>
        <w:pStyle w:val="BodyText"/>
      </w:pPr>
      <w:r>
        <w:t xml:space="preserve">24-C.</w:t>
      </w:r>
      <w:r>
        <w:t xml:space="preserve"> </w:t>
      </w:r>
      <w:r>
        <w:rPr>
          <w:b/>
        </w:rPr>
        <w:t xml:space="preserve">La perpétuation — le verrouillage procédural.</w:t>
      </w:r>
      <w:r>
        <w:t xml:space="preserve"> </w:t>
      </w:r>
      <w:r>
        <w:t xml:space="preserve">Le portrait faux, entériné par le jugement du 14 janvier 2016, est ensuite devenu</w:t>
      </w:r>
      <w:r>
        <w:t xml:space="preserve"> </w:t>
      </w:r>
      <w:r>
        <w:rPr>
          <w:b/>
        </w:rPr>
        <w:t xml:space="preserve">inattaquable</w:t>
      </w:r>
      <w:r>
        <w:t xml:space="preserve">. Le 4 novembre 2019, alors que le demandeur — se représentant seul — témoignait, la défenderesse Me Marie-Josée Ayoub a objecté qu’« un jugement a été prononcé en 2016 sur ces sujets » ; le Tribunal a alors informé le demandeur de</w:t>
      </w:r>
      <w:r>
        <w:t xml:space="preserve"> </w:t>
      </w:r>
      <w:r>
        <w:rPr>
          <w:b/>
        </w:rPr>
        <w:t xml:space="preserve">ne pas parler de ce qui s’était passé avant 2016</w:t>
      </w:r>
      <w:r>
        <w:t xml:space="preserve"> </w:t>
      </w:r>
      <w:r>
        <w:t xml:space="preserve">(pièce</w:t>
      </w:r>
      <w:r>
        <w:t xml:space="preserve"> </w:t>
      </w:r>
      <w:r>
        <w:rPr>
          <w:b/>
        </w:rPr>
        <w:t xml:space="preserve">P-34</w:t>
      </w:r>
      <w:r>
        <w:t xml:space="preserve">). Le préjudice ne s’est donc pas seulement maintenu : il est devenu</w:t>
      </w:r>
      <w:r>
        <w:t xml:space="preserve"> </w:t>
      </w:r>
      <w:r>
        <w:rPr>
          <w:b/>
        </w:rPr>
        <w:t xml:space="preserve">irréparable par les voies ordinaires</w:t>
      </w:r>
      <w:r>
        <w:t xml:space="preserve">.</w:t>
      </w:r>
    </w:p>
    <w:p>
      <w:pPr>
        <w:pStyle w:val="Compact"/>
        <w:numPr>
          <w:numId w:val="1013"/>
          <w:ilvl w:val="0"/>
        </w:numPr>
      </w:pPr>
      <w:r>
        <w:rPr>
          <w:b/>
        </w:rPr>
        <w:t xml:space="preserve">Réponse à l’objection tirée du défaut.</w:t>
      </w:r>
      <w:r>
        <w:t xml:space="preserve"> </w:t>
      </w:r>
      <w:r>
        <w:t xml:space="preserve">L’absence du demandeur à l’audience du 14 janvier 2016</w:t>
      </w:r>
      <w:r>
        <w:t xml:space="preserve"> </w:t>
      </w:r>
      <w:r>
        <w:rPr>
          <w:b/>
        </w:rPr>
        <w:t xml:space="preserve">ne rompt pas</w:t>
      </w:r>
      <w:r>
        <w:t xml:space="preserve"> </w:t>
      </w:r>
      <w:r>
        <w:t xml:space="preserve">le lien de causalité et ne constitue pas une faute contributive : (a) l’abus se mesure à l’</w:t>
      </w:r>
      <w:r>
        <w:rPr>
          <w:b/>
        </w:rPr>
        <w:t xml:space="preserve">acte</w:t>
      </w:r>
      <w:r>
        <w:t xml:space="preserve">, non à son issue (art. 51) ; (b) il n’y avait</w:t>
      </w:r>
      <w:r>
        <w:t xml:space="preserve"> </w:t>
      </w:r>
      <w:r>
        <w:rPr>
          <w:b/>
        </w:rPr>
        <w:t xml:space="preserve">pas de débat contradictoire</w:t>
      </w:r>
      <w:r>
        <w:t xml:space="preserve"> </w:t>
      </w:r>
      <w:r>
        <w:t xml:space="preserve">possible — les deux parties connaissaient la réalité des enfants, de sorte que le procès n’opposait pas deux versions mais exposait une</w:t>
      </w:r>
      <w:r>
        <w:t xml:space="preserve"> </w:t>
      </w:r>
      <w:r>
        <w:rPr>
          <w:b/>
        </w:rPr>
        <w:t xml:space="preserve">fausseté connue au seul tiers qui l’ignorait, le tribunal</w:t>
      </w:r>
      <w:r>
        <w:t xml:space="preserve"> </w:t>
      </w:r>
      <w:r>
        <w:t xml:space="preserve">; (c) le</w:t>
      </w:r>
      <w:r>
        <w:t xml:space="preserve"> </w:t>
      </w:r>
      <w:r>
        <w:rPr>
          <w:b/>
        </w:rPr>
        <w:t xml:space="preserve">vice était complet au moment du serment</w:t>
      </w:r>
      <w:r>
        <w:t xml:space="preserve">, indépendamment de la comparution. La convergence du 11 janvier 2016 en fait la preuve : le même jour, la déclarante désavoue la caractérisation du désengagement (pièce P-20)</w:t>
      </w:r>
      <w:r>
        <w:t xml:space="preserve"> </w:t>
      </w:r>
      <w:r>
        <w:rPr>
          <w:b/>
        </w:rPr>
        <w:t xml:space="preserve">et</w:t>
      </w:r>
      <w:r>
        <w:t xml:space="preserve"> </w:t>
      </w:r>
      <w:r>
        <w:t xml:space="preserve">utilise les assurances qu’elle affirmait bloquées (pièce P-84/P-85, relevés), à trois jours de l’audience.</w:t>
      </w:r>
      <w:r>
        <w:t xml:space="preserve"> </w:t>
      </w:r>
      <w:r>
        <w:rPr>
          <w:i/>
        </w:rPr>
        <w:t xml:space="preserve">Voir [feedback_false_premise_not_procedural] en mémoire.</w:t>
      </w:r>
    </w:p>
    <w:p>
      <w:r>
        <w:pict>
          <v:rect style="width:0;height:1.5pt" o:hralign="center" o:hrstd="t" o:hr="t"/>
        </w:pict>
      </w:r>
    </w:p>
    <w:p>
      <w:pPr>
        <w:pStyle w:val="Heading3"/>
      </w:pPr>
      <w:bookmarkStart w:id="43" w:name="Xe60e7ed1bb943fc06f6ac8d5dcbe817c844b448"/>
      <w:r>
        <w:t xml:space="preserve">C. Chaîne B — la dissociation entre l’obligation alimentaire et la capacité de payer (2018 → ce jour)</w:t>
      </w:r>
      <w:bookmarkEnd w:id="43"/>
    </w:p>
    <w:p>
      <w:pPr>
        <w:pStyle w:val="Compact"/>
        <w:numPr>
          <w:numId w:val="1014"/>
          <w:ilvl w:val="0"/>
        </w:numPr>
      </w:pPr>
      <w:r>
        <w:rPr>
          <w:b/>
        </w:rPr>
        <w:t xml:space="preserve">La faute est continue.</w:t>
      </w:r>
      <w:r>
        <w:t xml:space="preserve"> </w:t>
      </w:r>
      <w:r>
        <w:t xml:space="preserve">Le demandeur perd son emploi en juin 2018. La pension alimentaire n’a</w:t>
      </w:r>
      <w:r>
        <w:t xml:space="preserve"> </w:t>
      </w:r>
      <w:r>
        <w:rPr>
          <w:b/>
        </w:rPr>
        <w:t xml:space="preserve">jamais</w:t>
      </w:r>
      <w:r>
        <w:t xml:space="preserve"> </w:t>
      </w:r>
      <w:r>
        <w:t xml:space="preserve">été ajustée pour refléter sa capacité réelle de payer — ni alors, ni depuis. Le maintien de cette dissociation, et des arrérages qui en découlent, constitue une</w:t>
      </w:r>
      <w:r>
        <w:t xml:space="preserve"> </w:t>
      </w:r>
      <w:r>
        <w:rPr>
          <w:b/>
        </w:rPr>
        <w:t xml:space="preserve">faute continue</w:t>
      </w:r>
      <w:r>
        <w:t xml:space="preserve"> </w:t>
      </w:r>
      <w:r>
        <w:t xml:space="preserve">(§ III, palier 2 ; voir § IX).</w:t>
      </w:r>
    </w:p>
    <w:p>
      <w:pPr>
        <w:pStyle w:val="FirstParagraph"/>
      </w:pPr>
      <w:r>
        <w:t xml:space="preserve">26-A.</w:t>
      </w:r>
      <w:r>
        <w:t xml:space="preserve"> </w:t>
      </w:r>
      <w:r>
        <w:rPr>
          <w:b/>
        </w:rPr>
        <w:t xml:space="preserve">L’attribution — la non-modification résulte d’une opposition active, non d’une inertie.</w:t>
      </w:r>
      <w:r>
        <w:t xml:space="preserve"> </w:t>
      </w:r>
      <w:r>
        <w:t xml:space="preserve">Le demandeur,</w:t>
      </w:r>
      <w:r>
        <w:t xml:space="preserve"> </w:t>
      </w:r>
      <w:r>
        <w:rPr>
          <w:b/>
        </w:rPr>
        <w:t xml:space="preserve">non représenté</w:t>
      </w:r>
      <w:r>
        <w:t xml:space="preserve">, dépose une demande de modification de la pension le</w:t>
      </w:r>
      <w:r>
        <w:t xml:space="preserve"> </w:t>
      </w:r>
      <w:r>
        <w:rPr>
          <w:b/>
        </w:rPr>
        <w:t xml:space="preserve">13 septembre 2018</w:t>
      </w:r>
      <w:r>
        <w:t xml:space="preserve">. Un jugement intérimaire est rendu le</w:t>
      </w:r>
      <w:r>
        <w:t xml:space="preserve"> </w:t>
      </w:r>
      <w:r>
        <w:rPr>
          <w:b/>
        </w:rPr>
        <w:t xml:space="preserve">5 octobre 2018</w:t>
      </w:r>
      <w:r>
        <w:t xml:space="preserve">. La défenderesse Me Marie-Josée Ayoub se constitue procureure le</w:t>
      </w:r>
      <w:r>
        <w:t xml:space="preserve"> </w:t>
      </w:r>
      <w:r>
        <w:rPr>
          <w:b/>
        </w:rPr>
        <w:t xml:space="preserve">11 octobre 2018</w:t>
      </w:r>
      <w:r>
        <w:t xml:space="preserve">, puis dépose le</w:t>
      </w:r>
      <w:r>
        <w:t xml:space="preserve"> </w:t>
      </w:r>
      <w:r>
        <w:rPr>
          <w:b/>
        </w:rPr>
        <w:t xml:space="preserve">22 octobre 2018</w:t>
      </w:r>
      <w:r>
        <w:t xml:space="preserve"> </w:t>
      </w:r>
      <w:r>
        <w:t xml:space="preserve">un</w:t>
      </w:r>
      <w:r>
        <w:t xml:space="preserve"> </w:t>
      </w:r>
      <w:r>
        <w:rPr>
          <w:b/>
        </w:rPr>
        <w:t xml:space="preserve">pourvoi en rétractation</w:t>
      </w:r>
      <w:r>
        <w:t xml:space="preserve"> </w:t>
      </w:r>
      <w:r>
        <w:t xml:space="preserve">de ce jugement ; le</w:t>
      </w:r>
      <w:r>
        <w:t xml:space="preserve"> </w:t>
      </w:r>
      <w:r>
        <w:rPr>
          <w:b/>
        </w:rPr>
        <w:t xml:space="preserve">26 octobre 2018</w:t>
      </w:r>
      <w:r>
        <w:t xml:space="preserve">, la demande du demandeur est</w:t>
      </w:r>
      <w:r>
        <w:t xml:space="preserve"> </w:t>
      </w:r>
      <w:r>
        <w:rPr>
          <w:b/>
        </w:rPr>
        <w:t xml:space="preserve">reportée</w:t>
      </w:r>
      <w:r>
        <w:t xml:space="preserve">. Elle sera ensuite</w:t>
      </w:r>
      <w:r>
        <w:t xml:space="preserve"> </w:t>
      </w:r>
      <w:r>
        <w:rPr>
          <w:b/>
        </w:rPr>
        <w:t xml:space="preserve">remise de mois en mois pendant plus d’un an</w:t>
      </w:r>
      <w:r>
        <w:t xml:space="preserve">, jusqu’au 4 novembre 2019, tel qu’il appert du plumitif du dossier 505-04-024603-151 (pièce</w:t>
      </w:r>
      <w:r>
        <w:t xml:space="preserve"> </w:t>
      </w:r>
      <w:r>
        <w:rPr>
          <w:b/>
        </w:rPr>
        <w:t xml:space="preserve">P-91</w:t>
      </w:r>
      <w:r>
        <w:t xml:space="preserve">).</w:t>
      </w:r>
    </w:p>
    <w:p>
      <w:pPr>
        <w:pStyle w:val="BodyText"/>
      </w:pPr>
      <w:r>
        <w:t xml:space="preserve">26-B.</w:t>
      </w:r>
      <w:r>
        <w:t xml:space="preserve"> </w:t>
      </w:r>
      <w:r>
        <w:rPr>
          <w:b/>
        </w:rPr>
        <w:t xml:space="preserve">Les représentations de 2019 faussent l’assiette.</w:t>
      </w:r>
      <w:r>
        <w:t xml:space="preserve"> </w:t>
      </w:r>
      <w:r>
        <w:t xml:space="preserve">Le 27 septembre 2019, un jugement intérimaire constate « que Monsieur n’a aucun revenu » (pièce</w:t>
      </w:r>
      <w:r>
        <w:t xml:space="preserve"> </w:t>
      </w:r>
      <w:r>
        <w:rPr>
          <w:b/>
        </w:rPr>
        <w:t xml:space="preserve">P-26</w:t>
      </w:r>
      <w:r>
        <w:t xml:space="preserve">). Le 21 octobre 2019, le formulaire de fixation inscrit néanmoins à la ligne « Salaire brut » le</w:t>
      </w:r>
      <w:r>
        <w:t xml:space="preserve"> </w:t>
      </w:r>
      <w:r>
        <w:rPr>
          <w:b/>
        </w:rPr>
        <w:t xml:space="preserve">revenu net</w:t>
      </w:r>
      <w:r>
        <w:t xml:space="preserve"> </w:t>
      </w:r>
      <w:r>
        <w:t xml:space="preserve">de la défenderesse Élise Marie Ayoub (99 271,79 $ au lieu de son revenu total de 112 569,08 $) et le</w:t>
      </w:r>
      <w:r>
        <w:t xml:space="preserve"> </w:t>
      </w:r>
      <w:r>
        <w:rPr>
          <w:b/>
        </w:rPr>
        <w:t xml:space="preserve">revenu total composite</w:t>
      </w:r>
      <w:r>
        <w:t xml:space="preserve"> </w:t>
      </w:r>
      <w:r>
        <w:t xml:space="preserve">du demandeur (64 028,34 $, comprenant 12 034 $ d’assurance-emploi et 4 089,60 $ de prestations de retraite, non reportés aux lignes qui leur sont propres) — pièces</w:t>
      </w:r>
      <w:r>
        <w:t xml:space="preserve"> </w:t>
      </w:r>
      <w:r>
        <w:rPr>
          <w:b/>
        </w:rPr>
        <w:t xml:space="preserve">P-28</w:t>
      </w:r>
      <w:r>
        <w:t xml:space="preserve">,</w:t>
      </w:r>
      <w:r>
        <w:t xml:space="preserve"> </w:t>
      </w:r>
      <w:r>
        <w:rPr>
          <w:b/>
        </w:rPr>
        <w:t xml:space="preserve">P-29</w:t>
      </w:r>
      <w:r>
        <w:t xml:space="preserve">,</w:t>
      </w:r>
      <w:r>
        <w:t xml:space="preserve"> </w:t>
      </w:r>
      <w:r>
        <w:rPr>
          <w:b/>
        </w:rPr>
        <w:t xml:space="preserve">P-35</w:t>
      </w:r>
      <w:r>
        <w:t xml:space="preserve">. Le 4 novembre 2019, la pension est fixée sur le revenu retenu de 64 028,34 $ (pièce</w:t>
      </w:r>
      <w:r>
        <w:t xml:space="preserve"> </w:t>
      </w:r>
      <w:r>
        <w:rPr>
          <w:b/>
        </w:rPr>
        <w:t xml:space="preserve">P-34</w:t>
      </w:r>
      <w:r>
        <w:t xml:space="preserve">).</w:t>
      </w:r>
    </w:p>
    <w:p>
      <w:pPr>
        <w:pStyle w:val="BodyText"/>
      </w:pPr>
      <w:r>
        <w:t xml:space="preserve">26-C.</w:t>
      </w:r>
      <w:r>
        <w:t xml:space="preserve"> </w:t>
      </w:r>
      <w:r>
        <w:rPr>
          <w:b/>
        </w:rPr>
        <w:t xml:space="preserve">L’effet — la cascade.</w:t>
      </w:r>
      <w:r>
        <w:t xml:space="preserve"> </w:t>
      </w:r>
      <w:r>
        <w:t xml:space="preserve">De cette dissociation découlent, en chaîne : l’accumulation d’</w:t>
      </w:r>
      <w:r>
        <w:rPr>
          <w:b/>
        </w:rPr>
        <w:t xml:space="preserve">arrérages</w:t>
      </w:r>
      <w:r>
        <w:t xml:space="preserve"> </w:t>
      </w:r>
      <w:r>
        <w:t xml:space="preserve">; la</w:t>
      </w:r>
      <w:r>
        <w:t xml:space="preserve"> </w:t>
      </w:r>
      <w:r>
        <w:rPr>
          <w:b/>
        </w:rPr>
        <w:t xml:space="preserve">saisie des comptes bancaires</w:t>
      </w:r>
      <w:r>
        <w:t xml:space="preserve"> </w:t>
      </w:r>
      <w:r>
        <w:t xml:space="preserve">du demandeur ; la</w:t>
      </w:r>
      <w:r>
        <w:t xml:space="preserve"> </w:t>
      </w:r>
      <w:r>
        <w:rPr>
          <w:b/>
        </w:rPr>
        <w:t xml:space="preserve">suspension de son passeport</w:t>
      </w:r>
      <w:r>
        <w:t xml:space="preserve"> </w:t>
      </w:r>
      <w:r>
        <w:t xml:space="preserve">(pièce</w:t>
      </w:r>
      <w:r>
        <w:t xml:space="preserve"> </w:t>
      </w:r>
      <w:r>
        <w:rPr>
          <w:b/>
        </w:rPr>
        <w:t xml:space="preserve">P-37</w:t>
      </w:r>
      <w:r>
        <w:t xml:space="preserve">) ; l’</w:t>
      </w:r>
      <w:r>
        <w:rPr>
          <w:b/>
        </w:rPr>
        <w:t xml:space="preserve">impossibilité d’occuper l’emploi obtenu à l’étranger</w:t>
      </w:r>
      <w:r>
        <w:t xml:space="preserve"> </w:t>
      </w:r>
      <w:r>
        <w:t xml:space="preserve">; la</w:t>
      </w:r>
      <w:r>
        <w:t xml:space="preserve"> </w:t>
      </w:r>
      <w:r>
        <w:rPr>
          <w:b/>
        </w:rPr>
        <w:t xml:space="preserve">perte de son logement</w:t>
      </w:r>
      <w:r>
        <w:t xml:space="preserve"> </w:t>
      </w:r>
      <w:r>
        <w:t xml:space="preserve">; l’</w:t>
      </w:r>
      <w:r>
        <w:rPr>
          <w:b/>
        </w:rPr>
        <w:t xml:space="preserve">itinérance</w:t>
      </w:r>
      <w:r>
        <w:t xml:space="preserve"> </w:t>
      </w:r>
      <w:r>
        <w:t xml:space="preserve">; l’</w:t>
      </w:r>
      <w:r>
        <w:rPr>
          <w:b/>
        </w:rPr>
        <w:t xml:space="preserve">épuisement de ses économies</w:t>
      </w:r>
      <w:r>
        <w:t xml:space="preserve"> </w:t>
      </w:r>
      <w:r>
        <w:t xml:space="preserve">(pièce</w:t>
      </w:r>
      <w:r>
        <w:t xml:space="preserve"> </w:t>
      </w:r>
      <w:r>
        <w:rPr>
          <w:b/>
        </w:rPr>
        <w:t xml:space="preserve">P-38</w:t>
      </w:r>
      <w:r>
        <w:t xml:space="preserve">) ; la</w:t>
      </w:r>
      <w:r>
        <w:t xml:space="preserve"> </w:t>
      </w:r>
      <w:r>
        <w:rPr>
          <w:b/>
        </w:rPr>
        <w:t xml:space="preserve">perte de sa cote de crédit</w:t>
      </w:r>
      <w:r>
        <w:t xml:space="preserve">.</w:t>
      </w:r>
      <w:r>
        <w:t xml:space="preserve"> </w:t>
      </w:r>
      <w:r>
        <w:rPr>
          <w:i/>
        </w:rPr>
        <w:t xml:space="preserve">[Bornes temporelles et pièces à compléter — voir § VIII.]</w:t>
      </w:r>
    </w:p>
    <w:p>
      <w:pPr>
        <w:pStyle w:val="BodyText"/>
      </w:pPr>
      <w:r>
        <w:t xml:space="preserve">26-D.</w:t>
      </w:r>
      <w:r>
        <w:t xml:space="preserve"> </w:t>
      </w:r>
      <w:r>
        <w:rPr>
          <w:b/>
        </w:rPr>
        <w:t xml:space="preserve">Le préjudice est actuel.</w:t>
      </w:r>
      <w:r>
        <w:t xml:space="preserve"> </w:t>
      </w:r>
      <w:r>
        <w:t xml:space="preserve">À ce jour, la pension n’a toujours pas été ajustée : le préjudice</w:t>
      </w:r>
      <w:r>
        <w:t xml:space="preserve"> </w:t>
      </w:r>
      <w:r>
        <w:rPr>
          <w:b/>
        </w:rPr>
        <w:t xml:space="preserve">continue de courir</w:t>
      </w:r>
      <w:r>
        <w:t xml:space="preserve">.</w:t>
      </w:r>
    </w:p>
    <w:p>
      <w:r>
        <w:pict>
          <v:rect style="width:0;height:1.5pt" o:hralign="center" o:hrstd="t" o:hr="t"/>
        </w:pict>
      </w:r>
    </w:p>
    <w:p>
      <w:pPr>
        <w:pStyle w:val="Heading3"/>
      </w:pPr>
      <w:bookmarkStart w:id="44" w:name="d.-chaîne-c-la-réputation-et-la-dignité"/>
      <w:r>
        <w:t xml:space="preserve">D. Chaîne C — la réputation et la dignité</w:t>
      </w:r>
      <w:bookmarkEnd w:id="44"/>
    </w:p>
    <w:p>
      <w:pPr>
        <w:pStyle w:val="Compact"/>
        <w:numPr>
          <w:numId w:val="1015"/>
          <w:ilvl w:val="0"/>
        </w:numPr>
      </w:pPr>
      <w:r>
        <w:t xml:space="preserve">Le portrait faux décrit au 24 a été</w:t>
      </w:r>
      <w:r>
        <w:t xml:space="preserve"> </w:t>
      </w:r>
      <w:r>
        <w:rPr>
          <w:b/>
        </w:rPr>
        <w:t xml:space="preserve">communiqué au Tribunal</w:t>
      </w:r>
      <w:r>
        <w:t xml:space="preserve">. Portant sur la qualité de parent du demandeur, il atteint sa</w:t>
      </w:r>
      <w:r>
        <w:t xml:space="preserve"> </w:t>
      </w:r>
      <w:r>
        <w:rPr>
          <w:b/>
        </w:rPr>
        <w:t xml:space="preserve">réputation</w:t>
      </w:r>
      <w:r>
        <w:t xml:space="preserve"> </w:t>
      </w:r>
      <w:r>
        <w:t xml:space="preserve">et sa</w:t>
      </w:r>
      <w:r>
        <w:t xml:space="preserve"> </w:t>
      </w:r>
      <w:r>
        <w:rPr>
          <w:b/>
        </w:rPr>
        <w:t xml:space="preserve">dignité</w:t>
      </w:r>
      <w:r>
        <w:t xml:space="preserve"> </w:t>
      </w:r>
      <w:r>
        <w:t xml:space="preserve">(art. 4 de la Charte). L’atteinte résulte de la</w:t>
      </w:r>
      <w:r>
        <w:t xml:space="preserve"> </w:t>
      </w:r>
      <w:r>
        <w:rPr>
          <w:b/>
        </w:rPr>
        <w:t xml:space="preserve">communication du propos</w:t>
      </w:r>
      <w:r>
        <w:t xml:space="preserve"> </w:t>
      </w:r>
      <w:r>
        <w:t xml:space="preserve">: il n’est pas nécessaire d’établir l’effet qu’il a produit sur un décideur (23-C). Elle est</w:t>
      </w:r>
      <w:r>
        <w:t xml:space="preserve"> </w:t>
      </w:r>
      <w:r>
        <w:rPr>
          <w:b/>
        </w:rPr>
        <w:t xml:space="preserve">aggravée</w:t>
      </w:r>
      <w:r>
        <w:t xml:space="preserve"> </w:t>
      </w:r>
      <w:r>
        <w:t xml:space="preserve">par sa réitération sur plus de dix ans (§ III, palier 2) et par le</w:t>
      </w:r>
      <w:r>
        <w:t xml:space="preserve"> </w:t>
      </w:r>
      <w:r>
        <w:rPr>
          <w:b/>
        </w:rPr>
        <w:t xml:space="preserve">serment</w:t>
      </w:r>
      <w:r>
        <w:t xml:space="preserve"> </w:t>
      </w:r>
      <w:r>
        <w:t xml:space="preserve">qui l’accompagne.</w:t>
      </w:r>
    </w:p>
    <w:p>
      <w:r>
        <w:pict>
          <v:rect style="width:0;height:1.5pt" o:hralign="center" o:hrstd="t" o:hr="t"/>
        </w:pict>
      </w:r>
    </w:p>
    <w:p>
      <w:pPr>
        <w:pStyle w:val="Heading3"/>
      </w:pPr>
      <w:bookmarkStart w:id="45" w:name="e.-chaîne-d-les-frais-et-les-débours"/>
      <w:r>
        <w:t xml:space="preserve">E. Chaîne D — les frais et les débours</w:t>
      </w:r>
      <w:bookmarkEnd w:id="45"/>
    </w:p>
    <w:p>
      <w:pPr>
        <w:pStyle w:val="Compact"/>
        <w:numPr>
          <w:numId w:val="1016"/>
          <w:ilvl w:val="0"/>
        </w:numPr>
      </w:pPr>
      <w:r>
        <w:t xml:space="preserve">La nécessité de répondre aux actes successifs des défenderesses, de 2013 à 2023, a causé au demandeur des frais, des débours et des pertes de temps.</w:t>
      </w:r>
      <w:r>
        <w:t xml:space="preserve"> </w:t>
      </w:r>
      <w:r>
        <w:rPr>
          <w:i/>
        </w:rPr>
        <w:t xml:space="preserve">[À documenter et à quantifier — voir § VIII.]</w:t>
      </w:r>
    </w:p>
    <w:p>
      <w:r>
        <w:pict>
          <v:rect style="width:0;height:1.5pt" o:hralign="center" o:hrstd="t" o:hr="t"/>
        </w:pict>
      </w:r>
    </w:p>
    <w:p>
      <w:pPr>
        <w:pStyle w:val="Heading3"/>
      </w:pPr>
      <w:bookmarkStart w:id="46" w:name="X6eedabbc2128beac2f6efd4e24337b597f5695d"/>
      <w:r>
        <w:t xml:space="preserve">F. Ce que le demandeur exclut expressément du lien de causalité</w:t>
      </w:r>
      <w:bookmarkEnd w:id="46"/>
    </w:p>
    <w:p>
      <w:pPr>
        <w:pStyle w:val="FirstParagraph"/>
      </w:pPr>
      <w:r>
        <w:t xml:space="preserve">28-A.</w:t>
      </w:r>
      <w:r>
        <w:t xml:space="preserve"> </w:t>
      </w:r>
      <w:r>
        <w:rPr>
          <w:b/>
        </w:rPr>
        <w:t xml:space="preserve">La disposition des juges saisis.</w:t>
      </w:r>
      <w:r>
        <w:t xml:space="preserve"> </w:t>
      </w:r>
      <w:r>
        <w:t xml:space="preserve">Le demandeur ne recherche aucune conclusion contre l’appréciation, le raisonnement ou les motifs des juges ayant statué. Le remède contre un jugement mal rendu est l’appel ou la rétractation — non la présente action. Ce qui est en cause est la</w:t>
      </w:r>
      <w:r>
        <w:t xml:space="preserve"> </w:t>
      </w:r>
      <w:r>
        <w:rPr>
          <w:b/>
        </w:rPr>
        <w:t xml:space="preserve">conduite des défenderesses</w:t>
      </w:r>
      <w:r>
        <w:t xml:space="preserve">, non celle du Tribunal.</w:t>
      </w:r>
    </w:p>
    <w:p>
      <w:pPr>
        <w:pStyle w:val="BodyText"/>
      </w:pPr>
      <w:r>
        <w:t xml:space="preserve">28-B.</w:t>
      </w:r>
      <w:r>
        <w:t xml:space="preserve"> </w:t>
      </w:r>
      <w:r>
        <w:rPr>
          <w:b/>
        </w:rPr>
        <w:t xml:space="preserve">Sa propre absence à l’audience du 14 janvier 2016.</w:t>
      </w:r>
      <w:r>
        <w:t xml:space="preserve"> </w:t>
      </w:r>
      <w:r>
        <w:t xml:space="preserve">Voir 25 : le vice était</w:t>
      </w:r>
      <w:r>
        <w:t xml:space="preserve"> </w:t>
      </w:r>
      <w:r>
        <w:rPr>
          <w:b/>
        </w:rPr>
        <w:t xml:space="preserve">complet au moment du serment</w:t>
      </w:r>
      <w:r>
        <w:t xml:space="preserve">, indépendamment de la comparution.</w:t>
      </w:r>
    </w:p>
    <w:p>
      <w:r>
        <w:pict>
          <v:rect style="width:0;height:1.5pt" o:hralign="center" o:hrstd="t" o:hr="t"/>
        </w:pict>
      </w:r>
    </w:p>
    <w:p>
      <w:pPr>
        <w:pStyle w:val="Heading2"/>
      </w:pPr>
      <w:bookmarkStart w:id="47" w:name="viii-le-préjudice"/>
      <w:r>
        <w:t xml:space="preserve">§ VIII — LE PRÉJUDICE</w:t>
      </w:r>
      <w:bookmarkEnd w:id="47"/>
    </w:p>
    <w:p>
      <w:pPr>
        <w:pStyle w:val="BlockText"/>
      </w:pPr>
      <w:r>
        <w:rPr>
          <w:i/>
        </w:rPr>
        <w:t xml:space="preserve">🔧 Section à chiffrer avec le client. Ne rien inventer : les [MONTANT] restent ouverts.</w:t>
      </w:r>
    </w:p>
    <w:p>
      <w:pPr>
        <w:numPr>
          <w:numId w:val="1017"/>
          <w:ilvl w:val="0"/>
        </w:numPr>
      </w:pPr>
      <w:r>
        <w:rPr>
          <w:b/>
        </w:rPr>
        <w:t xml:space="preserve">Préjudice moral (réputation et dignité — art. 4 Charte).</w:t>
      </w:r>
      <w:r>
        <w:t xml:space="preserve"> </w:t>
      </w:r>
      <w:r>
        <w:t xml:space="preserve">Atteinte à la réputation et à la dignité du demandeur comme parent, aggravée par le caractère</w:t>
      </w:r>
      <w:r>
        <w:t xml:space="preserve"> </w:t>
      </w:r>
      <w:r>
        <w:rPr>
          <w:b/>
        </w:rPr>
        <w:t xml:space="preserve">intentionnel, prémédité et répété</w:t>
      </w:r>
      <w:r>
        <w:t xml:space="preserve"> </w:t>
      </w:r>
      <w:r>
        <w:t xml:space="preserve">de la conduite.</w:t>
      </w:r>
      <w:r>
        <w:t xml:space="preserve"> </w:t>
      </w:r>
      <w:r>
        <w:rPr>
          <w:b/>
        </w:rPr>
        <w:t xml:space="preserve">[MONTANT] $.</w:t>
      </w:r>
    </w:p>
    <w:p>
      <w:pPr>
        <w:pStyle w:val="Compact"/>
        <w:numPr>
          <w:numId w:val="1017"/>
          <w:ilvl w:val="0"/>
        </w:numPr>
      </w:pPr>
      <w:r>
        <w:rPr>
          <w:b/>
        </w:rPr>
        <w:t xml:space="preserve">Préjudice matériel.</w:t>
      </w:r>
    </w:p>
    <w:p>
      <w:pPr>
        <w:pStyle w:val="Compact"/>
        <w:numPr>
          <w:numId w:val="1019"/>
          <w:ilvl w:val="1"/>
        </w:numPr>
      </w:pPr>
      <w:r>
        <w:rPr>
          <w:b/>
        </w:rPr>
        <w:t xml:space="preserve">Pension alimentaire payée en trop</w:t>
      </w:r>
      <w:r>
        <w:t xml:space="preserve"> </w:t>
      </w:r>
      <w:r>
        <w:t xml:space="preserve">sur une assiette de revenu faussée (revenu net de la mère inscrit comme brut ; revenu composite du père retenu comme courant).</w:t>
      </w:r>
      <w:r>
        <w:t xml:space="preserve"> </w:t>
      </w:r>
      <w:r>
        <w:rPr>
          <w:b/>
        </w:rPr>
        <w:t xml:space="preserve">Base quantifiable</w:t>
      </w:r>
      <w:r>
        <w:t xml:space="preserve"> </w:t>
      </w:r>
      <w:r>
        <w:t xml:space="preserve">à partir des pièces P-29, P-42, P-28 (déclaration TP-1 2018 d’Élise) et des relevés de paiement —</w:t>
      </w:r>
      <w:r>
        <w:t xml:space="preserve"> </w:t>
      </w:r>
      <w:r>
        <w:rPr>
          <w:b/>
        </w:rPr>
        <w:t xml:space="preserve">[MONTANT / calcul à établir]</w:t>
      </w:r>
      <w:r>
        <w:t xml:space="preserve">.</w:t>
      </w:r>
    </w:p>
    <w:p>
      <w:pPr>
        <w:pStyle w:val="Compact"/>
        <w:numPr>
          <w:numId w:val="1020"/>
          <w:ilvl w:val="1"/>
        </w:numPr>
      </w:pPr>
      <w:r>
        <w:rPr>
          <w:b/>
        </w:rPr>
        <w:t xml:space="preserve">Honoraires et débours</w:t>
      </w:r>
      <w:r>
        <w:t xml:space="preserve"> </w:t>
      </w:r>
      <w:r>
        <w:t xml:space="preserve">engagés pour répondre aux actes abusifs (dossier familial + présente action), recouvrables notamment au titre de l’art. 54 C.p.c.</w:t>
      </w:r>
      <w:r>
        <w:t xml:space="preserve"> </w:t>
      </w:r>
      <w:r>
        <w:rPr>
          <w:b/>
        </w:rPr>
        <w:t xml:space="preserve">[MONTANT].</w:t>
      </w:r>
    </w:p>
    <w:p>
      <w:pPr>
        <w:pStyle w:val="Compact"/>
        <w:numPr>
          <w:numId w:val="1021"/>
          <w:ilvl w:val="1"/>
        </w:numPr>
      </w:pPr>
      <w:r>
        <w:t xml:space="preserve">Autres frais documentés.</w:t>
      </w:r>
      <w:r>
        <w:t xml:space="preserve"> </w:t>
      </w:r>
      <w:r>
        <w:rPr>
          <w:b/>
        </w:rPr>
        <w:t xml:space="preserve">[MONTANT].</w:t>
      </w:r>
    </w:p>
    <w:p>
      <w:pPr>
        <w:pStyle w:val="Compact"/>
        <w:numPr>
          <w:numId w:val="1022"/>
          <w:ilvl w:val="0"/>
        </w:numPr>
      </w:pPr>
      <w:r>
        <w:rPr>
          <w:b/>
        </w:rPr>
        <w:t xml:space="preserve">Dommages-intérêts punitifs (Charte, art. 49 al. 2 ; art. 1621 C.c.Q.).</w:t>
      </w:r>
      <w:r>
        <w:t xml:space="preserve"> </w:t>
      </w:r>
      <w:r>
        <w:t xml:space="preserve">L’atteinte est</w:t>
      </w:r>
      <w:r>
        <w:t xml:space="preserve"> </w:t>
      </w:r>
      <w:r>
        <w:rPr>
          <w:b/>
        </w:rPr>
        <w:t xml:space="preserve">intentionnelle</w:t>
      </w:r>
      <w:r>
        <w:t xml:space="preserve"> </w:t>
      </w:r>
      <w:r>
        <w:t xml:space="preserve">: les défenderesses ont attesté sous serment, et maintenu, des représentations qu’elles savaient ou devaient savoir fausses. Leur octroi se justifie aux titres suivants.</w:t>
      </w:r>
    </w:p>
    <w:p>
      <w:pPr>
        <w:pStyle w:val="FirstParagraph"/>
      </w:pPr>
      <w:r>
        <w:t xml:space="preserve">31-a.</w:t>
      </w:r>
      <w:r>
        <w:t xml:space="preserve"> </w:t>
      </w:r>
      <w:r>
        <w:rPr>
          <w:b/>
        </w:rPr>
        <w:t xml:space="preserve">Dissuasion et dénonciation.</w:t>
      </w:r>
      <w:r>
        <w:t xml:space="preserve"> </w:t>
      </w:r>
      <w:r>
        <w:t xml:space="preserve">Les dommages-intérêts compensatoires réparent le demandeur ; ils ne modifient pas la structure d’incitation qui a rendu la conduite possible. Seuls les dommages punitifs remplissent la fonction</w:t>
      </w:r>
      <w:r>
        <w:t xml:space="preserve"> </w:t>
      </w:r>
      <w:r>
        <w:rPr>
          <w:b/>
        </w:rPr>
        <w:t xml:space="preserve">préventive</w:t>
      </w:r>
      <w:r>
        <w:t xml:space="preserve"> </w:t>
      </w:r>
      <w:r>
        <w:t xml:space="preserve">— dissuasion générale et dénonciation — que la loi leur assigne (art. 1621 C.c.Q. ;</w:t>
      </w:r>
      <w:r>
        <w:t xml:space="preserve"> </w:t>
      </w:r>
      <w:r>
        <w:rPr>
          <w:i/>
        </w:rPr>
        <w:t xml:space="preserve">Richard c. Time inc.</w:t>
      </w:r>
      <w:r>
        <w:t xml:space="preserve">, 2012 CSC 8 ;</w:t>
      </w:r>
      <w:r>
        <w:t xml:space="preserve"> </w:t>
      </w:r>
      <w:r>
        <w:rPr>
          <w:i/>
        </w:rPr>
        <w:t xml:space="preserve">de Montigny c. Brossard (Succession)</w:t>
      </w:r>
      <w:r>
        <w:t xml:space="preserve">, 2010 CSC 51).</w:t>
      </w:r>
      <w:r>
        <w:t xml:space="preserve"> </w:t>
      </w:r>
      <w:r>
        <w:rPr>
          <w:i/>
        </w:rPr>
        <w:t xml:space="preserve">(Citations à vérifier par le procureur.)</w:t>
      </w:r>
    </w:p>
    <w:p>
      <w:pPr>
        <w:pStyle w:val="BodyText"/>
      </w:pPr>
      <w:r>
        <w:t xml:space="preserve">31-b.</w:t>
      </w:r>
      <w:r>
        <w:t xml:space="preserve"> </w:t>
      </w:r>
      <w:r>
        <w:rPr>
          <w:b/>
        </w:rPr>
        <w:t xml:space="preserve">Gravité — l’atteinte à un bien commun.</w:t>
      </w:r>
      <w:r>
        <w:t xml:space="preserve"> </w:t>
      </w:r>
      <w:r>
        <w:t xml:space="preserve">La bonne foi et la fiabilité de la</w:t>
      </w:r>
      <w:r>
        <w:t xml:space="preserve"> </w:t>
      </w:r>
      <w:r>
        <w:rPr>
          <w:b/>
        </w:rPr>
        <w:t xml:space="preserve">déclaration sous serment</w:t>
      </w:r>
      <w:r>
        <w:t xml:space="preserve"> </w:t>
      </w:r>
      <w:r>
        <w:t xml:space="preserve">sont au</w:t>
      </w:r>
      <w:r>
        <w:t xml:space="preserve"> </w:t>
      </w:r>
      <w:r>
        <w:rPr>
          <w:b/>
        </w:rPr>
        <w:t xml:space="preserve">fondement de l’administration de la justice</w:t>
      </w:r>
      <w:r>
        <w:t xml:space="preserve"> </w:t>
      </w:r>
      <w:r>
        <w:t xml:space="preserve">: le tribunal reçoit la parole assermentée précisément parce que le mensonge y est présumé rare, ce qui lui permet de trancher sans vérifier chaque affirmation. Celui qui exploite cette confiance</w:t>
      </w:r>
      <w:r>
        <w:t xml:space="preserve"> </w:t>
      </w:r>
      <w:r>
        <w:rPr>
          <w:b/>
        </w:rPr>
        <w:t xml:space="preserve">sans en supporter le coût</w:t>
      </w:r>
      <w:r>
        <w:t xml:space="preserve"> </w:t>
      </w:r>
      <w:r>
        <w:t xml:space="preserve">en érode le fondement. Si une telle conduite était</w:t>
      </w:r>
      <w:r>
        <w:t xml:space="preserve"> </w:t>
      </w:r>
      <w:r>
        <w:rPr>
          <w:b/>
        </w:rPr>
        <w:t xml:space="preserve">tolérée</w:t>
      </w:r>
      <w:r>
        <w:t xml:space="preserve">, la parole sous serment ne pourrait plus être reçue sans</w:t>
      </w:r>
      <w:r>
        <w:t xml:space="preserve"> </w:t>
      </w:r>
      <w:r>
        <w:rPr>
          <w:b/>
        </w:rPr>
        <w:t xml:space="preserve">vérification systématique</w:t>
      </w:r>
      <w:r>
        <w:t xml:space="preserve">, ce qui</w:t>
      </w:r>
      <w:r>
        <w:t xml:space="preserve"> </w:t>
      </w:r>
      <w:r>
        <w:rPr>
          <w:b/>
        </w:rPr>
        <w:t xml:space="preserve">compromettrait l’accès à la justice et son administration même</w:t>
      </w:r>
      <w:r>
        <w:t xml:space="preserve">. La faute atteint donc, au-delà du demandeur, un</w:t>
      </w:r>
      <w:r>
        <w:t xml:space="preserve"> </w:t>
      </w:r>
      <w:r>
        <w:rPr>
          <w:b/>
        </w:rPr>
        <w:t xml:space="preserve">intérêt public</w:t>
      </w:r>
      <w:r>
        <w:t xml:space="preserve"> </w:t>
      </w:r>
      <w:r>
        <w:t xml:space="preserve">; elle détourne de surcroît,</w:t>
      </w:r>
      <w:r>
        <w:t xml:space="preserve"> </w:t>
      </w:r>
      <w:r>
        <w:rPr>
          <w:b/>
        </w:rPr>
        <w:t xml:space="preserve">contre</w:t>
      </w:r>
      <w:r>
        <w:t xml:space="preserve"> </w:t>
      </w:r>
      <w:r>
        <w:t xml:space="preserve">l’intérêt de l’enfant, des mécanismes dont la légitimité repose précisément sur cet intérêt.</w:t>
      </w:r>
    </w:p>
    <w:p>
      <w:pPr>
        <w:pStyle w:val="BodyText"/>
      </w:pPr>
      <w:r>
        <w:t xml:space="preserve">31-c. </w:t>
      </w:r>
      <w:r>
        <w:rPr>
          <w:b/>
        </w:rPr>
        <w:t xml:space="preserve">Ampleur — dénoncer et dissuader.</w:t>
      </w:r>
      <w:r>
        <w:t xml:space="preserve"> </w:t>
      </w:r>
      <w:r>
        <w:t xml:space="preserve">Deux facteurs commandent un montant</w:t>
      </w:r>
      <w:r>
        <w:t xml:space="preserve"> </w:t>
      </w:r>
      <w:r>
        <w:rPr>
          <w:b/>
        </w:rPr>
        <w:t xml:space="preserve">substantiel</w:t>
      </w:r>
      <w:r>
        <w:t xml:space="preserve">. D’une part, la conduite est</w:t>
      </w:r>
      <w:r>
        <w:t xml:space="preserve"> </w:t>
      </w:r>
      <w:r>
        <w:rPr>
          <w:b/>
        </w:rPr>
        <w:t xml:space="preserve">difficilement décelable</w:t>
      </w:r>
      <w:r>
        <w:t xml:space="preserve"> </w:t>
      </w:r>
      <w:r>
        <w:t xml:space="preserve">: la stratégie qui la sous-tend est couverte par le secret professionnel, et les mécanismes exploités bénéficient d’une présomption de recevabilité échappant à la vérification immédiate ; lorsque la probabilité qu’une faute soit décelée est faible, la seule réparation compensatoire est</w:t>
      </w:r>
      <w:r>
        <w:t xml:space="preserve"> </w:t>
      </w:r>
      <w:r>
        <w:rPr>
          <w:b/>
        </w:rPr>
        <w:t xml:space="preserve">structurellement insuffisante à dissuader</w:t>
      </w:r>
      <w:r>
        <w:t xml:space="preserve">. D’autre part, la fonction de</w:t>
      </w:r>
      <w:r>
        <w:t xml:space="preserve"> </w:t>
      </w:r>
      <w:r>
        <w:rPr>
          <w:b/>
        </w:rPr>
        <w:t xml:space="preserve">dénonciation</w:t>
      </w:r>
      <w:r>
        <w:t xml:space="preserve"> </w:t>
      </w:r>
      <w:r>
        <w:t xml:space="preserve">exige une condamnation dont l’ampleur soit</w:t>
      </w:r>
      <w:r>
        <w:t xml:space="preserve"> </w:t>
      </w:r>
      <w:r>
        <w:rPr>
          <w:b/>
        </w:rPr>
        <w:t xml:space="preserve">à la mesure de l’atteinte</w:t>
      </w:r>
      <w:r>
        <w:t xml:space="preserve">, afin de marquer sans équivoque que cette conduite</w:t>
      </w:r>
      <w:r>
        <w:t xml:space="preserve"> </w:t>
      </w:r>
      <w:r>
        <w:rPr>
          <w:b/>
        </w:rPr>
        <w:t xml:space="preserve">n’est pas anodine</w:t>
      </w:r>
      <w:r>
        <w:t xml:space="preserve"> </w:t>
      </w:r>
      <w:r>
        <w:t xml:space="preserve">et d’en prévenir la répétition.</w:t>
      </w:r>
    </w:p>
    <w:p>
      <w:pPr>
        <w:pStyle w:val="BodyText"/>
      </w:pPr>
      <w:r>
        <w:t xml:space="preserve">31-d. </w:t>
      </w:r>
      <w:r>
        <w:rPr>
          <w:b/>
        </w:rPr>
        <w:t xml:space="preserve">Qualité de l’auteure.</w:t>
      </w:r>
      <w:r>
        <w:t xml:space="preserve"> </w:t>
      </w:r>
      <w:r>
        <w:t xml:space="preserve">La défenderesse Me Marie-Josée Ayoub est un</w:t>
      </w:r>
      <w:r>
        <w:t xml:space="preserve"> </w:t>
      </w:r>
      <w:r>
        <w:rPr>
          <w:b/>
        </w:rPr>
        <w:t xml:space="preserve">officier de justice</w:t>
      </w:r>
      <w:r>
        <w:t xml:space="preserve"> </w:t>
      </w:r>
      <w:r>
        <w:t xml:space="preserve">dont l’expertise institutionnelle en droit de la jeunesse établit qu’elle</w:t>
      </w:r>
      <w:r>
        <w:t xml:space="preserve"> </w:t>
      </w:r>
      <w:r>
        <w:rPr>
          <w:b/>
        </w:rPr>
        <w:t xml:space="preserve">connaissait la norme et sa finalité</w:t>
      </w:r>
      <w:r>
        <w:t xml:space="preserve"> </w:t>
      </w:r>
      <w:r>
        <w:t xml:space="preserve">; elle a exploité</w:t>
      </w:r>
      <w:r>
        <w:t xml:space="preserve"> </w:t>
      </w:r>
      <w:r>
        <w:rPr>
          <w:b/>
        </w:rPr>
        <w:t xml:space="preserve">en connaissance de cause</w:t>
      </w:r>
      <w:r>
        <w:t xml:space="preserve"> </w:t>
      </w:r>
      <w:r>
        <w:t xml:space="preserve">une faiblesse structurelle du système — circonstance qui</w:t>
      </w:r>
      <w:r>
        <w:t xml:space="preserve"> </w:t>
      </w:r>
      <w:r>
        <w:rPr>
          <w:b/>
        </w:rPr>
        <w:t xml:space="preserve">aggrave</w:t>
      </w:r>
      <w:r>
        <w:t xml:space="preserve"> </w:t>
      </w:r>
      <w:r>
        <w:t xml:space="preserve">la faute et non l’atténue.</w:t>
      </w:r>
    </w:p>
    <w:p>
      <w:pPr>
        <w:pStyle w:val="BodyText"/>
      </w:pPr>
      <w:r>
        <w:t xml:space="preserve">31-e.</w:t>
      </w:r>
      <w:r>
        <w:t xml:space="preserve"> </w:t>
      </w:r>
      <w:r>
        <w:rPr>
          <w:b/>
        </w:rPr>
        <w:t xml:space="preserve">Autres critères (art. 1621 C.c.Q.).</w:t>
      </w:r>
      <w:r>
        <w:t xml:space="preserve"> </w:t>
      </w:r>
      <w:r>
        <w:t xml:space="preserve">La</w:t>
      </w:r>
      <w:r>
        <w:t xml:space="preserve"> </w:t>
      </w:r>
      <w:r>
        <w:rPr>
          <w:b/>
        </w:rPr>
        <w:t xml:space="preserve">durée</w:t>
      </w:r>
      <w:r>
        <w:t xml:space="preserve"> </w:t>
      </w:r>
      <w:r>
        <w:t xml:space="preserve">(2013 → à ce jour), la</w:t>
      </w:r>
      <w:r>
        <w:t xml:space="preserve"> </w:t>
      </w:r>
      <w:r>
        <w:rPr>
          <w:b/>
        </w:rPr>
        <w:t xml:space="preserve">répétition sous serment</w:t>
      </w:r>
      <w:r>
        <w:t xml:space="preserve"> </w:t>
      </w:r>
      <w:r>
        <w:t xml:space="preserve">(Requête de 2015, déclaration et formulaire de 2019, dénonciation de 2023) et la</w:t>
      </w:r>
      <w:r>
        <w:t xml:space="preserve"> </w:t>
      </w:r>
      <w:r>
        <w:rPr>
          <w:b/>
        </w:rPr>
        <w:t xml:space="preserve">vulnérabilité</w:t>
      </w:r>
      <w:r>
        <w:t xml:space="preserve"> </w:t>
      </w:r>
      <w:r>
        <w:t xml:space="preserve">du demandeur, non représenté, commandent un montant</w:t>
      </w:r>
      <w:r>
        <w:t xml:space="preserve"> </w:t>
      </w:r>
      <w:r>
        <w:rPr>
          <w:b/>
        </w:rPr>
        <w:t xml:space="preserve">substantiel</w:t>
      </w:r>
      <w:r>
        <w:t xml:space="preserve">.</w:t>
      </w:r>
      <w:r>
        <w:t xml:space="preserve"> </w:t>
      </w:r>
      <w:r>
        <w:rPr>
          <w:b/>
        </w:rPr>
        <w:t xml:space="preserve">[MONTANT à quantifier.]</w:t>
      </w:r>
    </w:p>
    <w:p>
      <w:pPr>
        <w:pStyle w:val="Compact"/>
        <w:numPr>
          <w:numId w:val="1023"/>
          <w:ilvl w:val="0"/>
        </w:numPr>
      </w:pPr>
      <w:r>
        <w:rPr>
          <w:b/>
        </w:rPr>
        <w:t xml:space="preserve">Total réclamé : [MONTANT] $</w:t>
      </w:r>
      <w:r>
        <w:t xml:space="preserve">, avec les</w:t>
      </w:r>
      <w:r>
        <w:t xml:space="preserve"> </w:t>
      </w:r>
      <w:r>
        <w:rPr>
          <w:b/>
        </w:rPr>
        <w:t xml:space="preserve">intérêts</w:t>
      </w:r>
      <w:r>
        <w:t xml:space="preserve"> </w:t>
      </w:r>
      <w:r>
        <w:t xml:space="preserve">au taux légal et l’</w:t>
      </w:r>
      <w:r>
        <w:rPr>
          <w:b/>
        </w:rPr>
        <w:t xml:space="preserve">indemnité additionnelle</w:t>
      </w:r>
      <w:r>
        <w:t xml:space="preserve"> </w:t>
      </w:r>
      <w:r>
        <w:t xml:space="preserve">(art. 1619 C.c.Q.) depuis l’assignation</w:t>
      </w:r>
      <w:r>
        <w:t xml:space="preserve"> </w:t>
      </w:r>
      <w:r>
        <w:rPr>
          <w:i/>
        </w:rPr>
        <w:t xml:space="preserve">(ou depuis la date à préciser)</w:t>
      </w:r>
      <w:r>
        <w:t xml:space="preserve">.</w:t>
      </w:r>
    </w:p>
    <w:p>
      <w:r>
        <w:pict>
          <v:rect style="width:0;height:1.5pt" o:hralign="center" o:hrstd="t" o:hr="t"/>
        </w:pict>
      </w:r>
    </w:p>
    <w:p>
      <w:pPr>
        <w:pStyle w:val="Heading2"/>
      </w:pPr>
      <w:bookmarkStart w:id="48" w:name="ix-la-prescription"/>
      <w:r>
        <w:t xml:space="preserve">§ IX — LA PRESCRIPTION</w:t>
      </w:r>
      <w:bookmarkEnd w:id="48"/>
    </w:p>
    <w:p>
      <w:pPr>
        <w:pStyle w:val="BlockText"/>
      </w:pPr>
      <w:r>
        <w:rPr>
          <w:i/>
        </w:rPr>
        <w:t xml:space="preserve">Trame :</w:t>
      </w:r>
      <w:r>
        <w:rPr>
          <w:i/>
        </w:rPr>
        <w:t xml:space="preserve"> </w:t>
      </w:r>
      <w:hyperlink r:id="rId49">
        <w:r>
          <w:rPr>
            <w:rStyle w:val="Hyperlink"/>
            <w:i/>
          </w:rPr>
          <w:t xml:space="preserve">these_prescription.md</w:t>
        </w:r>
      </w:hyperlink>
      <w:r>
        <w:rPr>
          <w:i/>
        </w:rPr>
        <w:t xml:space="preserve">. Verrou n°1 du dossier.</w:t>
      </w:r>
    </w:p>
    <w:p>
      <w:pPr>
        <w:numPr>
          <w:numId w:val="1024"/>
          <w:ilvl w:val="0"/>
        </w:numPr>
      </w:pPr>
      <w:r>
        <w:t xml:space="preserve">La</w:t>
      </w:r>
      <w:r>
        <w:t xml:space="preserve"> </w:t>
      </w:r>
      <w:r>
        <w:rPr>
          <w:b/>
        </w:rPr>
        <w:t xml:space="preserve">dénonciation assermentée du 21 juillet 2023</w:t>
      </w:r>
      <w:r>
        <w:t xml:space="preserve"> </w:t>
      </w:r>
      <w:r>
        <w:t xml:space="preserve">(pièce P-40) constitue un</w:t>
      </w:r>
      <w:r>
        <w:t xml:space="preserve"> </w:t>
      </w:r>
      <w:r>
        <w:rPr>
          <w:b/>
        </w:rPr>
        <w:t xml:space="preserve">fait générateur autonome</w:t>
      </w:r>
      <w:r>
        <w:t xml:space="preserve">, dans le délai de</w:t>
      </w:r>
      <w:r>
        <w:t xml:space="preserve"> </w:t>
      </w:r>
      <w:r>
        <w:rPr>
          <w:b/>
        </w:rPr>
        <w:t xml:space="preserve">trois (3) ans</w:t>
      </w:r>
      <w:r>
        <w:t xml:space="preserve"> </w:t>
      </w:r>
      <w:r>
        <w:t xml:space="preserve">applicable à la responsabilité civile et à l’abus de procédure (art. 2925 C.c.Q.) — le recours étant fondé sur l’</w:t>
      </w:r>
      <w:r>
        <w:rPr>
          <w:b/>
        </w:rPr>
        <w:t xml:space="preserve">abus</w:t>
      </w:r>
      <w:r>
        <w:t xml:space="preserve"> </w:t>
      </w:r>
      <w:r>
        <w:t xml:space="preserve">et la faute civile, et non sur la seule atteinte à la réputation (à laquelle s’appliquerait le délai d’un an de l’art. 2929 C.c.Q.).</w:t>
      </w:r>
    </w:p>
    <w:p>
      <w:pPr>
        <w:numPr>
          <w:numId w:val="1024"/>
          <w:ilvl w:val="0"/>
        </w:numPr>
      </w:pPr>
      <w:r>
        <w:t xml:space="preserve">Les actes de 2013 à 2019 procèdent d’une</w:t>
      </w:r>
      <w:r>
        <w:t xml:space="preserve"> </w:t>
      </w:r>
      <w:r>
        <w:rPr>
          <w:b/>
        </w:rPr>
        <w:t xml:space="preserve">faute continue</w:t>
      </w:r>
      <w:r>
        <w:t xml:space="preserve"> </w:t>
      </w:r>
      <w:r>
        <w:t xml:space="preserve">(unité d’auteur, d’instrument et de dessein ; perpétuation non rectifiée), dont la dénonciation de 2023 est la dernière manifestation ; la prescription ne court donc qu’à compter de la cessation de la faute (art. 2926 C.c.Q.).</w:t>
      </w:r>
    </w:p>
    <w:p>
      <w:pPr>
        <w:numPr>
          <w:numId w:val="1024"/>
          <w:ilvl w:val="0"/>
        </w:numPr>
      </w:pPr>
      <w:r>
        <w:t xml:space="preserve">Subsidiairement, la</w:t>
      </w:r>
      <w:r>
        <w:t xml:space="preserve"> </w:t>
      </w:r>
      <w:r>
        <w:rPr>
          <w:b/>
        </w:rPr>
        <w:t xml:space="preserve">connaissance</w:t>
      </w:r>
      <w:r>
        <w:t xml:space="preserve"> </w:t>
      </w:r>
      <w:r>
        <w:t xml:space="preserve">par le demandeur de la fausseté et de l’étendue du préjudice n’a été acquise que tardivement. En tout état de cause, les actes antérieurs demeurent</w:t>
      </w:r>
      <w:r>
        <w:t xml:space="preserve"> </w:t>
      </w:r>
      <w:r>
        <w:rPr>
          <w:b/>
        </w:rPr>
        <w:t xml:space="preserve">admissibles en preuve</w:t>
      </w:r>
      <w:r>
        <w:t xml:space="preserve"> </w:t>
      </w:r>
      <w:r>
        <w:t xml:space="preserve">du patron (art. III.C).</w:t>
      </w:r>
    </w:p>
    <w:p>
      <w:pPr>
        <w:pStyle w:val="BlockText"/>
      </w:pPr>
      <w:r>
        <w:rPr>
          <w:b/>
        </w:rPr>
        <w:t xml:space="preserve">⚠️ DÉPÔT IMPÉRATIF AVANT LE 21 JUILLET 2026</w:t>
      </w:r>
      <w:r>
        <w:t xml:space="preserve"> </w:t>
      </w:r>
      <w:r>
        <w:t xml:space="preserve">(interruption de la prescription, art. 2892 C.c.Q.).</w:t>
      </w:r>
    </w:p>
    <w:p>
      <w:r>
        <w:pict>
          <v:rect style="width:0;height:1.5pt" o:hralign="center" o:hrstd="t" o:hr="t"/>
        </w:pict>
      </w:r>
    </w:p>
    <w:p>
      <w:pPr>
        <w:pStyle w:val="Heading2"/>
      </w:pPr>
      <w:bookmarkStart w:id="50" w:name="X0177b81e3a3d38a621f82888076399c2afc2d3d"/>
      <w:r>
        <w:t xml:space="preserve">§ X — L’ADMISSIBILITÉ DE LA CORRESPONDANCE DE RÈGLEMENT (2015)</w:t>
      </w:r>
      <w:bookmarkEnd w:id="50"/>
    </w:p>
    <w:p>
      <w:pPr>
        <w:pStyle w:val="BlockText"/>
      </w:pPr>
      <w:r>
        <w:rPr>
          <w:i/>
        </w:rPr>
        <w:t xml:space="preserve">Section</w:t>
      </w:r>
      <w:r>
        <w:rPr>
          <w:i/>
        </w:rPr>
        <w:t xml:space="preserve"> </w:t>
      </w:r>
      <w:r>
        <w:rPr>
          <w:b/>
          <w:i/>
        </w:rPr>
        <w:t xml:space="preserve">anticipatoire</w:t>
      </w:r>
      <w:r>
        <w:rPr>
          <w:i/>
        </w:rPr>
        <w:t xml:space="preserve"> </w:t>
      </w:r>
      <w:r>
        <w:rPr>
          <w:i/>
        </w:rPr>
        <w:t xml:space="preserve">— à plaider proactivement plutôt que d’attendre l’objection. Autorité :</w:t>
      </w:r>
      <w:r>
        <w:rPr>
          <w:i/>
        </w:rPr>
        <w:t xml:space="preserve"> </w:t>
      </w:r>
      <w:r>
        <w:rPr>
          <w:b/>
          <w:i/>
        </w:rPr>
        <w:t xml:space="preserve">Union Carbide Canada Inc. c. Bombardier Inc.</w:t>
      </w:r>
      <w:r>
        <w:rPr>
          <w:i/>
        </w:rPr>
        <w:t xml:space="preserve">, 2014 CSC 35 (privilège de règlement au Québec ; exceptions).</w:t>
      </w:r>
    </w:p>
    <w:p>
      <w:pPr>
        <w:numPr>
          <w:numId w:val="1025"/>
          <w:ilvl w:val="0"/>
        </w:numPr>
      </w:pPr>
      <w:r>
        <w:rPr>
          <w:b/>
        </w:rPr>
        <w:t xml:space="preserve">L’objection anticipée.</w:t>
      </w:r>
      <w:r>
        <w:t xml:space="preserve"> </w:t>
      </w:r>
      <w:r>
        <w:t xml:space="preserve">Les défenderesses pourraient opposer le privilège relatif aux règlements à la correspondance échangée entre procureurs en 2015 (pièces P-7, P-9, P-16, P-17 et P-18).</w:t>
      </w:r>
    </w:p>
    <w:p>
      <w:pPr>
        <w:numPr>
          <w:numId w:val="1025"/>
          <w:ilvl w:val="0"/>
        </w:numPr>
      </w:pPr>
      <w:r>
        <w:rPr>
          <w:b/>
        </w:rPr>
        <w:t xml:space="preserve">L’asymétrie — moyen principal.</w:t>
      </w:r>
      <w:r>
        <w:t xml:space="preserve"> </w:t>
      </w:r>
      <w:r>
        <w:t xml:space="preserve">Le privilège relatif aux règlements protège une partie contre l’utilisation de</w:t>
      </w:r>
      <w:r>
        <w:t xml:space="preserve"> </w:t>
      </w:r>
      <w:r>
        <w:rPr>
          <w:b/>
        </w:rPr>
        <w:t xml:space="preserve">ses concessions contre elle</w:t>
      </w:r>
      <w:r>
        <w:t xml:space="preserve">. Il ne confère pas le droit de</w:t>
      </w:r>
      <w:r>
        <w:t xml:space="preserve"> </w:t>
      </w:r>
      <w:r>
        <w:rPr>
          <w:b/>
        </w:rPr>
        <w:t xml:space="preserve">caractériser les négociations</w:t>
      </w:r>
      <w:r>
        <w:t xml:space="preserve"> </w:t>
      </w:r>
      <w:r>
        <w:t xml:space="preserve">devant le tribunal tout en</w:t>
      </w:r>
      <w:r>
        <w:t xml:space="preserve"> </w:t>
      </w:r>
      <w:r>
        <w:rPr>
          <w:b/>
        </w:rPr>
        <w:t xml:space="preserve">interdisant à l’autre partie d’en produire le contenu</w:t>
      </w:r>
      <w:r>
        <w:t xml:space="preserve">. La défenderesse Élise Ayoub a elle-même mobilisé l’historique des négociations pour fonder ses prétentions ; le demandeur ne saurait être privé du seul moyen de les réfuter — la correspondance elle-même. Il ne lui oppose pas ses concessions : il répond à ses assertions</w:t>
      </w:r>
      <w:r>
        <w:t xml:space="preserve"> </w:t>
      </w:r>
      <w:r>
        <w:rPr>
          <w:b/>
        </w:rPr>
        <w:t xml:space="preserve">au sujet</w:t>
      </w:r>
      <w:r>
        <w:t xml:space="preserve"> </w:t>
      </w:r>
      <w:r>
        <w:t xml:space="preserve">des négociations,</w:t>
      </w:r>
      <w:r>
        <w:t xml:space="preserve"> </w:t>
      </w:r>
      <w:r>
        <w:rPr>
          <w:b/>
        </w:rPr>
        <w:t xml:space="preserve">avec</w:t>
      </w:r>
      <w:r>
        <w:t xml:space="preserve"> </w:t>
      </w:r>
      <w:r>
        <w:t xml:space="preserve">les négociations.</w:t>
      </w:r>
    </w:p>
    <w:p>
      <w:pPr>
        <w:numPr>
          <w:numId w:val="1025"/>
          <w:ilvl w:val="0"/>
        </w:numPr>
      </w:pPr>
      <w:r>
        <w:rPr>
          <w:b/>
        </w:rPr>
        <w:t xml:space="preserve">La renonciation par mise en litige.</w:t>
      </w:r>
      <w:r>
        <w:t xml:space="preserve"> </w:t>
      </w:r>
      <w:r>
        <w:t xml:space="preserve">La défenderesse Élise Ayoub a plaidé les négociations : au</w:t>
      </w:r>
      <w:r>
        <w:t xml:space="preserve"> </w:t>
      </w:r>
      <w:r>
        <w:rPr>
          <w:b/>
        </w:rPr>
        <w:t xml:space="preserve">§14</w:t>
      </w:r>
      <w:r>
        <w:t xml:space="preserve"> </w:t>
      </w:r>
      <w:r>
        <w:t xml:space="preserve">de la Requête (le demandeur voulait la garde partagée, qu’elle a refusée), au</w:t>
      </w:r>
      <w:r>
        <w:t xml:space="preserve"> </w:t>
      </w:r>
      <w:r>
        <w:rPr>
          <w:b/>
        </w:rPr>
        <w:t xml:space="preserve">§18</w:t>
      </w:r>
      <w:r>
        <w:t xml:space="preserve"> </w:t>
      </w:r>
      <w:r>
        <w:t xml:space="preserve">(les parties auraient « convenu »), au</w:t>
      </w:r>
      <w:r>
        <w:t xml:space="preserve"> </w:t>
      </w:r>
      <w:r>
        <w:rPr>
          <w:b/>
        </w:rPr>
        <w:t xml:space="preserve">§23</w:t>
      </w:r>
      <w:r>
        <w:t xml:space="preserve"> </w:t>
      </w:r>
      <w:r>
        <w:t xml:space="preserve">(elle aurait offert, il aurait refusé) et au</w:t>
      </w:r>
      <w:r>
        <w:t xml:space="preserve"> </w:t>
      </w:r>
      <w:r>
        <w:rPr>
          <w:b/>
        </w:rPr>
        <w:t xml:space="preserve">§3</w:t>
      </w:r>
      <w:r>
        <w:t xml:space="preserve"> </w:t>
      </w:r>
      <w:r>
        <w:t xml:space="preserve">de la déclaration du 21 octobre 2019 (le demandeur « refusait de régler le litige à l’amiable »). Ayant fait des négociations son</w:t>
      </w:r>
      <w:r>
        <w:t xml:space="preserve"> </w:t>
      </w:r>
      <w:r>
        <w:rPr>
          <w:b/>
        </w:rPr>
        <w:t xml:space="preserve">épée</w:t>
      </w:r>
      <w:r>
        <w:t xml:space="preserve">, elle ne peut en faire son</w:t>
      </w:r>
      <w:r>
        <w:t xml:space="preserve"> </w:t>
      </w:r>
      <w:r>
        <w:rPr>
          <w:b/>
        </w:rPr>
        <w:t xml:space="preserve">bouclier</w:t>
      </w:r>
      <w:r>
        <w:t xml:space="preserve">. La règle prohibant la</w:t>
      </w:r>
      <w:r>
        <w:t xml:space="preserve"> </w:t>
      </w:r>
      <w:r>
        <w:rPr>
          <w:b/>
        </w:rPr>
        <w:t xml:space="preserve">divulgation partielle</w:t>
      </w:r>
      <w:r>
        <w:t xml:space="preserve"> </w:t>
      </w:r>
      <w:r>
        <w:t xml:space="preserve">impose au surplus la production de l’échange complet, précisément pour empêcher un portrait tronqué.</w:t>
      </w:r>
    </w:p>
    <w:p>
      <w:pPr>
        <w:numPr>
          <w:numId w:val="1025"/>
          <w:ilvl w:val="0"/>
        </w:numPr>
      </w:pPr>
      <w:r>
        <w:rPr>
          <w:b/>
        </w:rPr>
        <w:t xml:space="preserve">Les actes sont la faute, non une preuve de position.</w:t>
      </w:r>
      <w:r>
        <w:t xml:space="preserve"> </w:t>
      </w:r>
      <w:r>
        <w:t xml:space="preserve">Dans la présente instance, la lettre du 27 avril 2015 (P-9) n’est pas produite pour établir une position de négociation : elle</w:t>
      </w:r>
      <w:r>
        <w:t xml:space="preserve"> </w:t>
      </w:r>
      <w:r>
        <w:rPr>
          <w:b/>
        </w:rPr>
        <w:t xml:space="preserve">est l’acte reproché</w:t>
      </w:r>
      <w:r>
        <w:t xml:space="preserve"> </w:t>
      </w:r>
      <w:r>
        <w:t xml:space="preserve">— l’affirmation, par une avocate, d’un « consentement » inexistant. Le privilège protège les</w:t>
      </w:r>
      <w:r>
        <w:t xml:space="preserve"> </w:t>
      </w:r>
      <w:r>
        <w:rPr>
          <w:b/>
        </w:rPr>
        <w:t xml:space="preserve">concessions</w:t>
      </w:r>
      <w:r>
        <w:t xml:space="preserve"> </w:t>
      </w:r>
      <w:r>
        <w:t xml:space="preserve">faites en vue d’un règlement ; il n’</w:t>
      </w:r>
      <w:r>
        <w:rPr>
          <w:b/>
        </w:rPr>
        <w:t xml:space="preserve">immunise pas la fausse représentation</w:t>
      </w:r>
      <w:r>
        <w:t xml:space="preserve"> </w:t>
      </w:r>
      <w:r>
        <w:t xml:space="preserve">faite à l’occasion d’un règlement.</w:t>
      </w:r>
    </w:p>
    <w:p>
      <w:pPr>
        <w:numPr>
          <w:numId w:val="1025"/>
          <w:ilvl w:val="0"/>
        </w:numPr>
      </w:pPr>
      <w:r>
        <w:rPr>
          <w:b/>
        </w:rPr>
        <w:t xml:space="preserve">La nature des pièces.</w:t>
      </w:r>
      <w:r>
        <w:t xml:space="preserve"> </w:t>
      </w:r>
      <w:r>
        <w:t xml:space="preserve">La lettre du 27 avril 2015 (P-9) est un</w:t>
      </w:r>
      <w:r>
        <w:t xml:space="preserve"> </w:t>
      </w:r>
      <w:r>
        <w:rPr>
          <w:b/>
        </w:rPr>
        <w:t xml:space="preserve">refus</w:t>
      </w:r>
      <w:r>
        <w:t xml:space="preserve"> </w:t>
      </w:r>
      <w:r>
        <w:t xml:space="preserve">assorti d’une</w:t>
      </w:r>
      <w:r>
        <w:t xml:space="preserve"> </w:t>
      </w:r>
      <w:r>
        <w:rPr>
          <w:b/>
        </w:rPr>
        <w:t xml:space="preserve">affirmation</w:t>
      </w:r>
      <w:r>
        <w:t xml:space="preserve"> </w:t>
      </w:r>
      <w:r>
        <w:t xml:space="preserve">— non une concession. Les pièces P-7 et P-17 sont les</w:t>
      </w:r>
      <w:r>
        <w:t xml:space="preserve"> </w:t>
      </w:r>
      <w:r>
        <w:rPr>
          <w:b/>
        </w:rPr>
        <w:t xml:space="preserve">communications du demandeur lui-même</w:t>
      </w:r>
      <w:r>
        <w:t xml:space="preserve">.</w:t>
      </w:r>
    </w:p>
    <w:p>
      <w:pPr>
        <w:numPr>
          <w:numId w:val="1025"/>
          <w:ilvl w:val="0"/>
        </w:numPr>
      </w:pPr>
      <w:r>
        <w:rPr>
          <w:b/>
        </w:rPr>
        <w:t xml:space="preserve">L’exception d’intérêt public concurrent.</w:t>
      </w:r>
      <w:r>
        <w:t xml:space="preserve"> </w:t>
      </w:r>
      <w:r>
        <w:t xml:space="preserve">Le privilège cède devant un intérêt public prépondérant, notamment pour établir l’</w:t>
      </w:r>
      <w:r>
        <w:rPr>
          <w:b/>
        </w:rPr>
        <w:t xml:space="preserve">existence ou la portée d’une entente alléguée</w:t>
      </w:r>
      <w:r>
        <w:t xml:space="preserve"> </w:t>
      </w:r>
      <w:r>
        <w:t xml:space="preserve">(</w:t>
      </w:r>
      <w:r>
        <w:rPr>
          <w:i/>
        </w:rPr>
        <w:t xml:space="preserve">Union Carbide</w:t>
      </w:r>
      <w:r>
        <w:t xml:space="preserve">). La défenderesse allègue une entente au §18 ; le demandeur en conteste l’existence même.</w:t>
      </w:r>
    </w:p>
    <w:p>
      <w:pPr>
        <w:numPr>
          <w:numId w:val="1025"/>
          <w:ilvl w:val="0"/>
        </w:numPr>
      </w:pPr>
      <w:r>
        <w:rPr>
          <w:b/>
        </w:rPr>
        <w:t xml:space="preserve">L’interprétation téléologique.</w:t>
      </w:r>
      <w:r>
        <w:t xml:space="preserve"> </w:t>
      </w:r>
      <w:r>
        <w:t xml:space="preserve">Le privilège a pour finalité d’encourager la</w:t>
      </w:r>
      <w:r>
        <w:t xml:space="preserve"> </w:t>
      </w:r>
      <w:r>
        <w:rPr>
          <w:b/>
        </w:rPr>
        <w:t xml:space="preserve">franchise</w:t>
      </w:r>
      <w:r>
        <w:t xml:space="preserve"> </w:t>
      </w:r>
      <w:r>
        <w:t xml:space="preserve">dans la négociation. Une interprétation permettant à une partie d’alléguer que l’autre a refusé de régler</w:t>
      </w:r>
      <w:r>
        <w:t xml:space="preserve"> </w:t>
      </w:r>
      <w:r>
        <w:rPr>
          <w:b/>
        </w:rPr>
        <w:t xml:space="preserve">tout en scellant la preuve contraire</w:t>
      </w:r>
      <w:r>
        <w:t xml:space="preserve"> </w:t>
      </w:r>
      <w:r>
        <w:t xml:space="preserve">ne servirait pas cette finalité : elle</w:t>
      </w:r>
      <w:r>
        <w:t xml:space="preserve"> </w:t>
      </w:r>
      <w:r>
        <w:rPr>
          <w:b/>
        </w:rPr>
        <w:t xml:space="preserve">récompenserait la fausse représentation au sujet du règlement</w:t>
      </w:r>
      <w:r>
        <w:t xml:space="preserve">, et garantirait que la caractérisation fausse l’emporte faute de contradiction possible. Une telle lecture doit être écartée.</w:t>
      </w:r>
    </w:p>
    <w:p>
      <w:pPr>
        <w:pStyle w:val="BlockText"/>
      </w:pPr>
      <w:r>
        <w:rPr>
          <w:b/>
        </w:rPr>
        <w:t xml:space="preserve">Notes de travail (à régler avant dépôt) :</w:t>
      </w:r>
      <w:r>
        <w:t xml:space="preserve"> </w:t>
      </w:r>
      <w:r>
        <w:t xml:space="preserve">-</w:t>
      </w:r>
      <w:r>
        <w:t xml:space="preserve"> </w:t>
      </w:r>
      <w:r>
        <w:rPr>
          <w:b/>
        </w:rPr>
        <w:t xml:space="preserve">Vérifier</w:t>
      </w:r>
      <w:r>
        <w:t xml:space="preserve"> </w:t>
      </w:r>
      <w:r>
        <w:t xml:space="preserve">si P-7 / P-9 / P-16 / P-17 / P-18 portent la mention «</w:t>
      </w:r>
      <w:r>
        <w:t xml:space="preserve"> </w:t>
      </w:r>
      <w:r>
        <w:rPr>
          <w:b/>
        </w:rPr>
        <w:t xml:space="preserve">sous toutes réserves</w:t>
      </w:r>
      <w:r>
        <w:t xml:space="preserve"> </w:t>
      </w:r>
      <w:r>
        <w:t xml:space="preserve">» — cela change la présomption, non l’analyse de la renonciation (qui s’opère par la</w:t>
      </w:r>
      <w:r>
        <w:t xml:space="preserve"> </w:t>
      </w:r>
      <w:r>
        <w:rPr>
          <w:b/>
        </w:rPr>
        <w:t xml:space="preserve">conduite</w:t>
      </w:r>
      <w:r>
        <w:t xml:space="preserve">, non par la mention).</w:t>
      </w:r>
      <w:r>
        <w:t xml:space="preserve"> </w:t>
      </w:r>
      <w:r>
        <w:t xml:space="preserve">-</w:t>
      </w:r>
      <w:r>
        <w:t xml:space="preserve"> </w:t>
      </w:r>
      <w:r>
        <w:rPr>
          <w:b/>
        </w:rPr>
        <w:t xml:space="preserve">Le privilège est conjoint</w:t>
      </w:r>
      <w:r>
        <w:t xml:space="preserve"> </w:t>
      </w:r>
      <w:r>
        <w:t xml:space="preserve">: le demandeur ne peut le lever seul → c’est la</w:t>
      </w:r>
      <w:r>
        <w:t xml:space="preserve"> </w:t>
      </w:r>
      <w:r>
        <w:rPr>
          <w:b/>
        </w:rPr>
        <w:t xml:space="preserve">renonciation de la défenderesse</w:t>
      </w:r>
      <w:r>
        <w:t xml:space="preserve"> </w:t>
      </w:r>
      <w:r>
        <w:t xml:space="preserve">(§38) qui l’ouvre. L’argument du §39 (« les actes sont la faute »), lui,</w:t>
      </w:r>
      <w:r>
        <w:t xml:space="preserve"> </w:t>
      </w:r>
      <w:r>
        <w:rPr>
          <w:b/>
        </w:rPr>
        <w:t xml:space="preserve">ne dépend d’aucune renonciation</w:t>
      </w:r>
      <w:r>
        <w:t xml:space="preserve"> </w:t>
      </w:r>
      <w:r>
        <w:t xml:space="preserve">et tient seul.</w:t>
      </w:r>
      <w:r>
        <w:t xml:space="preserve"> </w:t>
      </w:r>
      <w:r>
        <w:t xml:space="preserve">-</w:t>
      </w:r>
      <w:r>
        <w:t xml:space="preserve"> </w:t>
      </w:r>
      <w:r>
        <w:rPr>
          <w:b/>
        </w:rPr>
        <w:t xml:space="preserve">Portée de la renonciation</w:t>
      </w:r>
      <w:r>
        <w:t xml:space="preserve"> </w:t>
      </w:r>
      <w:r>
        <w:t xml:space="preserve">: anticiper l’argument d’une renonciation limitée à ce qui fut plaidé → y opposer la règle anti-divulgation-partielle (§38).</w:t>
      </w:r>
      <w:r>
        <w:t xml:space="preserve"> </w:t>
      </w:r>
      <w:r>
        <w:t xml:space="preserve">-</w:t>
      </w:r>
      <w:r>
        <w:t xml:space="preserve"> </w:t>
      </w:r>
      <w:r>
        <w:rPr>
          <w:b/>
        </w:rPr>
        <w:t xml:space="preserve">Convergence</w:t>
      </w:r>
      <w:r>
        <w:t xml:space="preserve"> </w:t>
      </w:r>
      <w:r>
        <w:t xml:space="preserve">: si les défenderesses soulèvent le privilège</w:t>
      </w:r>
      <w:r>
        <w:t xml:space="preserve"> </w:t>
      </w:r>
      <w:r>
        <w:rPr>
          <w:b/>
        </w:rPr>
        <w:t xml:space="preserve">après</w:t>
      </w:r>
      <w:r>
        <w:t xml:space="preserve"> </w:t>
      </w:r>
      <w:r>
        <w:t xml:space="preserve">avoir utilisé les négociations, l’objection devient elle-même une illustration du patron d’instrumentalisation des normes (§ III.C) — à exploiter en réplique.</w:t>
      </w:r>
    </w:p>
    <w:p>
      <w:r>
        <w:pict>
          <v:rect style="width:0;height:1.5pt" o:hralign="center" o:hrstd="t" o:hr="t"/>
        </w:pict>
      </w:r>
    </w:p>
    <w:p>
      <w:pPr>
        <w:pStyle w:val="Heading2"/>
      </w:pPr>
      <w:bookmarkStart w:id="51" w:name="pour-ces-motifs-plaise-au-tribunal"/>
      <w:r>
        <w:t xml:space="preserve">POUR CES MOTIFS, PLAISE AU TRIBUNAL :</w:t>
      </w:r>
      <w:bookmarkEnd w:id="51"/>
    </w:p>
    <w:p>
      <w:pPr>
        <w:numPr>
          <w:numId w:val="1026"/>
          <w:ilvl w:val="0"/>
        </w:numPr>
      </w:pPr>
      <w:r>
        <w:rPr>
          <w:b/>
        </w:rPr>
        <w:t xml:space="preserve">ACCUEILLIR</w:t>
      </w:r>
      <w:r>
        <w:t xml:space="preserve"> </w:t>
      </w:r>
      <w:r>
        <w:t xml:space="preserve">la présente demande ;</w:t>
      </w:r>
    </w:p>
    <w:p>
      <w:pPr>
        <w:numPr>
          <w:numId w:val="1026"/>
          <w:ilvl w:val="0"/>
        </w:numPr>
      </w:pPr>
      <w:r>
        <w:rPr>
          <w:b/>
        </w:rPr>
        <w:t xml:space="preserve">DÉCLARER</w:t>
      </w:r>
      <w:r>
        <w:t xml:space="preserve"> </w:t>
      </w:r>
      <w:r>
        <w:t xml:space="preserve">que les défenderesses ont commis un</w:t>
      </w:r>
      <w:r>
        <w:t xml:space="preserve"> </w:t>
      </w:r>
      <w:r>
        <w:rPr>
          <w:b/>
        </w:rPr>
        <w:t xml:space="preserve">abus de procédure</w:t>
      </w:r>
      <w:r>
        <w:t xml:space="preserve"> </w:t>
      </w:r>
      <w:r>
        <w:t xml:space="preserve">(art. 51-56 C.p.c.) ;</w:t>
      </w:r>
    </w:p>
    <w:p>
      <w:pPr>
        <w:numPr>
          <w:numId w:val="1026"/>
          <w:ilvl w:val="0"/>
        </w:numPr>
      </w:pPr>
      <w:r>
        <w:rPr>
          <w:b/>
        </w:rPr>
        <w:t xml:space="preserve">DÉCLARER</w:t>
      </w:r>
      <w:r>
        <w:t xml:space="preserve"> </w:t>
      </w:r>
      <w:r>
        <w:t xml:space="preserve">les défenderesses</w:t>
      </w:r>
      <w:r>
        <w:t xml:space="preserve"> </w:t>
      </w:r>
      <w:r>
        <w:rPr>
          <w:b/>
        </w:rPr>
        <w:t xml:space="preserve">solidairement responsables</w:t>
      </w:r>
      <w:r>
        <w:t xml:space="preserve"> </w:t>
      </w:r>
      <w:r>
        <w:t xml:space="preserve">des fautes décrites (art. 1457 et 1526 C.c.Q.) ;</w:t>
      </w:r>
    </w:p>
    <w:p>
      <w:pPr>
        <w:numPr>
          <w:numId w:val="1026"/>
          <w:ilvl w:val="0"/>
        </w:numPr>
      </w:pPr>
      <w:r>
        <w:rPr>
          <w:b/>
        </w:rPr>
        <w:t xml:space="preserve">CONDAMNER</w:t>
      </w:r>
      <w:r>
        <w:t xml:space="preserve"> </w:t>
      </w:r>
      <w:r>
        <w:t xml:space="preserve">solidairement les défenderesses à payer au demandeur la somme de</w:t>
      </w:r>
      <w:r>
        <w:t xml:space="preserve"> </w:t>
      </w:r>
      <w:r>
        <w:rPr>
          <w:b/>
        </w:rPr>
        <w:t xml:space="preserve">[MONTANT] $</w:t>
      </w:r>
      <w:r>
        <w:t xml:space="preserve"> </w:t>
      </w:r>
      <w:r>
        <w:t xml:space="preserve">à titre de</w:t>
      </w:r>
      <w:r>
        <w:t xml:space="preserve"> </w:t>
      </w:r>
      <w:r>
        <w:rPr>
          <w:b/>
        </w:rPr>
        <w:t xml:space="preserve">dommages-intérêts compensatoires</w:t>
      </w:r>
      <w:r>
        <w:t xml:space="preserve"> </w:t>
      </w:r>
      <w:r>
        <w:t xml:space="preserve">(préjudice moral, atteinte à la réputation et à la dignité, préjudice matériel), avec les</w:t>
      </w:r>
      <w:r>
        <w:t xml:space="preserve"> </w:t>
      </w:r>
      <w:r>
        <w:rPr>
          <w:b/>
        </w:rPr>
        <w:t xml:space="preserve">intérêts</w:t>
      </w:r>
      <w:r>
        <w:t xml:space="preserve"> </w:t>
      </w:r>
      <w:r>
        <w:t xml:space="preserve">au taux légal et l’</w:t>
      </w:r>
      <w:r>
        <w:rPr>
          <w:b/>
        </w:rPr>
        <w:t xml:space="preserve">indemnité additionnelle</w:t>
      </w:r>
      <w:r>
        <w:t xml:space="preserve"> </w:t>
      </w:r>
      <w:r>
        <w:t xml:space="preserve">(art. 1619 C.c.Q.) depuis l’assignation ;</w:t>
      </w:r>
    </w:p>
    <w:p>
      <w:pPr>
        <w:numPr>
          <w:numId w:val="1026"/>
          <w:ilvl w:val="0"/>
        </w:numPr>
      </w:pPr>
      <w:r>
        <w:rPr>
          <w:b/>
        </w:rPr>
        <w:t xml:space="preserve">CONDAMNER</w:t>
      </w:r>
      <w:r>
        <w:t xml:space="preserve"> </w:t>
      </w:r>
      <w:r>
        <w:t xml:space="preserve">solidairement les défenderesses à payer au demandeur la somme de</w:t>
      </w:r>
      <w:r>
        <w:t xml:space="preserve"> </w:t>
      </w:r>
      <w:r>
        <w:rPr>
          <w:b/>
        </w:rPr>
        <w:t xml:space="preserve">[MONTANT] $</w:t>
      </w:r>
      <w:r>
        <w:t xml:space="preserve"> </w:t>
      </w:r>
      <w:r>
        <w:t xml:space="preserve">à titre de</w:t>
      </w:r>
      <w:r>
        <w:t xml:space="preserve"> </w:t>
      </w:r>
      <w:r>
        <w:rPr>
          <w:b/>
        </w:rPr>
        <w:t xml:space="preserve">dommages-intérêts punitifs</w:t>
      </w:r>
      <w:r>
        <w:t xml:space="preserve"> </w:t>
      </w:r>
      <w:r>
        <w:t xml:space="preserve">(Charte, art. 49 al. 2) ;</w:t>
      </w:r>
    </w:p>
    <w:p>
      <w:pPr>
        <w:numPr>
          <w:numId w:val="1026"/>
          <w:ilvl w:val="0"/>
        </w:numPr>
      </w:pPr>
      <w:r>
        <w:rPr>
          <w:b/>
        </w:rPr>
        <w:t xml:space="preserve">LE TOUT avec les frais de justice</w:t>
      </w:r>
      <w:r>
        <w:t xml:space="preserve">, y compris [les frais d’expertise et] les honoraires et débours recouvrables (art. 54 C.p.c.).</w:t>
      </w:r>
    </w:p>
    <w:p>
      <w:pPr>
        <w:pStyle w:val="BlockText"/>
      </w:pPr>
      <w:r>
        <w:rPr>
          <w:i/>
        </w:rPr>
        <w:t xml:space="preserve">Réserve : toute conclusion en</w:t>
      </w:r>
      <w:r>
        <w:rPr>
          <w:i/>
        </w:rPr>
        <w:t xml:space="preserve"> </w:t>
      </w:r>
      <w:r>
        <w:rPr>
          <w:b/>
          <w:i/>
        </w:rPr>
        <w:t xml:space="preserve">rétractation</w:t>
      </w:r>
      <w:r>
        <w:rPr>
          <w:i/>
        </w:rPr>
        <w:t xml:space="preserve"> </w:t>
      </w:r>
      <w:r>
        <w:rPr>
          <w:i/>
        </w:rPr>
        <w:t xml:space="preserve">du jugement de 2016 relève d’un véhicule distinct — écartée du présent acte (décision du client).</w:t>
      </w:r>
    </w:p>
    <w:p>
      <w:r>
        <w:pict>
          <v:rect style="width:0;height:1.5pt" o:hralign="center" o:hrstd="t" o:hr="t"/>
        </w:pict>
      </w:r>
    </w:p>
    <w:p>
      <w:pPr>
        <w:pStyle w:val="Heading2"/>
      </w:pPr>
      <w:bookmarkStart w:id="52" w:name="bordereau-des-pièces"/>
      <w:r>
        <w:t xml:space="preserve">BORDEREAU DES PIÈCES</w:t>
      </w:r>
      <w:bookmarkEnd w:id="52"/>
    </w:p>
    <w:p>
      <w:pPr>
        <w:pStyle w:val="BlockText"/>
      </w:pPr>
      <w:r>
        <w:rPr>
          <w:b/>
        </w:rPr>
        <w:t xml:space="preserve">Source autoritative :</w:t>
      </w:r>
      <w:r>
        <w:rPr>
          <w:b/>
        </w:rPr>
        <w:t xml:space="preserve"> </w:t>
      </w:r>
      <w:hyperlink r:id="rId22">
        <w:r>
          <w:rPr>
            <w:rStyle w:val="Hyperlink"/>
            <w:b/>
          </w:rPr>
          <w:t xml:space="preserve">bordereau_pieces.md</w:t>
        </w:r>
      </w:hyperlink>
      <w:r>
        <w:t xml:space="preserve"> </w:t>
      </w:r>
      <w:r>
        <w:t xml:space="preserve">(système P-1 → P-86).</w:t>
      </w:r>
      <w:r>
        <w:t xml:space="preserve"> </w:t>
      </w:r>
      <w:r>
        <w:rPr>
          <w:b/>
        </w:rPr>
        <w:t xml:space="preserve">Ne pas maintenir de seconde liste ici.</w:t>
      </w:r>
      <w:r>
        <w:t xml:space="preserve"> </w:t>
      </w:r>
      <w:r>
        <w:t xml:space="preserve">Avant dépôt : geler les cotes, résoudre les ⚠️ (doublons P-35/P-36 ; pièces « à sourcer »), puis</w:t>
      </w:r>
      <w:r>
        <w:t xml:space="preserve"> </w:t>
      </w:r>
      <w:r>
        <w:rPr>
          <w:b/>
        </w:rPr>
        <w:t xml:space="preserve">incorporer la liste finale</w:t>
      </w:r>
      <w:r>
        <w:t xml:space="preserve"> </w:t>
      </w:r>
      <w:r>
        <w:t xml:space="preserve">sous la formule :</w:t>
      </w:r>
    </w:p>
    <w:p>
      <w:pPr>
        <w:pStyle w:val="BlockText"/>
      </w:pPr>
      <w:r>
        <w:t xml:space="preserve">« AU SOUTIEN DE LA PRÉSENTE DEMANDE, LE DEMANDEUR DÉCLARE COMMUNIQUER LES PIÈCES SUIVANTES : … »</w:t>
      </w:r>
    </w:p>
    <w:p>
      <w:pPr>
        <w:pStyle w:val="BlockText"/>
      </w:pPr>
      <w:r>
        <w:rPr>
          <w:b/>
        </w:rPr>
        <w:t xml:space="preserve">Ancres de contrôle</w:t>
      </w:r>
      <w:r>
        <w:t xml:space="preserve"> </w:t>
      </w:r>
      <w:r>
        <w:t xml:space="preserve">(doivent concorder avec l’exposé) : P-2 = courriel « plan » 11 juin 2013 ; P-19 = Requête 19 nov. 2015 ; P-20 = échange/aveu 11 janv. 2016 ; P-21 = jugement 14 janv. 2016 ; P-40 = dénonciation 21 juil. 2023 ; P-42 = DA-2019 ; P-84/P-85 = relevés d’assurance.</w:t>
      </w:r>
    </w:p>
    <w:p>
      <w:pPr>
        <w:pStyle w:val="BlockText"/>
      </w:pPr>
      <w:r>
        <w:rPr>
          <w:b/>
        </w:rPr>
        <w:t xml:space="preserve">Normes de droit (connaissance d’office, non cotées) :</w:t>
      </w:r>
      <w:r>
        <w:t xml:space="preserve"> </w:t>
      </w:r>
      <w:r>
        <w:t xml:space="preserve">Règlement sur la fixation des pensions alimentaires pour enfants (C-25.01, r. 0.4) ;</w:t>
      </w:r>
      <w:r>
        <w:t xml:space="preserve"> </w:t>
      </w:r>
      <w:r>
        <w:rPr>
          <w:i/>
        </w:rPr>
        <w:t xml:space="preserve">F.L. c. S.J.</w:t>
      </w:r>
      <w:r>
        <w:t xml:space="preserve"> </w:t>
      </w:r>
      <w:r>
        <w:t xml:space="preserve">2004 CanLII 2080 (C.S.) ;</w:t>
      </w:r>
      <w:r>
        <w:t xml:space="preserve"> </w:t>
      </w:r>
      <w:r>
        <w:rPr>
          <w:i/>
        </w:rPr>
        <w:t xml:space="preserve">C.S. c. M.G.</w:t>
      </w:r>
      <w:r>
        <w:t xml:space="preserve"> </w:t>
      </w:r>
      <w:r>
        <w:t xml:space="preserve">2005 QCCA 702.</w:t>
      </w:r>
    </w:p>
    <w:p>
      <w:r>
        <w:pict>
          <v:rect style="width:0;height:1.5pt" o:hralign="center" o:hrstd="t" o:hr="t"/>
        </w:pict>
      </w:r>
    </w:p>
    <w:p>
      <w:pPr>
        <w:pStyle w:val="Heading2"/>
      </w:pPr>
      <w:bookmarkStart w:id="53" w:name="signature"/>
      <w:r>
        <w:t xml:space="preserve">SIGNATURE</w:t>
      </w:r>
      <w:bookmarkEnd w:id="53"/>
    </w:p>
    <w:p>
      <w:pPr>
        <w:pStyle w:val="FirstParagraph"/>
      </w:pPr>
      <w:r>
        <w:t xml:space="preserve">Fait à ______________, le ______________ 20____.</w:t>
      </w:r>
    </w:p>
    <w:p>
      <w:r>
        <w:pict>
          <v:rect style="width:0;height:1.5pt" o:hralign="center" o:hrstd="t" o:hr="t"/>
        </w:pict>
      </w:r>
    </w:p>
    <w:p>
      <w:pPr>
        <w:pStyle w:val="FirstParagraph"/>
      </w:pPr>
      <w:r>
        <w:rPr>
          <w:b/>
        </w:rPr>
        <w:t xml:space="preserve">LOUIS-PHILIPPE DAVID</w:t>
      </w:r>
      <w:r>
        <w:t xml:space="preserve"> </w:t>
      </w:r>
      <w:r>
        <w:rPr>
          <w:i/>
        </w:rPr>
        <w:t xml:space="preserve">Demandeur, agissant en son propre nom</w:t>
      </w:r>
      <w:r>
        <w:t xml:space="preserve"> </w:t>
      </w:r>
      <w:r>
        <w:t xml:space="preserve">Adresse : ______________________</w:t>
      </w:r>
      <w:r>
        <w:t xml:space="preserve"> </w:t>
      </w:r>
      <w:r>
        <w:t xml:space="preserve">Téléphone : ______________________</w:t>
      </w:r>
      <w:r>
        <w:t xml:space="preserve"> </w:t>
      </w:r>
      <w:r>
        <w:t xml:space="preserve">Courriel : ______________________</w:t>
      </w:r>
    </w:p>
    <w:p>
      <w:r>
        <w:pict>
          <v:rect style="width:0;height:1.5pt" o:hralign="center" o:hrstd="t" o:hr="t"/>
        </w:pict>
      </w:r>
    </w:p>
    <w:p>
      <w:pPr>
        <w:pStyle w:val="Heading2"/>
      </w:pPr>
      <w:bookmarkStart w:id="54" w:name="X728873c398d0fcb3ed5479038ccb2b89e881175"/>
      <w:r>
        <w:t xml:space="preserve">PIÈCE D’ACCOMPAGNEMENT — AVIS D’ASSIGNATION (art. 145 C.p.c.)</w:t>
      </w:r>
      <w:bookmarkEnd w:id="54"/>
    </w:p>
    <w:p>
      <w:pPr>
        <w:pStyle w:val="BlockText"/>
      </w:pPr>
      <w:r>
        <w:rPr>
          <w:b/>
        </w:rPr>
        <w:t xml:space="preserve">Requis pour signifier et déposer.</w:t>
      </w:r>
      <w:r>
        <w:t xml:space="preserve"> </w:t>
      </w:r>
      <w:r>
        <w:t xml:space="preserve">L’avis d’assignation est un document</w:t>
      </w:r>
      <w:r>
        <w:t xml:space="preserve"> </w:t>
      </w:r>
      <w:r>
        <w:rPr>
          <w:b/>
        </w:rPr>
        <w:t xml:space="preserve">distinct</w:t>
      </w:r>
      <w:r>
        <w:t xml:space="preserve"> </w:t>
      </w:r>
      <w:r>
        <w:t xml:space="preserve">joint à la demande. Il informe chaque défenderesse : (a) qu’elle est assignée à répondre à la demande ; (b) du</w:t>
      </w:r>
      <w:r>
        <w:t xml:space="preserve"> </w:t>
      </w:r>
      <w:r>
        <w:rPr>
          <w:b/>
        </w:rPr>
        <w:t xml:space="preserve">délai</w:t>
      </w:r>
      <w:r>
        <w:t xml:space="preserve"> </w:t>
      </w:r>
      <w:r>
        <w:t xml:space="preserve">pour répondre et pour coopérer à l’établissement du</w:t>
      </w:r>
      <w:r>
        <w:t xml:space="preserve"> </w:t>
      </w:r>
      <w:r>
        <w:rPr>
          <w:b/>
        </w:rPr>
        <w:t xml:space="preserve">protocole de l’instance</w:t>
      </w:r>
      <w:r>
        <w:t xml:space="preserve"> </w:t>
      </w:r>
      <w:r>
        <w:t xml:space="preserve">(art. 147-150 C.p.c.) ; (c) des conséquences de son défaut ; (d) de l’information relative aux modes privés de prévention et de règlement des différends (art. 1-7 C.p.c.). Utiliser le</w:t>
      </w:r>
      <w:r>
        <w:t xml:space="preserve"> </w:t>
      </w:r>
      <w:r>
        <w:rPr>
          <w:b/>
        </w:rPr>
        <w:t xml:space="preserve">formulaire</w:t>
      </w:r>
      <w:r>
        <w:t xml:space="preserve"> </w:t>
      </w:r>
      <w:r>
        <w:t xml:space="preserve">en vigueur.</w:t>
      </w:r>
      <w:r>
        <w:t xml:space="preserve"> </w:t>
      </w:r>
      <w:r>
        <w:rPr>
          <w:b/>
        </w:rPr>
        <w:t xml:space="preserve">[À rédiger / joindre.]</w:t>
      </w:r>
    </w:p>
    <w:p>
      <w:pPr>
        <w:pStyle w:val="BlockText"/>
      </w:pPr>
      <w:r>
        <w:t xml:space="preserve">Le</w:t>
      </w:r>
      <w:r>
        <w:t xml:space="preserve"> </w:t>
      </w:r>
      <w:r>
        <w:rPr>
          <w:b/>
        </w:rPr>
        <w:t xml:space="preserve">protocole de l’instance</w:t>
      </w:r>
      <w:r>
        <w:t xml:space="preserve"> </w:t>
      </w:r>
      <w:r>
        <w:t xml:space="preserve">est établi après signification — hors du présent acte, mais à prévoir au calendrier.</w:t>
      </w:r>
    </w:p>
    <w:p>
      <w:r>
        <w:pict>
          <v:rect style="width:0;height:1.5pt" o:hralign="center" o:hrstd="t" o:hr="t"/>
        </w:pict>
      </w:r>
    </w:p>
    <w:p>
      <w:pPr>
        <w:pStyle w:val="Heading2"/>
      </w:pPr>
      <w:bookmarkStart w:id="55" w:name="notes-dassemblage-à-traiter-avant-dépôt"/>
      <w:r>
        <w:t xml:space="preserve">NOTES D’ASSEMBLAGE (à traiter avant dépôt)</w:t>
      </w:r>
      <w:bookmarkEnd w:id="55"/>
    </w:p>
    <w:p>
      <w:pPr>
        <w:pStyle w:val="Compact"/>
        <w:numPr>
          <w:numId w:val="1027"/>
          <w:ilvl w:val="0"/>
        </w:numPr>
      </w:pPr>
      <w:r>
        <w:rPr>
          <w:b/>
        </w:rPr>
        <w:t xml:space="preserve">For / district (verrou de conformité).</w:t>
      </w:r>
      <w:r>
        <w:t xml:space="preserve"> </w:t>
      </w:r>
      <w:r>
        <w:t xml:space="preserve">Déterminer le district de l’action en responsabilité (art. 41-43 C.p.c.) — distinct de Longueuil. Un mauvais for invite un moyen déclinatoire (l’ironie avec P-40).</w:t>
      </w:r>
    </w:p>
    <w:p>
      <w:pPr>
        <w:pStyle w:val="Compact"/>
        <w:numPr>
          <w:numId w:val="1027"/>
          <w:ilvl w:val="0"/>
        </w:numPr>
      </w:pPr>
      <w:r>
        <w:rPr>
          <w:b/>
        </w:rPr>
        <w:t xml:space="preserve">Cotes (verrou de conformité).</w:t>
      </w:r>
      <w:r>
        <w:t xml:space="preserve"> </w:t>
      </w:r>
      <w:r>
        <w:t xml:space="preserve">Geler</w:t>
      </w:r>
      <w:r>
        <w:t xml:space="preserve"> </w:t>
      </w:r>
      <w:hyperlink r:id="rId22">
        <w:r>
          <w:rPr>
            <w:rStyle w:val="Hyperlink"/>
          </w:rPr>
          <w:t xml:space="preserve">bordereau_pieces.md</w:t>
        </w:r>
      </w:hyperlink>
      <w:r>
        <w:t xml:space="preserve"> </w:t>
      </w:r>
      <w:r>
        <w:t xml:space="preserve">; vérifier que</w:t>
      </w:r>
      <w:r>
        <w:t xml:space="preserve"> </w:t>
      </w:r>
      <w:r>
        <w:rPr>
          <w:b/>
        </w:rPr>
        <w:t xml:space="preserve">chaque</w:t>
      </w:r>
      <w:r>
        <w:t xml:space="preserve"> </w:t>
      </w:r>
      <w:r>
        <w:t xml:space="preserve">renvoi de l’exposé et de la coquille concorde ; résoudre doublons et « à sourcer ».</w:t>
      </w:r>
    </w:p>
    <w:p>
      <w:pPr>
        <w:pStyle w:val="Compact"/>
        <w:numPr>
          <w:numId w:val="1027"/>
          <w:ilvl w:val="0"/>
        </w:numPr>
      </w:pPr>
      <w:r>
        <w:rPr>
          <w:b/>
          <w:strike/>
        </w:rPr>
        <w:t xml:space="preserve">Privilège de règlement</w:t>
      </w:r>
      <w:r>
        <w:t xml:space="preserve"> </w:t>
      </w:r>
      <w:r>
        <w:t xml:space="preserve">✅</w:t>
      </w:r>
      <w:r>
        <w:t xml:space="preserve"> </w:t>
      </w:r>
      <w:r>
        <w:rPr>
          <w:b/>
        </w:rPr>
        <w:t xml:space="preserve">TRAITÉ au § X</w:t>
      </w:r>
      <w:r>
        <w:t xml:space="preserve"> </w:t>
      </w:r>
      <w:r>
        <w:t xml:space="preserve">(section anticipatoire : asymétrie / renonciation par mise en litige / les actes sont la faute /</w:t>
      </w:r>
      <w:r>
        <w:t xml:space="preserve"> </w:t>
      </w:r>
      <w:r>
        <w:rPr>
          <w:i/>
        </w:rPr>
        <w:t xml:space="preserve">Union Carbide</w:t>
      </w:r>
      <w:r>
        <w:t xml:space="preserve"> </w:t>
      </w:r>
      <w:r>
        <w:t xml:space="preserve">/ téléologie). Reste à</w:t>
      </w:r>
      <w:r>
        <w:t xml:space="preserve"> </w:t>
      </w:r>
      <w:r>
        <w:rPr>
          <w:b/>
        </w:rPr>
        <w:t xml:space="preserve">vérifier</w:t>
      </w:r>
      <w:r>
        <w:t xml:space="preserve"> </w:t>
      </w:r>
      <w:r>
        <w:t xml:space="preserve">les mentions « sous toutes réserves » sur P-7/P-9/P-16/P-17/P-18.</w:t>
      </w:r>
    </w:p>
    <w:p>
      <w:pPr>
        <w:pStyle w:val="Compact"/>
        <w:numPr>
          <w:numId w:val="1027"/>
          <w:ilvl w:val="0"/>
        </w:numPr>
      </w:pPr>
      <w:r>
        <w:rPr>
          <w:b/>
        </w:rPr>
        <w:t xml:space="preserve">Sections à contenu réel manquant :</w:t>
      </w:r>
      <w:r>
        <w:t xml:space="preserve"> </w:t>
      </w:r>
      <w:r>
        <w:t xml:space="preserve">§ VII (causalité — développer les chaînes), § VIII (préjudice —</w:t>
      </w:r>
      <w:r>
        <w:t xml:space="preserve"> </w:t>
      </w:r>
      <w:r>
        <w:rPr>
          <w:b/>
        </w:rPr>
        <w:t xml:space="preserve">chiffrer</w:t>
      </w:r>
      <w:r>
        <w:t xml:space="preserve">), et confirmer la déontologie citée au § III.A (coter le Code).</w:t>
      </w:r>
    </w:p>
    <w:p>
      <w:pPr>
        <w:pStyle w:val="Compact"/>
        <w:numPr>
          <w:numId w:val="1027"/>
          <w:ilvl w:val="0"/>
        </w:numPr>
      </w:pPr>
      <w:r>
        <w:rPr>
          <w:b/>
        </w:rPr>
        <w:t xml:space="preserve">Montage des faits :</w:t>
      </w:r>
      <w:r>
        <w:t xml:space="preserve"> </w:t>
      </w:r>
      <w:r>
        <w:t xml:space="preserve">coller l’exposé au § II ; résoudre les renvois « §[XX] » ; renumérotation consécutive finale.</w:t>
      </w:r>
    </w:p>
    <w:p>
      <w:pPr>
        <w:pStyle w:val="Compact"/>
        <w:numPr>
          <w:numId w:val="1027"/>
          <w:ilvl w:val="0"/>
        </w:numPr>
      </w:pPr>
      <w:r>
        <w:rPr>
          <w:b/>
        </w:rPr>
        <w:t xml:space="preserve">Révision par avocat</w:t>
      </w:r>
      <w:r>
        <w:t xml:space="preserve"> </w:t>
      </w:r>
      <w:r>
        <w:t xml:space="preserve">avant signification ; vérifier tous les numéros d’articles contre le texte en vigueur.</w:t>
      </w:r>
    </w:p>
    <w:sectPr w:rsidR="00FC693F" w:rsidRPr="0006063C" w:rsidSect="00034616">
      <w:footerReference w:type="default" r:id="rId9"/>
      <w:pgSz w:w="12240" w:h="15840"/>
      <w:pgMar w:top="1417" w:right="1417" w:bottom="1417" w:left="1701" w:header="720" w:footer="720" w:gutter="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separate"/>
      <w:t>1</w: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713">
    <w:nsid w:val="71315dca"/>
    <w:multiLevelType w:val="multilevel"/>
    <w:lvl w:ilvl="0">
      <w:start w:val="3"/>
      <w:numFmt w:val="lowerLetter"/>
      <w:lvlText w:val="%1."/>
      <w:lvlJc w:val="left"/>
      <w:pPr>
        <w:tabs>
          <w:tab w:val="num" w:pos="0"/>
        </w:tabs>
        <w:ind w:left="480" w:hanging="480"/>
      </w:pPr>
    </w:lvl>
    <w:lvl w:ilvl="1">
      <w:start w:val="3"/>
      <w:numFmt w:val="lowerLetter"/>
      <w:lvlText w:val="%2."/>
      <w:lvlJc w:val="left"/>
      <w:pPr>
        <w:tabs>
          <w:tab w:val="num" w:pos="720"/>
        </w:tabs>
        <w:ind w:left="1200" w:hanging="480"/>
      </w:pPr>
    </w:lvl>
    <w:lvl w:ilvl="2">
      <w:start w:val="3"/>
      <w:numFmt w:val="lowerLetter"/>
      <w:lvlText w:val="%3."/>
      <w:lvlJc w:val="left"/>
      <w:pPr>
        <w:tabs>
          <w:tab w:val="num" w:pos="1440"/>
        </w:tabs>
        <w:ind w:left="1920" w:hanging="480"/>
      </w:pPr>
    </w:lvl>
    <w:lvl w:ilvl="3">
      <w:start w:val="3"/>
      <w:numFmt w:val="lowerLetter"/>
      <w:lvlText w:val="%4."/>
      <w:lvlJc w:val="left"/>
      <w:pPr>
        <w:tabs>
          <w:tab w:val="num" w:pos="2160"/>
        </w:tabs>
        <w:ind w:left="2640" w:hanging="480"/>
      </w:pPr>
    </w:lvl>
    <w:lvl w:ilvl="4">
      <w:start w:val="3"/>
      <w:numFmt w:val="lowerLetter"/>
      <w:lvlText w:val="%5."/>
      <w:lvlJc w:val="left"/>
      <w:pPr>
        <w:tabs>
          <w:tab w:val="num" w:pos="2880"/>
        </w:tabs>
        <w:ind w:left="3360" w:hanging="480"/>
      </w:pPr>
    </w:lvl>
    <w:lvl w:ilvl="5">
      <w:start w:val="3"/>
      <w:numFmt w:val="lowerLetter"/>
      <w:lvlText w:val="%6."/>
      <w:lvlJc w:val="left"/>
      <w:pPr>
        <w:tabs>
          <w:tab w:val="num" w:pos="3600"/>
        </w:tabs>
        <w:ind w:left="4080" w:hanging="480"/>
      </w:pPr>
    </w:lvl>
    <w:lvl w:ilvl="6">
      <w:start w:val="3"/>
      <w:numFmt w:val="lowerLetter"/>
      <w:lvlText w:val="%7."/>
      <w:lvlJc w:val="left"/>
      <w:pPr>
        <w:tabs>
          <w:tab w:val="num" w:pos="4320"/>
        </w:tabs>
        <w:ind w:left="4800" w:hanging="480"/>
      </w:pPr>
    </w:lvl>
    <w:lvl w:ilvl="7">
      <w:start w:val="3"/>
      <w:numFmt w:val="lowerLetter"/>
      <w:lvlText w:val="%8."/>
      <w:lvlJc w:val="left"/>
      <w:pPr>
        <w:tabs>
          <w:tab w:val="num" w:pos="5040"/>
        </w:tabs>
        <w:ind w:left="5520" w:hanging="480"/>
      </w:pPr>
    </w:lvl>
    <w:lvl w:ilvl="8">
      <w:start w:val="3"/>
      <w:numFmt w:val="lowerLetter"/>
      <w:lvlText w:val="%9."/>
      <w:lvlJc w:val="left"/>
      <w:pPr>
        <w:tabs>
          <w:tab w:val="num" w:pos="5760"/>
        </w:tabs>
        <w:ind w:left="6240" w:hanging="480"/>
      </w:pPr>
    </w:lvl>
  </w:abstractNum>
  <w:abstractNum w:abstractNumId="99411">
    <w:nsid w:val="47261bad"/>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99417">
    <w:nsid w:val="b3cbbdee"/>
    <w:multiLevelType w:val="multilevel"/>
    <w:lvl w:ilvl="0">
      <w:start w:val="7"/>
      <w:numFmt w:val="decimal"/>
      <w:lvlText w:val="%1."/>
      <w:lvlJc w:val="left"/>
      <w:pPr>
        <w:tabs>
          <w:tab w:val="num" w:pos="0"/>
        </w:tabs>
        <w:ind w:left="480" w:hanging="480"/>
      </w:pPr>
    </w:lvl>
    <w:lvl w:ilvl="1">
      <w:start w:val="7"/>
      <w:numFmt w:val="decimal"/>
      <w:lvlText w:val="%2."/>
      <w:lvlJc w:val="left"/>
      <w:pPr>
        <w:tabs>
          <w:tab w:val="num" w:pos="720"/>
        </w:tabs>
        <w:ind w:left="1200" w:hanging="480"/>
      </w:pPr>
    </w:lvl>
    <w:lvl w:ilvl="2">
      <w:start w:val="7"/>
      <w:numFmt w:val="decimal"/>
      <w:lvlText w:val="%3."/>
      <w:lvlJc w:val="left"/>
      <w:pPr>
        <w:tabs>
          <w:tab w:val="num" w:pos="1440"/>
        </w:tabs>
        <w:ind w:left="1920" w:hanging="480"/>
      </w:pPr>
    </w:lvl>
    <w:lvl w:ilvl="3">
      <w:start w:val="7"/>
      <w:numFmt w:val="decimal"/>
      <w:lvlText w:val="%4."/>
      <w:lvlJc w:val="left"/>
      <w:pPr>
        <w:tabs>
          <w:tab w:val="num" w:pos="2160"/>
        </w:tabs>
        <w:ind w:left="2640" w:hanging="480"/>
      </w:pPr>
    </w:lvl>
    <w:lvl w:ilvl="4">
      <w:start w:val="7"/>
      <w:numFmt w:val="decimal"/>
      <w:lvlText w:val="%5."/>
      <w:lvlJc w:val="left"/>
      <w:pPr>
        <w:tabs>
          <w:tab w:val="num" w:pos="2880"/>
        </w:tabs>
        <w:ind w:left="3360" w:hanging="480"/>
      </w:pPr>
    </w:lvl>
    <w:lvl w:ilvl="5">
      <w:start w:val="7"/>
      <w:numFmt w:val="decimal"/>
      <w:lvlText w:val="%6."/>
      <w:lvlJc w:val="left"/>
      <w:pPr>
        <w:tabs>
          <w:tab w:val="num" w:pos="3600"/>
        </w:tabs>
        <w:ind w:left="4080" w:hanging="480"/>
      </w:pPr>
    </w:lvl>
    <w:lvl w:ilvl="6">
      <w:start w:val="7"/>
      <w:numFmt w:val="decimal"/>
      <w:lvlText w:val="%7."/>
      <w:lvlJc w:val="left"/>
      <w:pPr>
        <w:tabs>
          <w:tab w:val="num" w:pos="4320"/>
        </w:tabs>
        <w:ind w:left="4800" w:hanging="480"/>
      </w:pPr>
    </w:lvl>
    <w:lvl w:ilvl="7">
      <w:start w:val="7"/>
      <w:numFmt w:val="decimal"/>
      <w:lvlText w:val="%8."/>
      <w:lvlJc w:val="left"/>
      <w:pPr>
        <w:tabs>
          <w:tab w:val="num" w:pos="5040"/>
        </w:tabs>
        <w:ind w:left="5520" w:hanging="480"/>
      </w:pPr>
    </w:lvl>
    <w:lvl w:ilvl="8">
      <w:start w:val="7"/>
      <w:numFmt w:val="decimal"/>
      <w:lvlText w:val="%9."/>
      <w:lvlJc w:val="left"/>
      <w:pPr>
        <w:tabs>
          <w:tab w:val="num" w:pos="5760"/>
        </w:tabs>
        <w:ind w:left="6240" w:hanging="480"/>
      </w:pPr>
    </w:lvl>
  </w:abstractNum>
  <w:abstractNum w:abstractNumId="99418">
    <w:nsid w:val="4fbe019a"/>
    <w:multiLevelType w:val="multilevel"/>
    <w:lvl w:ilvl="0">
      <w:start w:val="8"/>
      <w:numFmt w:val="decimal"/>
      <w:lvlText w:val="%1."/>
      <w:lvlJc w:val="left"/>
      <w:pPr>
        <w:tabs>
          <w:tab w:val="num" w:pos="0"/>
        </w:tabs>
        <w:ind w:left="480" w:hanging="480"/>
      </w:pPr>
    </w:lvl>
    <w:lvl w:ilvl="1">
      <w:start w:val="8"/>
      <w:numFmt w:val="decimal"/>
      <w:lvlText w:val="%2."/>
      <w:lvlJc w:val="left"/>
      <w:pPr>
        <w:tabs>
          <w:tab w:val="num" w:pos="720"/>
        </w:tabs>
        <w:ind w:left="1200" w:hanging="480"/>
      </w:pPr>
    </w:lvl>
    <w:lvl w:ilvl="2">
      <w:start w:val="8"/>
      <w:numFmt w:val="decimal"/>
      <w:lvlText w:val="%3."/>
      <w:lvlJc w:val="left"/>
      <w:pPr>
        <w:tabs>
          <w:tab w:val="num" w:pos="1440"/>
        </w:tabs>
        <w:ind w:left="1920" w:hanging="480"/>
      </w:pPr>
    </w:lvl>
    <w:lvl w:ilvl="3">
      <w:start w:val="8"/>
      <w:numFmt w:val="decimal"/>
      <w:lvlText w:val="%4."/>
      <w:lvlJc w:val="left"/>
      <w:pPr>
        <w:tabs>
          <w:tab w:val="num" w:pos="2160"/>
        </w:tabs>
        <w:ind w:left="2640" w:hanging="480"/>
      </w:pPr>
    </w:lvl>
    <w:lvl w:ilvl="4">
      <w:start w:val="8"/>
      <w:numFmt w:val="decimal"/>
      <w:lvlText w:val="%5."/>
      <w:lvlJc w:val="left"/>
      <w:pPr>
        <w:tabs>
          <w:tab w:val="num" w:pos="2880"/>
        </w:tabs>
        <w:ind w:left="3360" w:hanging="480"/>
      </w:pPr>
    </w:lvl>
    <w:lvl w:ilvl="5">
      <w:start w:val="8"/>
      <w:numFmt w:val="decimal"/>
      <w:lvlText w:val="%6."/>
      <w:lvlJc w:val="left"/>
      <w:pPr>
        <w:tabs>
          <w:tab w:val="num" w:pos="3600"/>
        </w:tabs>
        <w:ind w:left="4080" w:hanging="480"/>
      </w:pPr>
    </w:lvl>
    <w:lvl w:ilvl="6">
      <w:start w:val="8"/>
      <w:numFmt w:val="decimal"/>
      <w:lvlText w:val="%7."/>
      <w:lvlJc w:val="left"/>
      <w:pPr>
        <w:tabs>
          <w:tab w:val="num" w:pos="4320"/>
        </w:tabs>
        <w:ind w:left="4800" w:hanging="480"/>
      </w:pPr>
    </w:lvl>
    <w:lvl w:ilvl="7">
      <w:start w:val="8"/>
      <w:numFmt w:val="decimal"/>
      <w:lvlText w:val="%8."/>
      <w:lvlJc w:val="left"/>
      <w:pPr>
        <w:tabs>
          <w:tab w:val="num" w:pos="5040"/>
        </w:tabs>
        <w:ind w:left="5520" w:hanging="480"/>
      </w:pPr>
    </w:lvl>
    <w:lvl w:ilvl="8">
      <w:start w:val="8"/>
      <w:numFmt w:val="decimal"/>
      <w:lvlText w:val="%9."/>
      <w:lvlJc w:val="left"/>
      <w:pPr>
        <w:tabs>
          <w:tab w:val="num" w:pos="5760"/>
        </w:tabs>
        <w:ind w:left="6240" w:hanging="480"/>
      </w:pPr>
    </w:lvl>
  </w:abstractNum>
  <w:abstractNum w:abstractNumId="994110">
    <w:nsid w:val="91a27d85"/>
    <w:multiLevelType w:val="multilevel"/>
    <w:lvl w:ilvl="0">
      <w:start w:val="10"/>
      <w:numFmt w:val="decimal"/>
      <w:lvlText w:val="%1."/>
      <w:lvlJc w:val="left"/>
      <w:pPr>
        <w:tabs>
          <w:tab w:val="num" w:pos="0"/>
        </w:tabs>
        <w:ind w:left="480" w:hanging="480"/>
      </w:pPr>
    </w:lvl>
    <w:lvl w:ilvl="1">
      <w:start w:val="10"/>
      <w:numFmt w:val="decimal"/>
      <w:lvlText w:val="%2."/>
      <w:lvlJc w:val="left"/>
      <w:pPr>
        <w:tabs>
          <w:tab w:val="num" w:pos="720"/>
        </w:tabs>
        <w:ind w:left="1200" w:hanging="480"/>
      </w:pPr>
    </w:lvl>
    <w:lvl w:ilvl="2">
      <w:start w:val="10"/>
      <w:numFmt w:val="decimal"/>
      <w:lvlText w:val="%3."/>
      <w:lvlJc w:val="left"/>
      <w:pPr>
        <w:tabs>
          <w:tab w:val="num" w:pos="1440"/>
        </w:tabs>
        <w:ind w:left="1920" w:hanging="480"/>
      </w:pPr>
    </w:lvl>
    <w:lvl w:ilvl="3">
      <w:start w:val="10"/>
      <w:numFmt w:val="decimal"/>
      <w:lvlText w:val="%4."/>
      <w:lvlJc w:val="left"/>
      <w:pPr>
        <w:tabs>
          <w:tab w:val="num" w:pos="2160"/>
        </w:tabs>
        <w:ind w:left="2640" w:hanging="480"/>
      </w:pPr>
    </w:lvl>
    <w:lvl w:ilvl="4">
      <w:start w:val="10"/>
      <w:numFmt w:val="decimal"/>
      <w:lvlText w:val="%5."/>
      <w:lvlJc w:val="left"/>
      <w:pPr>
        <w:tabs>
          <w:tab w:val="num" w:pos="2880"/>
        </w:tabs>
        <w:ind w:left="3360" w:hanging="480"/>
      </w:pPr>
    </w:lvl>
    <w:lvl w:ilvl="5">
      <w:start w:val="10"/>
      <w:numFmt w:val="decimal"/>
      <w:lvlText w:val="%6."/>
      <w:lvlJc w:val="left"/>
      <w:pPr>
        <w:tabs>
          <w:tab w:val="num" w:pos="3600"/>
        </w:tabs>
        <w:ind w:left="4080" w:hanging="480"/>
      </w:pPr>
    </w:lvl>
    <w:lvl w:ilvl="6">
      <w:start w:val="10"/>
      <w:numFmt w:val="decimal"/>
      <w:lvlText w:val="%7."/>
      <w:lvlJc w:val="left"/>
      <w:pPr>
        <w:tabs>
          <w:tab w:val="num" w:pos="4320"/>
        </w:tabs>
        <w:ind w:left="4800" w:hanging="480"/>
      </w:pPr>
    </w:lvl>
    <w:lvl w:ilvl="7">
      <w:start w:val="10"/>
      <w:numFmt w:val="decimal"/>
      <w:lvlText w:val="%8."/>
      <w:lvlJc w:val="left"/>
      <w:pPr>
        <w:tabs>
          <w:tab w:val="num" w:pos="5040"/>
        </w:tabs>
        <w:ind w:left="5520" w:hanging="480"/>
      </w:pPr>
    </w:lvl>
    <w:lvl w:ilvl="8">
      <w:start w:val="10"/>
      <w:numFmt w:val="decimal"/>
      <w:lvlText w:val="%9."/>
      <w:lvlJc w:val="left"/>
      <w:pPr>
        <w:tabs>
          <w:tab w:val="num" w:pos="5760"/>
        </w:tabs>
        <w:ind w:left="6240" w:hanging="480"/>
      </w:pPr>
    </w:lvl>
  </w:abstractNum>
  <w:abstractNum w:abstractNumId="994111">
    <w:nsid w:val="615f1ed2"/>
    <w:multiLevelType w:val="multilevel"/>
    <w:lvl w:ilvl="0">
      <w:start w:val="11"/>
      <w:numFmt w:val="decimal"/>
      <w:lvlText w:val="%1."/>
      <w:lvlJc w:val="left"/>
      <w:pPr>
        <w:tabs>
          <w:tab w:val="num" w:pos="0"/>
        </w:tabs>
        <w:ind w:left="480" w:hanging="480"/>
      </w:pPr>
    </w:lvl>
    <w:lvl w:ilvl="1">
      <w:start w:val="11"/>
      <w:numFmt w:val="decimal"/>
      <w:lvlText w:val="%2."/>
      <w:lvlJc w:val="left"/>
      <w:pPr>
        <w:tabs>
          <w:tab w:val="num" w:pos="720"/>
        </w:tabs>
        <w:ind w:left="1200" w:hanging="480"/>
      </w:pPr>
    </w:lvl>
    <w:lvl w:ilvl="2">
      <w:start w:val="11"/>
      <w:numFmt w:val="decimal"/>
      <w:lvlText w:val="%3."/>
      <w:lvlJc w:val="left"/>
      <w:pPr>
        <w:tabs>
          <w:tab w:val="num" w:pos="1440"/>
        </w:tabs>
        <w:ind w:left="1920" w:hanging="480"/>
      </w:pPr>
    </w:lvl>
    <w:lvl w:ilvl="3">
      <w:start w:val="11"/>
      <w:numFmt w:val="decimal"/>
      <w:lvlText w:val="%4."/>
      <w:lvlJc w:val="left"/>
      <w:pPr>
        <w:tabs>
          <w:tab w:val="num" w:pos="2160"/>
        </w:tabs>
        <w:ind w:left="2640" w:hanging="480"/>
      </w:pPr>
    </w:lvl>
    <w:lvl w:ilvl="4">
      <w:start w:val="11"/>
      <w:numFmt w:val="decimal"/>
      <w:lvlText w:val="%5."/>
      <w:lvlJc w:val="left"/>
      <w:pPr>
        <w:tabs>
          <w:tab w:val="num" w:pos="2880"/>
        </w:tabs>
        <w:ind w:left="3360" w:hanging="480"/>
      </w:pPr>
    </w:lvl>
    <w:lvl w:ilvl="5">
      <w:start w:val="11"/>
      <w:numFmt w:val="decimal"/>
      <w:lvlText w:val="%6."/>
      <w:lvlJc w:val="left"/>
      <w:pPr>
        <w:tabs>
          <w:tab w:val="num" w:pos="3600"/>
        </w:tabs>
        <w:ind w:left="4080" w:hanging="480"/>
      </w:pPr>
    </w:lvl>
    <w:lvl w:ilvl="6">
      <w:start w:val="11"/>
      <w:numFmt w:val="decimal"/>
      <w:lvlText w:val="%7."/>
      <w:lvlJc w:val="left"/>
      <w:pPr>
        <w:tabs>
          <w:tab w:val="num" w:pos="4320"/>
        </w:tabs>
        <w:ind w:left="4800" w:hanging="480"/>
      </w:pPr>
    </w:lvl>
    <w:lvl w:ilvl="7">
      <w:start w:val="11"/>
      <w:numFmt w:val="decimal"/>
      <w:lvlText w:val="%8."/>
      <w:lvlJc w:val="left"/>
      <w:pPr>
        <w:tabs>
          <w:tab w:val="num" w:pos="5040"/>
        </w:tabs>
        <w:ind w:left="5520" w:hanging="480"/>
      </w:pPr>
    </w:lvl>
    <w:lvl w:ilvl="8">
      <w:start w:val="11"/>
      <w:numFmt w:val="decimal"/>
      <w:lvlText w:val="%9."/>
      <w:lvlJc w:val="left"/>
      <w:pPr>
        <w:tabs>
          <w:tab w:val="num" w:pos="5760"/>
        </w:tabs>
        <w:ind w:left="6240" w:hanging="480"/>
      </w:pPr>
    </w:lvl>
  </w:abstractNum>
  <w:abstractNum w:abstractNumId="994112">
    <w:nsid w:val="238d8174"/>
    <w:multiLevelType w:val="multilevel"/>
    <w:lvl w:ilvl="0">
      <w:start w:val="12"/>
      <w:numFmt w:val="decimal"/>
      <w:lvlText w:val="%1."/>
      <w:lvlJc w:val="left"/>
      <w:pPr>
        <w:tabs>
          <w:tab w:val="num" w:pos="0"/>
        </w:tabs>
        <w:ind w:left="480" w:hanging="480"/>
      </w:pPr>
    </w:lvl>
    <w:lvl w:ilvl="1">
      <w:start w:val="12"/>
      <w:numFmt w:val="decimal"/>
      <w:lvlText w:val="%2."/>
      <w:lvlJc w:val="left"/>
      <w:pPr>
        <w:tabs>
          <w:tab w:val="num" w:pos="720"/>
        </w:tabs>
        <w:ind w:left="1200" w:hanging="480"/>
      </w:pPr>
    </w:lvl>
    <w:lvl w:ilvl="2">
      <w:start w:val="12"/>
      <w:numFmt w:val="decimal"/>
      <w:lvlText w:val="%3."/>
      <w:lvlJc w:val="left"/>
      <w:pPr>
        <w:tabs>
          <w:tab w:val="num" w:pos="1440"/>
        </w:tabs>
        <w:ind w:left="1920" w:hanging="480"/>
      </w:pPr>
    </w:lvl>
    <w:lvl w:ilvl="3">
      <w:start w:val="12"/>
      <w:numFmt w:val="decimal"/>
      <w:lvlText w:val="%4."/>
      <w:lvlJc w:val="left"/>
      <w:pPr>
        <w:tabs>
          <w:tab w:val="num" w:pos="2160"/>
        </w:tabs>
        <w:ind w:left="2640" w:hanging="480"/>
      </w:pPr>
    </w:lvl>
    <w:lvl w:ilvl="4">
      <w:start w:val="12"/>
      <w:numFmt w:val="decimal"/>
      <w:lvlText w:val="%5."/>
      <w:lvlJc w:val="left"/>
      <w:pPr>
        <w:tabs>
          <w:tab w:val="num" w:pos="2880"/>
        </w:tabs>
        <w:ind w:left="3360" w:hanging="480"/>
      </w:pPr>
    </w:lvl>
    <w:lvl w:ilvl="5">
      <w:start w:val="12"/>
      <w:numFmt w:val="decimal"/>
      <w:lvlText w:val="%6."/>
      <w:lvlJc w:val="left"/>
      <w:pPr>
        <w:tabs>
          <w:tab w:val="num" w:pos="3600"/>
        </w:tabs>
        <w:ind w:left="4080" w:hanging="480"/>
      </w:pPr>
    </w:lvl>
    <w:lvl w:ilvl="6">
      <w:start w:val="12"/>
      <w:numFmt w:val="decimal"/>
      <w:lvlText w:val="%7."/>
      <w:lvlJc w:val="left"/>
      <w:pPr>
        <w:tabs>
          <w:tab w:val="num" w:pos="4320"/>
        </w:tabs>
        <w:ind w:left="4800" w:hanging="480"/>
      </w:pPr>
    </w:lvl>
    <w:lvl w:ilvl="7">
      <w:start w:val="12"/>
      <w:numFmt w:val="decimal"/>
      <w:lvlText w:val="%8."/>
      <w:lvlJc w:val="left"/>
      <w:pPr>
        <w:tabs>
          <w:tab w:val="num" w:pos="5040"/>
        </w:tabs>
        <w:ind w:left="5520" w:hanging="480"/>
      </w:pPr>
    </w:lvl>
    <w:lvl w:ilvl="8">
      <w:start w:val="12"/>
      <w:numFmt w:val="decimal"/>
      <w:lvlText w:val="%9."/>
      <w:lvlJc w:val="left"/>
      <w:pPr>
        <w:tabs>
          <w:tab w:val="num" w:pos="5760"/>
        </w:tabs>
        <w:ind w:left="6240" w:hanging="480"/>
      </w:pPr>
    </w:lvl>
  </w:abstractNum>
  <w:abstractNum w:abstractNumId="994117">
    <w:nsid w:val="41f388d6"/>
    <w:multiLevelType w:val="multilevel"/>
    <w:lvl w:ilvl="0">
      <w:start w:val="17"/>
      <w:numFmt w:val="decimal"/>
      <w:lvlText w:val="%1."/>
      <w:lvlJc w:val="left"/>
      <w:pPr>
        <w:tabs>
          <w:tab w:val="num" w:pos="0"/>
        </w:tabs>
        <w:ind w:left="480" w:hanging="480"/>
      </w:pPr>
    </w:lvl>
    <w:lvl w:ilvl="1">
      <w:start w:val="17"/>
      <w:numFmt w:val="decimal"/>
      <w:lvlText w:val="%2."/>
      <w:lvlJc w:val="left"/>
      <w:pPr>
        <w:tabs>
          <w:tab w:val="num" w:pos="720"/>
        </w:tabs>
        <w:ind w:left="1200" w:hanging="480"/>
      </w:pPr>
    </w:lvl>
    <w:lvl w:ilvl="2">
      <w:start w:val="17"/>
      <w:numFmt w:val="decimal"/>
      <w:lvlText w:val="%3."/>
      <w:lvlJc w:val="left"/>
      <w:pPr>
        <w:tabs>
          <w:tab w:val="num" w:pos="1440"/>
        </w:tabs>
        <w:ind w:left="1920" w:hanging="480"/>
      </w:pPr>
    </w:lvl>
    <w:lvl w:ilvl="3">
      <w:start w:val="17"/>
      <w:numFmt w:val="decimal"/>
      <w:lvlText w:val="%4."/>
      <w:lvlJc w:val="left"/>
      <w:pPr>
        <w:tabs>
          <w:tab w:val="num" w:pos="2160"/>
        </w:tabs>
        <w:ind w:left="2640" w:hanging="480"/>
      </w:pPr>
    </w:lvl>
    <w:lvl w:ilvl="4">
      <w:start w:val="17"/>
      <w:numFmt w:val="decimal"/>
      <w:lvlText w:val="%5."/>
      <w:lvlJc w:val="left"/>
      <w:pPr>
        <w:tabs>
          <w:tab w:val="num" w:pos="2880"/>
        </w:tabs>
        <w:ind w:left="3360" w:hanging="480"/>
      </w:pPr>
    </w:lvl>
    <w:lvl w:ilvl="5">
      <w:start w:val="17"/>
      <w:numFmt w:val="decimal"/>
      <w:lvlText w:val="%6."/>
      <w:lvlJc w:val="left"/>
      <w:pPr>
        <w:tabs>
          <w:tab w:val="num" w:pos="3600"/>
        </w:tabs>
        <w:ind w:left="4080" w:hanging="480"/>
      </w:pPr>
    </w:lvl>
    <w:lvl w:ilvl="6">
      <w:start w:val="17"/>
      <w:numFmt w:val="decimal"/>
      <w:lvlText w:val="%7."/>
      <w:lvlJc w:val="left"/>
      <w:pPr>
        <w:tabs>
          <w:tab w:val="num" w:pos="4320"/>
        </w:tabs>
        <w:ind w:left="4800" w:hanging="480"/>
      </w:pPr>
    </w:lvl>
    <w:lvl w:ilvl="7">
      <w:start w:val="17"/>
      <w:numFmt w:val="decimal"/>
      <w:lvlText w:val="%8."/>
      <w:lvlJc w:val="left"/>
      <w:pPr>
        <w:tabs>
          <w:tab w:val="num" w:pos="5040"/>
        </w:tabs>
        <w:ind w:left="5520" w:hanging="480"/>
      </w:pPr>
    </w:lvl>
    <w:lvl w:ilvl="8">
      <w:start w:val="17"/>
      <w:numFmt w:val="decimal"/>
      <w:lvlText w:val="%9."/>
      <w:lvlJc w:val="left"/>
      <w:pPr>
        <w:tabs>
          <w:tab w:val="num" w:pos="5760"/>
        </w:tabs>
        <w:ind w:left="6240" w:hanging="480"/>
      </w:pPr>
    </w:lvl>
  </w:abstractNum>
  <w:abstractNum w:abstractNumId="994121">
    <w:nsid w:val="da4300bd"/>
    <w:multiLevelType w:val="multilevel"/>
    <w:lvl w:ilvl="0">
      <w:start w:val="21"/>
      <w:numFmt w:val="decimal"/>
      <w:lvlText w:val="%1."/>
      <w:lvlJc w:val="left"/>
      <w:pPr>
        <w:tabs>
          <w:tab w:val="num" w:pos="0"/>
        </w:tabs>
        <w:ind w:left="480" w:hanging="480"/>
      </w:pPr>
    </w:lvl>
    <w:lvl w:ilvl="1">
      <w:start w:val="21"/>
      <w:numFmt w:val="decimal"/>
      <w:lvlText w:val="%2."/>
      <w:lvlJc w:val="left"/>
      <w:pPr>
        <w:tabs>
          <w:tab w:val="num" w:pos="720"/>
        </w:tabs>
        <w:ind w:left="1200" w:hanging="480"/>
      </w:pPr>
    </w:lvl>
    <w:lvl w:ilvl="2">
      <w:start w:val="21"/>
      <w:numFmt w:val="decimal"/>
      <w:lvlText w:val="%3."/>
      <w:lvlJc w:val="left"/>
      <w:pPr>
        <w:tabs>
          <w:tab w:val="num" w:pos="1440"/>
        </w:tabs>
        <w:ind w:left="1920" w:hanging="480"/>
      </w:pPr>
    </w:lvl>
    <w:lvl w:ilvl="3">
      <w:start w:val="21"/>
      <w:numFmt w:val="decimal"/>
      <w:lvlText w:val="%4."/>
      <w:lvlJc w:val="left"/>
      <w:pPr>
        <w:tabs>
          <w:tab w:val="num" w:pos="2160"/>
        </w:tabs>
        <w:ind w:left="2640" w:hanging="480"/>
      </w:pPr>
    </w:lvl>
    <w:lvl w:ilvl="4">
      <w:start w:val="21"/>
      <w:numFmt w:val="decimal"/>
      <w:lvlText w:val="%5."/>
      <w:lvlJc w:val="left"/>
      <w:pPr>
        <w:tabs>
          <w:tab w:val="num" w:pos="2880"/>
        </w:tabs>
        <w:ind w:left="3360" w:hanging="480"/>
      </w:pPr>
    </w:lvl>
    <w:lvl w:ilvl="5">
      <w:start w:val="21"/>
      <w:numFmt w:val="decimal"/>
      <w:lvlText w:val="%6."/>
      <w:lvlJc w:val="left"/>
      <w:pPr>
        <w:tabs>
          <w:tab w:val="num" w:pos="3600"/>
        </w:tabs>
        <w:ind w:left="4080" w:hanging="480"/>
      </w:pPr>
    </w:lvl>
    <w:lvl w:ilvl="6">
      <w:start w:val="21"/>
      <w:numFmt w:val="decimal"/>
      <w:lvlText w:val="%7."/>
      <w:lvlJc w:val="left"/>
      <w:pPr>
        <w:tabs>
          <w:tab w:val="num" w:pos="4320"/>
        </w:tabs>
        <w:ind w:left="4800" w:hanging="480"/>
      </w:pPr>
    </w:lvl>
    <w:lvl w:ilvl="7">
      <w:start w:val="21"/>
      <w:numFmt w:val="decimal"/>
      <w:lvlText w:val="%8."/>
      <w:lvlJc w:val="left"/>
      <w:pPr>
        <w:tabs>
          <w:tab w:val="num" w:pos="5040"/>
        </w:tabs>
        <w:ind w:left="5520" w:hanging="480"/>
      </w:pPr>
    </w:lvl>
    <w:lvl w:ilvl="8">
      <w:start w:val="21"/>
      <w:numFmt w:val="decimal"/>
      <w:lvlText w:val="%9."/>
      <w:lvlJc w:val="left"/>
      <w:pPr>
        <w:tabs>
          <w:tab w:val="num" w:pos="5760"/>
        </w:tabs>
        <w:ind w:left="6240" w:hanging="480"/>
      </w:pPr>
    </w:lvl>
  </w:abstractNum>
  <w:abstractNum w:abstractNumId="994123">
    <w:nsid w:val="8c1c03f9"/>
    <w:multiLevelType w:val="multilevel"/>
    <w:lvl w:ilvl="0">
      <w:start w:val="23"/>
      <w:numFmt w:val="decimal"/>
      <w:lvlText w:val="%1."/>
      <w:lvlJc w:val="left"/>
      <w:pPr>
        <w:tabs>
          <w:tab w:val="num" w:pos="0"/>
        </w:tabs>
        <w:ind w:left="480" w:hanging="480"/>
      </w:pPr>
    </w:lvl>
    <w:lvl w:ilvl="1">
      <w:start w:val="23"/>
      <w:numFmt w:val="decimal"/>
      <w:lvlText w:val="%2."/>
      <w:lvlJc w:val="left"/>
      <w:pPr>
        <w:tabs>
          <w:tab w:val="num" w:pos="720"/>
        </w:tabs>
        <w:ind w:left="1200" w:hanging="480"/>
      </w:pPr>
    </w:lvl>
    <w:lvl w:ilvl="2">
      <w:start w:val="23"/>
      <w:numFmt w:val="decimal"/>
      <w:lvlText w:val="%3."/>
      <w:lvlJc w:val="left"/>
      <w:pPr>
        <w:tabs>
          <w:tab w:val="num" w:pos="1440"/>
        </w:tabs>
        <w:ind w:left="1920" w:hanging="480"/>
      </w:pPr>
    </w:lvl>
    <w:lvl w:ilvl="3">
      <w:start w:val="23"/>
      <w:numFmt w:val="decimal"/>
      <w:lvlText w:val="%4."/>
      <w:lvlJc w:val="left"/>
      <w:pPr>
        <w:tabs>
          <w:tab w:val="num" w:pos="2160"/>
        </w:tabs>
        <w:ind w:left="2640" w:hanging="480"/>
      </w:pPr>
    </w:lvl>
    <w:lvl w:ilvl="4">
      <w:start w:val="23"/>
      <w:numFmt w:val="decimal"/>
      <w:lvlText w:val="%5."/>
      <w:lvlJc w:val="left"/>
      <w:pPr>
        <w:tabs>
          <w:tab w:val="num" w:pos="2880"/>
        </w:tabs>
        <w:ind w:left="3360" w:hanging="480"/>
      </w:pPr>
    </w:lvl>
    <w:lvl w:ilvl="5">
      <w:start w:val="23"/>
      <w:numFmt w:val="decimal"/>
      <w:lvlText w:val="%6."/>
      <w:lvlJc w:val="left"/>
      <w:pPr>
        <w:tabs>
          <w:tab w:val="num" w:pos="3600"/>
        </w:tabs>
        <w:ind w:left="4080" w:hanging="480"/>
      </w:pPr>
    </w:lvl>
    <w:lvl w:ilvl="6">
      <w:start w:val="23"/>
      <w:numFmt w:val="decimal"/>
      <w:lvlText w:val="%7."/>
      <w:lvlJc w:val="left"/>
      <w:pPr>
        <w:tabs>
          <w:tab w:val="num" w:pos="4320"/>
        </w:tabs>
        <w:ind w:left="4800" w:hanging="480"/>
      </w:pPr>
    </w:lvl>
    <w:lvl w:ilvl="7">
      <w:start w:val="23"/>
      <w:numFmt w:val="decimal"/>
      <w:lvlText w:val="%8."/>
      <w:lvlJc w:val="left"/>
      <w:pPr>
        <w:tabs>
          <w:tab w:val="num" w:pos="5040"/>
        </w:tabs>
        <w:ind w:left="5520" w:hanging="480"/>
      </w:pPr>
    </w:lvl>
    <w:lvl w:ilvl="8">
      <w:start w:val="23"/>
      <w:numFmt w:val="decimal"/>
      <w:lvlText w:val="%9."/>
      <w:lvlJc w:val="left"/>
      <w:pPr>
        <w:tabs>
          <w:tab w:val="num" w:pos="5760"/>
        </w:tabs>
        <w:ind w:left="6240" w:hanging="480"/>
      </w:pPr>
    </w:lvl>
  </w:abstractNum>
  <w:abstractNum w:abstractNumId="994124">
    <w:nsid w:val="5504a012"/>
    <w:multiLevelType w:val="multilevel"/>
    <w:lvl w:ilvl="0">
      <w:start w:val="24"/>
      <w:numFmt w:val="decimal"/>
      <w:lvlText w:val="%1."/>
      <w:lvlJc w:val="left"/>
      <w:pPr>
        <w:tabs>
          <w:tab w:val="num" w:pos="0"/>
        </w:tabs>
        <w:ind w:left="480" w:hanging="480"/>
      </w:pPr>
    </w:lvl>
    <w:lvl w:ilvl="1">
      <w:start w:val="24"/>
      <w:numFmt w:val="decimal"/>
      <w:lvlText w:val="%2."/>
      <w:lvlJc w:val="left"/>
      <w:pPr>
        <w:tabs>
          <w:tab w:val="num" w:pos="720"/>
        </w:tabs>
        <w:ind w:left="1200" w:hanging="480"/>
      </w:pPr>
    </w:lvl>
    <w:lvl w:ilvl="2">
      <w:start w:val="24"/>
      <w:numFmt w:val="decimal"/>
      <w:lvlText w:val="%3."/>
      <w:lvlJc w:val="left"/>
      <w:pPr>
        <w:tabs>
          <w:tab w:val="num" w:pos="1440"/>
        </w:tabs>
        <w:ind w:left="1920" w:hanging="480"/>
      </w:pPr>
    </w:lvl>
    <w:lvl w:ilvl="3">
      <w:start w:val="24"/>
      <w:numFmt w:val="decimal"/>
      <w:lvlText w:val="%4."/>
      <w:lvlJc w:val="left"/>
      <w:pPr>
        <w:tabs>
          <w:tab w:val="num" w:pos="2160"/>
        </w:tabs>
        <w:ind w:left="2640" w:hanging="480"/>
      </w:pPr>
    </w:lvl>
    <w:lvl w:ilvl="4">
      <w:start w:val="24"/>
      <w:numFmt w:val="decimal"/>
      <w:lvlText w:val="%5."/>
      <w:lvlJc w:val="left"/>
      <w:pPr>
        <w:tabs>
          <w:tab w:val="num" w:pos="2880"/>
        </w:tabs>
        <w:ind w:left="3360" w:hanging="480"/>
      </w:pPr>
    </w:lvl>
    <w:lvl w:ilvl="5">
      <w:start w:val="24"/>
      <w:numFmt w:val="decimal"/>
      <w:lvlText w:val="%6."/>
      <w:lvlJc w:val="left"/>
      <w:pPr>
        <w:tabs>
          <w:tab w:val="num" w:pos="3600"/>
        </w:tabs>
        <w:ind w:left="4080" w:hanging="480"/>
      </w:pPr>
    </w:lvl>
    <w:lvl w:ilvl="6">
      <w:start w:val="24"/>
      <w:numFmt w:val="decimal"/>
      <w:lvlText w:val="%7."/>
      <w:lvlJc w:val="left"/>
      <w:pPr>
        <w:tabs>
          <w:tab w:val="num" w:pos="4320"/>
        </w:tabs>
        <w:ind w:left="4800" w:hanging="480"/>
      </w:pPr>
    </w:lvl>
    <w:lvl w:ilvl="7">
      <w:start w:val="24"/>
      <w:numFmt w:val="decimal"/>
      <w:lvlText w:val="%8."/>
      <w:lvlJc w:val="left"/>
      <w:pPr>
        <w:tabs>
          <w:tab w:val="num" w:pos="5040"/>
        </w:tabs>
        <w:ind w:left="5520" w:hanging="480"/>
      </w:pPr>
    </w:lvl>
    <w:lvl w:ilvl="8">
      <w:start w:val="24"/>
      <w:numFmt w:val="decimal"/>
      <w:lvlText w:val="%9."/>
      <w:lvlJc w:val="left"/>
      <w:pPr>
        <w:tabs>
          <w:tab w:val="num" w:pos="5760"/>
        </w:tabs>
        <w:ind w:left="6240" w:hanging="480"/>
      </w:pPr>
    </w:lvl>
  </w:abstractNum>
  <w:abstractNum w:abstractNumId="994125">
    <w:nsid w:val="5a538d88"/>
    <w:multiLevelType w:val="multilevel"/>
    <w:lvl w:ilvl="0">
      <w:start w:val="25"/>
      <w:numFmt w:val="decimal"/>
      <w:lvlText w:val="%1."/>
      <w:lvlJc w:val="left"/>
      <w:pPr>
        <w:tabs>
          <w:tab w:val="num" w:pos="0"/>
        </w:tabs>
        <w:ind w:left="480" w:hanging="480"/>
      </w:pPr>
    </w:lvl>
    <w:lvl w:ilvl="1">
      <w:start w:val="25"/>
      <w:numFmt w:val="decimal"/>
      <w:lvlText w:val="%2."/>
      <w:lvlJc w:val="left"/>
      <w:pPr>
        <w:tabs>
          <w:tab w:val="num" w:pos="720"/>
        </w:tabs>
        <w:ind w:left="1200" w:hanging="480"/>
      </w:pPr>
    </w:lvl>
    <w:lvl w:ilvl="2">
      <w:start w:val="25"/>
      <w:numFmt w:val="decimal"/>
      <w:lvlText w:val="%3."/>
      <w:lvlJc w:val="left"/>
      <w:pPr>
        <w:tabs>
          <w:tab w:val="num" w:pos="1440"/>
        </w:tabs>
        <w:ind w:left="1920" w:hanging="480"/>
      </w:pPr>
    </w:lvl>
    <w:lvl w:ilvl="3">
      <w:start w:val="25"/>
      <w:numFmt w:val="decimal"/>
      <w:lvlText w:val="%4."/>
      <w:lvlJc w:val="left"/>
      <w:pPr>
        <w:tabs>
          <w:tab w:val="num" w:pos="2160"/>
        </w:tabs>
        <w:ind w:left="2640" w:hanging="480"/>
      </w:pPr>
    </w:lvl>
    <w:lvl w:ilvl="4">
      <w:start w:val="25"/>
      <w:numFmt w:val="decimal"/>
      <w:lvlText w:val="%5."/>
      <w:lvlJc w:val="left"/>
      <w:pPr>
        <w:tabs>
          <w:tab w:val="num" w:pos="2880"/>
        </w:tabs>
        <w:ind w:left="3360" w:hanging="480"/>
      </w:pPr>
    </w:lvl>
    <w:lvl w:ilvl="5">
      <w:start w:val="25"/>
      <w:numFmt w:val="decimal"/>
      <w:lvlText w:val="%6."/>
      <w:lvlJc w:val="left"/>
      <w:pPr>
        <w:tabs>
          <w:tab w:val="num" w:pos="3600"/>
        </w:tabs>
        <w:ind w:left="4080" w:hanging="480"/>
      </w:pPr>
    </w:lvl>
    <w:lvl w:ilvl="6">
      <w:start w:val="25"/>
      <w:numFmt w:val="decimal"/>
      <w:lvlText w:val="%7."/>
      <w:lvlJc w:val="left"/>
      <w:pPr>
        <w:tabs>
          <w:tab w:val="num" w:pos="4320"/>
        </w:tabs>
        <w:ind w:left="4800" w:hanging="480"/>
      </w:pPr>
    </w:lvl>
    <w:lvl w:ilvl="7">
      <w:start w:val="25"/>
      <w:numFmt w:val="decimal"/>
      <w:lvlText w:val="%8."/>
      <w:lvlJc w:val="left"/>
      <w:pPr>
        <w:tabs>
          <w:tab w:val="num" w:pos="5040"/>
        </w:tabs>
        <w:ind w:left="5520" w:hanging="480"/>
      </w:pPr>
    </w:lvl>
    <w:lvl w:ilvl="8">
      <w:start w:val="25"/>
      <w:numFmt w:val="decimal"/>
      <w:lvlText w:val="%9."/>
      <w:lvlJc w:val="left"/>
      <w:pPr>
        <w:tabs>
          <w:tab w:val="num" w:pos="5760"/>
        </w:tabs>
        <w:ind w:left="6240" w:hanging="480"/>
      </w:pPr>
    </w:lvl>
  </w:abstractNum>
  <w:abstractNum w:abstractNumId="994126">
    <w:nsid w:val="8a296d99"/>
    <w:multiLevelType w:val="multilevel"/>
    <w:lvl w:ilvl="0">
      <w:start w:val="26"/>
      <w:numFmt w:val="decimal"/>
      <w:lvlText w:val="%1."/>
      <w:lvlJc w:val="left"/>
      <w:pPr>
        <w:tabs>
          <w:tab w:val="num" w:pos="0"/>
        </w:tabs>
        <w:ind w:left="480" w:hanging="480"/>
      </w:pPr>
    </w:lvl>
    <w:lvl w:ilvl="1">
      <w:start w:val="26"/>
      <w:numFmt w:val="decimal"/>
      <w:lvlText w:val="%2."/>
      <w:lvlJc w:val="left"/>
      <w:pPr>
        <w:tabs>
          <w:tab w:val="num" w:pos="720"/>
        </w:tabs>
        <w:ind w:left="1200" w:hanging="480"/>
      </w:pPr>
    </w:lvl>
    <w:lvl w:ilvl="2">
      <w:start w:val="26"/>
      <w:numFmt w:val="decimal"/>
      <w:lvlText w:val="%3."/>
      <w:lvlJc w:val="left"/>
      <w:pPr>
        <w:tabs>
          <w:tab w:val="num" w:pos="1440"/>
        </w:tabs>
        <w:ind w:left="1920" w:hanging="480"/>
      </w:pPr>
    </w:lvl>
    <w:lvl w:ilvl="3">
      <w:start w:val="26"/>
      <w:numFmt w:val="decimal"/>
      <w:lvlText w:val="%4."/>
      <w:lvlJc w:val="left"/>
      <w:pPr>
        <w:tabs>
          <w:tab w:val="num" w:pos="2160"/>
        </w:tabs>
        <w:ind w:left="2640" w:hanging="480"/>
      </w:pPr>
    </w:lvl>
    <w:lvl w:ilvl="4">
      <w:start w:val="26"/>
      <w:numFmt w:val="decimal"/>
      <w:lvlText w:val="%5."/>
      <w:lvlJc w:val="left"/>
      <w:pPr>
        <w:tabs>
          <w:tab w:val="num" w:pos="2880"/>
        </w:tabs>
        <w:ind w:left="3360" w:hanging="480"/>
      </w:pPr>
    </w:lvl>
    <w:lvl w:ilvl="5">
      <w:start w:val="26"/>
      <w:numFmt w:val="decimal"/>
      <w:lvlText w:val="%6."/>
      <w:lvlJc w:val="left"/>
      <w:pPr>
        <w:tabs>
          <w:tab w:val="num" w:pos="3600"/>
        </w:tabs>
        <w:ind w:left="4080" w:hanging="480"/>
      </w:pPr>
    </w:lvl>
    <w:lvl w:ilvl="6">
      <w:start w:val="26"/>
      <w:numFmt w:val="decimal"/>
      <w:lvlText w:val="%7."/>
      <w:lvlJc w:val="left"/>
      <w:pPr>
        <w:tabs>
          <w:tab w:val="num" w:pos="4320"/>
        </w:tabs>
        <w:ind w:left="4800" w:hanging="480"/>
      </w:pPr>
    </w:lvl>
    <w:lvl w:ilvl="7">
      <w:start w:val="26"/>
      <w:numFmt w:val="decimal"/>
      <w:lvlText w:val="%8."/>
      <w:lvlJc w:val="left"/>
      <w:pPr>
        <w:tabs>
          <w:tab w:val="num" w:pos="5040"/>
        </w:tabs>
        <w:ind w:left="5520" w:hanging="480"/>
      </w:pPr>
    </w:lvl>
    <w:lvl w:ilvl="8">
      <w:start w:val="26"/>
      <w:numFmt w:val="decimal"/>
      <w:lvlText w:val="%9."/>
      <w:lvlJc w:val="left"/>
      <w:pPr>
        <w:tabs>
          <w:tab w:val="num" w:pos="5760"/>
        </w:tabs>
        <w:ind w:left="6240" w:hanging="480"/>
      </w:pPr>
    </w:lvl>
  </w:abstractNum>
  <w:abstractNum w:abstractNumId="994127">
    <w:nsid w:val="87b17300"/>
    <w:multiLevelType w:val="multilevel"/>
    <w:lvl w:ilvl="0">
      <w:start w:val="27"/>
      <w:numFmt w:val="decimal"/>
      <w:lvlText w:val="%1."/>
      <w:lvlJc w:val="left"/>
      <w:pPr>
        <w:tabs>
          <w:tab w:val="num" w:pos="0"/>
        </w:tabs>
        <w:ind w:left="480" w:hanging="480"/>
      </w:pPr>
    </w:lvl>
    <w:lvl w:ilvl="1">
      <w:start w:val="27"/>
      <w:numFmt w:val="decimal"/>
      <w:lvlText w:val="%2."/>
      <w:lvlJc w:val="left"/>
      <w:pPr>
        <w:tabs>
          <w:tab w:val="num" w:pos="720"/>
        </w:tabs>
        <w:ind w:left="1200" w:hanging="480"/>
      </w:pPr>
    </w:lvl>
    <w:lvl w:ilvl="2">
      <w:start w:val="27"/>
      <w:numFmt w:val="decimal"/>
      <w:lvlText w:val="%3."/>
      <w:lvlJc w:val="left"/>
      <w:pPr>
        <w:tabs>
          <w:tab w:val="num" w:pos="1440"/>
        </w:tabs>
        <w:ind w:left="1920" w:hanging="480"/>
      </w:pPr>
    </w:lvl>
    <w:lvl w:ilvl="3">
      <w:start w:val="27"/>
      <w:numFmt w:val="decimal"/>
      <w:lvlText w:val="%4."/>
      <w:lvlJc w:val="left"/>
      <w:pPr>
        <w:tabs>
          <w:tab w:val="num" w:pos="2160"/>
        </w:tabs>
        <w:ind w:left="2640" w:hanging="480"/>
      </w:pPr>
    </w:lvl>
    <w:lvl w:ilvl="4">
      <w:start w:val="27"/>
      <w:numFmt w:val="decimal"/>
      <w:lvlText w:val="%5."/>
      <w:lvlJc w:val="left"/>
      <w:pPr>
        <w:tabs>
          <w:tab w:val="num" w:pos="2880"/>
        </w:tabs>
        <w:ind w:left="3360" w:hanging="480"/>
      </w:pPr>
    </w:lvl>
    <w:lvl w:ilvl="5">
      <w:start w:val="27"/>
      <w:numFmt w:val="decimal"/>
      <w:lvlText w:val="%6."/>
      <w:lvlJc w:val="left"/>
      <w:pPr>
        <w:tabs>
          <w:tab w:val="num" w:pos="3600"/>
        </w:tabs>
        <w:ind w:left="4080" w:hanging="480"/>
      </w:pPr>
    </w:lvl>
    <w:lvl w:ilvl="6">
      <w:start w:val="27"/>
      <w:numFmt w:val="decimal"/>
      <w:lvlText w:val="%7."/>
      <w:lvlJc w:val="left"/>
      <w:pPr>
        <w:tabs>
          <w:tab w:val="num" w:pos="4320"/>
        </w:tabs>
        <w:ind w:left="4800" w:hanging="480"/>
      </w:pPr>
    </w:lvl>
    <w:lvl w:ilvl="7">
      <w:start w:val="27"/>
      <w:numFmt w:val="decimal"/>
      <w:lvlText w:val="%8."/>
      <w:lvlJc w:val="left"/>
      <w:pPr>
        <w:tabs>
          <w:tab w:val="num" w:pos="5040"/>
        </w:tabs>
        <w:ind w:left="5520" w:hanging="480"/>
      </w:pPr>
    </w:lvl>
    <w:lvl w:ilvl="8">
      <w:start w:val="27"/>
      <w:numFmt w:val="decimal"/>
      <w:lvlText w:val="%9."/>
      <w:lvlJc w:val="left"/>
      <w:pPr>
        <w:tabs>
          <w:tab w:val="num" w:pos="5760"/>
        </w:tabs>
        <w:ind w:left="6240" w:hanging="480"/>
      </w:pPr>
    </w:lvl>
  </w:abstractNum>
  <w:abstractNum w:abstractNumId="994128">
    <w:nsid w:val="7b86e438"/>
    <w:multiLevelType w:val="multilevel"/>
    <w:lvl w:ilvl="0">
      <w:start w:val="28"/>
      <w:numFmt w:val="decimal"/>
      <w:lvlText w:val="%1."/>
      <w:lvlJc w:val="left"/>
      <w:pPr>
        <w:tabs>
          <w:tab w:val="num" w:pos="0"/>
        </w:tabs>
        <w:ind w:left="480" w:hanging="480"/>
      </w:pPr>
    </w:lvl>
    <w:lvl w:ilvl="1">
      <w:start w:val="28"/>
      <w:numFmt w:val="decimal"/>
      <w:lvlText w:val="%2."/>
      <w:lvlJc w:val="left"/>
      <w:pPr>
        <w:tabs>
          <w:tab w:val="num" w:pos="720"/>
        </w:tabs>
        <w:ind w:left="1200" w:hanging="480"/>
      </w:pPr>
    </w:lvl>
    <w:lvl w:ilvl="2">
      <w:start w:val="28"/>
      <w:numFmt w:val="decimal"/>
      <w:lvlText w:val="%3."/>
      <w:lvlJc w:val="left"/>
      <w:pPr>
        <w:tabs>
          <w:tab w:val="num" w:pos="1440"/>
        </w:tabs>
        <w:ind w:left="1920" w:hanging="480"/>
      </w:pPr>
    </w:lvl>
    <w:lvl w:ilvl="3">
      <w:start w:val="28"/>
      <w:numFmt w:val="decimal"/>
      <w:lvlText w:val="%4."/>
      <w:lvlJc w:val="left"/>
      <w:pPr>
        <w:tabs>
          <w:tab w:val="num" w:pos="2160"/>
        </w:tabs>
        <w:ind w:left="2640" w:hanging="480"/>
      </w:pPr>
    </w:lvl>
    <w:lvl w:ilvl="4">
      <w:start w:val="28"/>
      <w:numFmt w:val="decimal"/>
      <w:lvlText w:val="%5."/>
      <w:lvlJc w:val="left"/>
      <w:pPr>
        <w:tabs>
          <w:tab w:val="num" w:pos="2880"/>
        </w:tabs>
        <w:ind w:left="3360" w:hanging="480"/>
      </w:pPr>
    </w:lvl>
    <w:lvl w:ilvl="5">
      <w:start w:val="28"/>
      <w:numFmt w:val="decimal"/>
      <w:lvlText w:val="%6."/>
      <w:lvlJc w:val="left"/>
      <w:pPr>
        <w:tabs>
          <w:tab w:val="num" w:pos="3600"/>
        </w:tabs>
        <w:ind w:left="4080" w:hanging="480"/>
      </w:pPr>
    </w:lvl>
    <w:lvl w:ilvl="6">
      <w:start w:val="28"/>
      <w:numFmt w:val="decimal"/>
      <w:lvlText w:val="%7."/>
      <w:lvlJc w:val="left"/>
      <w:pPr>
        <w:tabs>
          <w:tab w:val="num" w:pos="4320"/>
        </w:tabs>
        <w:ind w:left="4800" w:hanging="480"/>
      </w:pPr>
    </w:lvl>
    <w:lvl w:ilvl="7">
      <w:start w:val="28"/>
      <w:numFmt w:val="decimal"/>
      <w:lvlText w:val="%8."/>
      <w:lvlJc w:val="left"/>
      <w:pPr>
        <w:tabs>
          <w:tab w:val="num" w:pos="5040"/>
        </w:tabs>
        <w:ind w:left="5520" w:hanging="480"/>
      </w:pPr>
    </w:lvl>
    <w:lvl w:ilvl="8">
      <w:start w:val="28"/>
      <w:numFmt w:val="decimal"/>
      <w:lvlText w:val="%9."/>
      <w:lvlJc w:val="left"/>
      <w:pPr>
        <w:tabs>
          <w:tab w:val="num" w:pos="5760"/>
        </w:tabs>
        <w:ind w:left="6240" w:hanging="480"/>
      </w:pPr>
    </w:lvl>
  </w:abstractNum>
  <w:abstractNum w:abstractNumId="994129">
    <w:nsid w:val="387f082c"/>
    <w:multiLevelType w:val="multilevel"/>
    <w:lvl w:ilvl="0">
      <w:start w:val="29"/>
      <w:numFmt w:val="decimal"/>
      <w:lvlText w:val="%1."/>
      <w:lvlJc w:val="left"/>
      <w:pPr>
        <w:tabs>
          <w:tab w:val="num" w:pos="0"/>
        </w:tabs>
        <w:ind w:left="480" w:hanging="480"/>
      </w:pPr>
    </w:lvl>
    <w:lvl w:ilvl="1">
      <w:start w:val="29"/>
      <w:numFmt w:val="decimal"/>
      <w:lvlText w:val="%2."/>
      <w:lvlJc w:val="left"/>
      <w:pPr>
        <w:tabs>
          <w:tab w:val="num" w:pos="720"/>
        </w:tabs>
        <w:ind w:left="1200" w:hanging="480"/>
      </w:pPr>
    </w:lvl>
    <w:lvl w:ilvl="2">
      <w:start w:val="29"/>
      <w:numFmt w:val="decimal"/>
      <w:lvlText w:val="%3."/>
      <w:lvlJc w:val="left"/>
      <w:pPr>
        <w:tabs>
          <w:tab w:val="num" w:pos="1440"/>
        </w:tabs>
        <w:ind w:left="1920" w:hanging="480"/>
      </w:pPr>
    </w:lvl>
    <w:lvl w:ilvl="3">
      <w:start w:val="29"/>
      <w:numFmt w:val="decimal"/>
      <w:lvlText w:val="%4."/>
      <w:lvlJc w:val="left"/>
      <w:pPr>
        <w:tabs>
          <w:tab w:val="num" w:pos="2160"/>
        </w:tabs>
        <w:ind w:left="2640" w:hanging="480"/>
      </w:pPr>
    </w:lvl>
    <w:lvl w:ilvl="4">
      <w:start w:val="29"/>
      <w:numFmt w:val="decimal"/>
      <w:lvlText w:val="%5."/>
      <w:lvlJc w:val="left"/>
      <w:pPr>
        <w:tabs>
          <w:tab w:val="num" w:pos="2880"/>
        </w:tabs>
        <w:ind w:left="3360" w:hanging="480"/>
      </w:pPr>
    </w:lvl>
    <w:lvl w:ilvl="5">
      <w:start w:val="29"/>
      <w:numFmt w:val="decimal"/>
      <w:lvlText w:val="%6."/>
      <w:lvlJc w:val="left"/>
      <w:pPr>
        <w:tabs>
          <w:tab w:val="num" w:pos="3600"/>
        </w:tabs>
        <w:ind w:left="4080" w:hanging="480"/>
      </w:pPr>
    </w:lvl>
    <w:lvl w:ilvl="6">
      <w:start w:val="29"/>
      <w:numFmt w:val="decimal"/>
      <w:lvlText w:val="%7."/>
      <w:lvlJc w:val="left"/>
      <w:pPr>
        <w:tabs>
          <w:tab w:val="num" w:pos="4320"/>
        </w:tabs>
        <w:ind w:left="4800" w:hanging="480"/>
      </w:pPr>
    </w:lvl>
    <w:lvl w:ilvl="7">
      <w:start w:val="29"/>
      <w:numFmt w:val="decimal"/>
      <w:lvlText w:val="%8."/>
      <w:lvlJc w:val="left"/>
      <w:pPr>
        <w:tabs>
          <w:tab w:val="num" w:pos="5040"/>
        </w:tabs>
        <w:ind w:left="5520" w:hanging="480"/>
      </w:pPr>
    </w:lvl>
    <w:lvl w:ilvl="8">
      <w:start w:val="29"/>
      <w:numFmt w:val="decimal"/>
      <w:lvlText w:val="%9."/>
      <w:lvlJc w:val="left"/>
      <w:pPr>
        <w:tabs>
          <w:tab w:val="num" w:pos="5760"/>
        </w:tabs>
        <w:ind w:left="6240" w:hanging="480"/>
      </w:pPr>
    </w:lvl>
  </w:abstractNum>
  <w:abstractNum w:abstractNumId="99721">
    <w:nsid w:val="cebfcc7d"/>
    <w:multiLevelType w:val="multilevel"/>
    <w:lvl w:ilvl="0">
      <w:start w:val="1"/>
      <w:numFmt w:val="lowerLetter"/>
      <w:lvlText w:val="%1)"/>
      <w:lvlJc w:val="left"/>
      <w:pPr>
        <w:tabs>
          <w:tab w:val="num" w:pos="0"/>
        </w:tabs>
        <w:ind w:left="480" w:hanging="480"/>
      </w:pPr>
    </w:lvl>
    <w:lvl w:ilvl="1">
      <w:start w:val="1"/>
      <w:numFmt w:val="lowerLetter"/>
      <w:lvlText w:val="%2)"/>
      <w:lvlJc w:val="left"/>
      <w:pPr>
        <w:tabs>
          <w:tab w:val="num" w:pos="720"/>
        </w:tabs>
        <w:ind w:left="1200" w:hanging="480"/>
      </w:pPr>
    </w:lvl>
    <w:lvl w:ilvl="2">
      <w:start w:val="1"/>
      <w:numFmt w:val="lowerLetter"/>
      <w:lvlText w:val="%3)"/>
      <w:lvlJc w:val="left"/>
      <w:pPr>
        <w:tabs>
          <w:tab w:val="num" w:pos="1440"/>
        </w:tabs>
        <w:ind w:left="1920" w:hanging="480"/>
      </w:pPr>
    </w:lvl>
    <w:lvl w:ilvl="3">
      <w:start w:val="1"/>
      <w:numFmt w:val="lowerLetter"/>
      <w:lvlText w:val="%4)"/>
      <w:lvlJc w:val="left"/>
      <w:pPr>
        <w:tabs>
          <w:tab w:val="num" w:pos="2160"/>
        </w:tabs>
        <w:ind w:left="2640" w:hanging="480"/>
      </w:pPr>
    </w:lvl>
    <w:lvl w:ilvl="4">
      <w:start w:val="1"/>
      <w:numFmt w:val="lowerLetter"/>
      <w:lvlText w:val="%5)"/>
      <w:lvlJc w:val="left"/>
      <w:pPr>
        <w:tabs>
          <w:tab w:val="num" w:pos="2880"/>
        </w:tabs>
        <w:ind w:left="3360" w:hanging="480"/>
      </w:pPr>
    </w:lvl>
    <w:lvl w:ilvl="5">
      <w:start w:val="1"/>
      <w:numFmt w:val="lowerLetter"/>
      <w:lvlText w:val="%6)"/>
      <w:lvlJc w:val="left"/>
      <w:pPr>
        <w:tabs>
          <w:tab w:val="num" w:pos="3600"/>
        </w:tabs>
        <w:ind w:left="4080" w:hanging="480"/>
      </w:pPr>
    </w:lvl>
    <w:lvl w:ilvl="6">
      <w:start w:val="1"/>
      <w:numFmt w:val="lowerLetter"/>
      <w:lvlText w:val="%7)"/>
      <w:lvlJc w:val="left"/>
      <w:pPr>
        <w:tabs>
          <w:tab w:val="num" w:pos="4320"/>
        </w:tabs>
        <w:ind w:left="4800" w:hanging="480"/>
      </w:pPr>
    </w:lvl>
    <w:lvl w:ilvl="7">
      <w:start w:val="1"/>
      <w:numFmt w:val="lowerLetter"/>
      <w:lvlText w:val="%8)"/>
      <w:lvlJc w:val="left"/>
      <w:pPr>
        <w:tabs>
          <w:tab w:val="num" w:pos="5040"/>
        </w:tabs>
        <w:ind w:left="5520" w:hanging="480"/>
      </w:pPr>
    </w:lvl>
    <w:lvl w:ilvl="8">
      <w:start w:val="1"/>
      <w:numFmt w:val="lowerLetter"/>
      <w:lvlText w:val="%9)"/>
      <w:lvlJc w:val="left"/>
      <w:pPr>
        <w:tabs>
          <w:tab w:val="num" w:pos="5760"/>
        </w:tabs>
        <w:ind w:left="6240" w:hanging="480"/>
      </w:pPr>
    </w:lvl>
  </w:abstractNum>
  <w:abstractNum w:abstractNumId="99722">
    <w:nsid w:val="7cc89fe4"/>
    <w:multiLevelType w:val="multilevel"/>
    <w:lvl w:ilvl="0">
      <w:start w:val="2"/>
      <w:numFmt w:val="lowerLetter"/>
      <w:lvlText w:val="%1)"/>
      <w:lvlJc w:val="left"/>
      <w:pPr>
        <w:tabs>
          <w:tab w:val="num" w:pos="0"/>
        </w:tabs>
        <w:ind w:left="480" w:hanging="480"/>
      </w:pPr>
    </w:lvl>
    <w:lvl w:ilvl="1">
      <w:start w:val="2"/>
      <w:numFmt w:val="lowerLetter"/>
      <w:lvlText w:val="%2)"/>
      <w:lvlJc w:val="left"/>
      <w:pPr>
        <w:tabs>
          <w:tab w:val="num" w:pos="720"/>
        </w:tabs>
        <w:ind w:left="1200" w:hanging="480"/>
      </w:pPr>
    </w:lvl>
    <w:lvl w:ilvl="2">
      <w:start w:val="2"/>
      <w:numFmt w:val="lowerLetter"/>
      <w:lvlText w:val="%3)"/>
      <w:lvlJc w:val="left"/>
      <w:pPr>
        <w:tabs>
          <w:tab w:val="num" w:pos="1440"/>
        </w:tabs>
        <w:ind w:left="1920" w:hanging="480"/>
      </w:pPr>
    </w:lvl>
    <w:lvl w:ilvl="3">
      <w:start w:val="2"/>
      <w:numFmt w:val="lowerLetter"/>
      <w:lvlText w:val="%4)"/>
      <w:lvlJc w:val="left"/>
      <w:pPr>
        <w:tabs>
          <w:tab w:val="num" w:pos="2160"/>
        </w:tabs>
        <w:ind w:left="2640" w:hanging="480"/>
      </w:pPr>
    </w:lvl>
    <w:lvl w:ilvl="4">
      <w:start w:val="2"/>
      <w:numFmt w:val="lowerLetter"/>
      <w:lvlText w:val="%5)"/>
      <w:lvlJc w:val="left"/>
      <w:pPr>
        <w:tabs>
          <w:tab w:val="num" w:pos="2880"/>
        </w:tabs>
        <w:ind w:left="3360" w:hanging="480"/>
      </w:pPr>
    </w:lvl>
    <w:lvl w:ilvl="5">
      <w:start w:val="2"/>
      <w:numFmt w:val="lowerLetter"/>
      <w:lvlText w:val="%6)"/>
      <w:lvlJc w:val="left"/>
      <w:pPr>
        <w:tabs>
          <w:tab w:val="num" w:pos="3600"/>
        </w:tabs>
        <w:ind w:left="4080" w:hanging="480"/>
      </w:pPr>
    </w:lvl>
    <w:lvl w:ilvl="6">
      <w:start w:val="2"/>
      <w:numFmt w:val="lowerLetter"/>
      <w:lvlText w:val="%7)"/>
      <w:lvlJc w:val="left"/>
      <w:pPr>
        <w:tabs>
          <w:tab w:val="num" w:pos="4320"/>
        </w:tabs>
        <w:ind w:left="4800" w:hanging="480"/>
      </w:pPr>
    </w:lvl>
    <w:lvl w:ilvl="7">
      <w:start w:val="2"/>
      <w:numFmt w:val="lowerLetter"/>
      <w:lvlText w:val="%8)"/>
      <w:lvlJc w:val="left"/>
      <w:pPr>
        <w:tabs>
          <w:tab w:val="num" w:pos="5040"/>
        </w:tabs>
        <w:ind w:left="5520" w:hanging="480"/>
      </w:pPr>
    </w:lvl>
    <w:lvl w:ilvl="8">
      <w:start w:val="2"/>
      <w:numFmt w:val="lowerLetter"/>
      <w:lvlText w:val="%9)"/>
      <w:lvlJc w:val="left"/>
      <w:pPr>
        <w:tabs>
          <w:tab w:val="num" w:pos="5760"/>
        </w:tabs>
        <w:ind w:left="6240" w:hanging="480"/>
      </w:pPr>
    </w:lvl>
  </w:abstractNum>
  <w:abstractNum w:abstractNumId="99723">
    <w:nsid w:val="fd23932f"/>
    <w:multiLevelType w:val="multilevel"/>
    <w:lvl w:ilvl="0">
      <w:start w:val="3"/>
      <w:numFmt w:val="lowerLetter"/>
      <w:lvlText w:val="%1)"/>
      <w:lvlJc w:val="left"/>
      <w:pPr>
        <w:tabs>
          <w:tab w:val="num" w:pos="0"/>
        </w:tabs>
        <w:ind w:left="480" w:hanging="480"/>
      </w:pPr>
    </w:lvl>
    <w:lvl w:ilvl="1">
      <w:start w:val="3"/>
      <w:numFmt w:val="lowerLetter"/>
      <w:lvlText w:val="%2)"/>
      <w:lvlJc w:val="left"/>
      <w:pPr>
        <w:tabs>
          <w:tab w:val="num" w:pos="720"/>
        </w:tabs>
        <w:ind w:left="1200" w:hanging="480"/>
      </w:pPr>
    </w:lvl>
    <w:lvl w:ilvl="2">
      <w:start w:val="3"/>
      <w:numFmt w:val="lowerLetter"/>
      <w:lvlText w:val="%3)"/>
      <w:lvlJc w:val="left"/>
      <w:pPr>
        <w:tabs>
          <w:tab w:val="num" w:pos="1440"/>
        </w:tabs>
        <w:ind w:left="1920" w:hanging="480"/>
      </w:pPr>
    </w:lvl>
    <w:lvl w:ilvl="3">
      <w:start w:val="3"/>
      <w:numFmt w:val="lowerLetter"/>
      <w:lvlText w:val="%4)"/>
      <w:lvlJc w:val="left"/>
      <w:pPr>
        <w:tabs>
          <w:tab w:val="num" w:pos="2160"/>
        </w:tabs>
        <w:ind w:left="2640" w:hanging="480"/>
      </w:pPr>
    </w:lvl>
    <w:lvl w:ilvl="4">
      <w:start w:val="3"/>
      <w:numFmt w:val="lowerLetter"/>
      <w:lvlText w:val="%5)"/>
      <w:lvlJc w:val="left"/>
      <w:pPr>
        <w:tabs>
          <w:tab w:val="num" w:pos="2880"/>
        </w:tabs>
        <w:ind w:left="3360" w:hanging="480"/>
      </w:pPr>
    </w:lvl>
    <w:lvl w:ilvl="5">
      <w:start w:val="3"/>
      <w:numFmt w:val="lowerLetter"/>
      <w:lvlText w:val="%6)"/>
      <w:lvlJc w:val="left"/>
      <w:pPr>
        <w:tabs>
          <w:tab w:val="num" w:pos="3600"/>
        </w:tabs>
        <w:ind w:left="4080" w:hanging="480"/>
      </w:pPr>
    </w:lvl>
    <w:lvl w:ilvl="6">
      <w:start w:val="3"/>
      <w:numFmt w:val="lowerLetter"/>
      <w:lvlText w:val="%7)"/>
      <w:lvlJc w:val="left"/>
      <w:pPr>
        <w:tabs>
          <w:tab w:val="num" w:pos="4320"/>
        </w:tabs>
        <w:ind w:left="4800" w:hanging="480"/>
      </w:pPr>
    </w:lvl>
    <w:lvl w:ilvl="7">
      <w:start w:val="3"/>
      <w:numFmt w:val="lowerLetter"/>
      <w:lvlText w:val="%8)"/>
      <w:lvlJc w:val="left"/>
      <w:pPr>
        <w:tabs>
          <w:tab w:val="num" w:pos="5040"/>
        </w:tabs>
        <w:ind w:left="5520" w:hanging="480"/>
      </w:pPr>
    </w:lvl>
    <w:lvl w:ilvl="8">
      <w:start w:val="3"/>
      <w:numFmt w:val="lowerLetter"/>
      <w:lvlText w:val="%9)"/>
      <w:lvlJc w:val="left"/>
      <w:pPr>
        <w:tabs>
          <w:tab w:val="num" w:pos="5760"/>
        </w:tabs>
        <w:ind w:left="6240" w:hanging="480"/>
      </w:pPr>
    </w:lvl>
  </w:abstractNum>
  <w:abstractNum w:abstractNumId="994131">
    <w:nsid w:val="abcc5f24"/>
    <w:multiLevelType w:val="multilevel"/>
    <w:lvl w:ilvl="0">
      <w:start w:val="31"/>
      <w:numFmt w:val="decimal"/>
      <w:lvlText w:val="%1."/>
      <w:lvlJc w:val="left"/>
      <w:pPr>
        <w:tabs>
          <w:tab w:val="num" w:pos="0"/>
        </w:tabs>
        <w:ind w:left="480" w:hanging="480"/>
      </w:pPr>
    </w:lvl>
    <w:lvl w:ilvl="1">
      <w:start w:val="31"/>
      <w:numFmt w:val="decimal"/>
      <w:lvlText w:val="%2."/>
      <w:lvlJc w:val="left"/>
      <w:pPr>
        <w:tabs>
          <w:tab w:val="num" w:pos="720"/>
        </w:tabs>
        <w:ind w:left="1200" w:hanging="480"/>
      </w:pPr>
    </w:lvl>
    <w:lvl w:ilvl="2">
      <w:start w:val="31"/>
      <w:numFmt w:val="decimal"/>
      <w:lvlText w:val="%3."/>
      <w:lvlJc w:val="left"/>
      <w:pPr>
        <w:tabs>
          <w:tab w:val="num" w:pos="1440"/>
        </w:tabs>
        <w:ind w:left="1920" w:hanging="480"/>
      </w:pPr>
    </w:lvl>
    <w:lvl w:ilvl="3">
      <w:start w:val="31"/>
      <w:numFmt w:val="decimal"/>
      <w:lvlText w:val="%4."/>
      <w:lvlJc w:val="left"/>
      <w:pPr>
        <w:tabs>
          <w:tab w:val="num" w:pos="2160"/>
        </w:tabs>
        <w:ind w:left="2640" w:hanging="480"/>
      </w:pPr>
    </w:lvl>
    <w:lvl w:ilvl="4">
      <w:start w:val="31"/>
      <w:numFmt w:val="decimal"/>
      <w:lvlText w:val="%5."/>
      <w:lvlJc w:val="left"/>
      <w:pPr>
        <w:tabs>
          <w:tab w:val="num" w:pos="2880"/>
        </w:tabs>
        <w:ind w:left="3360" w:hanging="480"/>
      </w:pPr>
    </w:lvl>
    <w:lvl w:ilvl="5">
      <w:start w:val="31"/>
      <w:numFmt w:val="decimal"/>
      <w:lvlText w:val="%6."/>
      <w:lvlJc w:val="left"/>
      <w:pPr>
        <w:tabs>
          <w:tab w:val="num" w:pos="3600"/>
        </w:tabs>
        <w:ind w:left="4080" w:hanging="480"/>
      </w:pPr>
    </w:lvl>
    <w:lvl w:ilvl="6">
      <w:start w:val="31"/>
      <w:numFmt w:val="decimal"/>
      <w:lvlText w:val="%7."/>
      <w:lvlJc w:val="left"/>
      <w:pPr>
        <w:tabs>
          <w:tab w:val="num" w:pos="4320"/>
        </w:tabs>
        <w:ind w:left="4800" w:hanging="480"/>
      </w:pPr>
    </w:lvl>
    <w:lvl w:ilvl="7">
      <w:start w:val="31"/>
      <w:numFmt w:val="decimal"/>
      <w:lvlText w:val="%8."/>
      <w:lvlJc w:val="left"/>
      <w:pPr>
        <w:tabs>
          <w:tab w:val="num" w:pos="5040"/>
        </w:tabs>
        <w:ind w:left="5520" w:hanging="480"/>
      </w:pPr>
    </w:lvl>
    <w:lvl w:ilvl="8">
      <w:start w:val="31"/>
      <w:numFmt w:val="decimal"/>
      <w:lvlText w:val="%9."/>
      <w:lvlJc w:val="left"/>
      <w:pPr>
        <w:tabs>
          <w:tab w:val="num" w:pos="5760"/>
        </w:tabs>
        <w:ind w:left="6240" w:hanging="480"/>
      </w:pPr>
    </w:lvl>
  </w:abstractNum>
  <w:abstractNum w:abstractNumId="994132">
    <w:nsid w:val="ea63e02b"/>
    <w:multiLevelType w:val="multilevel"/>
    <w:lvl w:ilvl="0">
      <w:start w:val="32"/>
      <w:numFmt w:val="decimal"/>
      <w:lvlText w:val="%1."/>
      <w:lvlJc w:val="left"/>
      <w:pPr>
        <w:tabs>
          <w:tab w:val="num" w:pos="0"/>
        </w:tabs>
        <w:ind w:left="480" w:hanging="480"/>
      </w:pPr>
    </w:lvl>
    <w:lvl w:ilvl="1">
      <w:start w:val="32"/>
      <w:numFmt w:val="decimal"/>
      <w:lvlText w:val="%2."/>
      <w:lvlJc w:val="left"/>
      <w:pPr>
        <w:tabs>
          <w:tab w:val="num" w:pos="720"/>
        </w:tabs>
        <w:ind w:left="1200" w:hanging="480"/>
      </w:pPr>
    </w:lvl>
    <w:lvl w:ilvl="2">
      <w:start w:val="32"/>
      <w:numFmt w:val="decimal"/>
      <w:lvlText w:val="%3."/>
      <w:lvlJc w:val="left"/>
      <w:pPr>
        <w:tabs>
          <w:tab w:val="num" w:pos="1440"/>
        </w:tabs>
        <w:ind w:left="1920" w:hanging="480"/>
      </w:pPr>
    </w:lvl>
    <w:lvl w:ilvl="3">
      <w:start w:val="32"/>
      <w:numFmt w:val="decimal"/>
      <w:lvlText w:val="%4."/>
      <w:lvlJc w:val="left"/>
      <w:pPr>
        <w:tabs>
          <w:tab w:val="num" w:pos="2160"/>
        </w:tabs>
        <w:ind w:left="2640" w:hanging="480"/>
      </w:pPr>
    </w:lvl>
    <w:lvl w:ilvl="4">
      <w:start w:val="32"/>
      <w:numFmt w:val="decimal"/>
      <w:lvlText w:val="%5."/>
      <w:lvlJc w:val="left"/>
      <w:pPr>
        <w:tabs>
          <w:tab w:val="num" w:pos="2880"/>
        </w:tabs>
        <w:ind w:left="3360" w:hanging="480"/>
      </w:pPr>
    </w:lvl>
    <w:lvl w:ilvl="5">
      <w:start w:val="32"/>
      <w:numFmt w:val="decimal"/>
      <w:lvlText w:val="%6."/>
      <w:lvlJc w:val="left"/>
      <w:pPr>
        <w:tabs>
          <w:tab w:val="num" w:pos="3600"/>
        </w:tabs>
        <w:ind w:left="4080" w:hanging="480"/>
      </w:pPr>
    </w:lvl>
    <w:lvl w:ilvl="6">
      <w:start w:val="32"/>
      <w:numFmt w:val="decimal"/>
      <w:lvlText w:val="%7."/>
      <w:lvlJc w:val="left"/>
      <w:pPr>
        <w:tabs>
          <w:tab w:val="num" w:pos="4320"/>
        </w:tabs>
        <w:ind w:left="4800" w:hanging="480"/>
      </w:pPr>
    </w:lvl>
    <w:lvl w:ilvl="7">
      <w:start w:val="32"/>
      <w:numFmt w:val="decimal"/>
      <w:lvlText w:val="%8."/>
      <w:lvlJc w:val="left"/>
      <w:pPr>
        <w:tabs>
          <w:tab w:val="num" w:pos="5040"/>
        </w:tabs>
        <w:ind w:left="5520" w:hanging="480"/>
      </w:pPr>
    </w:lvl>
    <w:lvl w:ilvl="8">
      <w:start w:val="32"/>
      <w:numFmt w:val="decimal"/>
      <w:lvlText w:val="%9."/>
      <w:lvlJc w:val="left"/>
      <w:pPr>
        <w:tabs>
          <w:tab w:val="num" w:pos="5760"/>
        </w:tabs>
        <w:ind w:left="6240" w:hanging="480"/>
      </w:pPr>
    </w:lvl>
  </w:abstractNum>
  <w:abstractNum w:abstractNumId="994133">
    <w:nsid w:val="c9be6b2a"/>
    <w:multiLevelType w:val="multilevel"/>
    <w:lvl w:ilvl="0">
      <w:start w:val="33"/>
      <w:numFmt w:val="decimal"/>
      <w:lvlText w:val="%1."/>
      <w:lvlJc w:val="left"/>
      <w:pPr>
        <w:tabs>
          <w:tab w:val="num" w:pos="0"/>
        </w:tabs>
        <w:ind w:left="480" w:hanging="480"/>
      </w:pPr>
    </w:lvl>
    <w:lvl w:ilvl="1">
      <w:start w:val="33"/>
      <w:numFmt w:val="decimal"/>
      <w:lvlText w:val="%2."/>
      <w:lvlJc w:val="left"/>
      <w:pPr>
        <w:tabs>
          <w:tab w:val="num" w:pos="720"/>
        </w:tabs>
        <w:ind w:left="1200" w:hanging="480"/>
      </w:pPr>
    </w:lvl>
    <w:lvl w:ilvl="2">
      <w:start w:val="33"/>
      <w:numFmt w:val="decimal"/>
      <w:lvlText w:val="%3."/>
      <w:lvlJc w:val="left"/>
      <w:pPr>
        <w:tabs>
          <w:tab w:val="num" w:pos="1440"/>
        </w:tabs>
        <w:ind w:left="1920" w:hanging="480"/>
      </w:pPr>
    </w:lvl>
    <w:lvl w:ilvl="3">
      <w:start w:val="33"/>
      <w:numFmt w:val="decimal"/>
      <w:lvlText w:val="%4."/>
      <w:lvlJc w:val="left"/>
      <w:pPr>
        <w:tabs>
          <w:tab w:val="num" w:pos="2160"/>
        </w:tabs>
        <w:ind w:left="2640" w:hanging="480"/>
      </w:pPr>
    </w:lvl>
    <w:lvl w:ilvl="4">
      <w:start w:val="33"/>
      <w:numFmt w:val="decimal"/>
      <w:lvlText w:val="%5."/>
      <w:lvlJc w:val="left"/>
      <w:pPr>
        <w:tabs>
          <w:tab w:val="num" w:pos="2880"/>
        </w:tabs>
        <w:ind w:left="3360" w:hanging="480"/>
      </w:pPr>
    </w:lvl>
    <w:lvl w:ilvl="5">
      <w:start w:val="33"/>
      <w:numFmt w:val="decimal"/>
      <w:lvlText w:val="%6."/>
      <w:lvlJc w:val="left"/>
      <w:pPr>
        <w:tabs>
          <w:tab w:val="num" w:pos="3600"/>
        </w:tabs>
        <w:ind w:left="4080" w:hanging="480"/>
      </w:pPr>
    </w:lvl>
    <w:lvl w:ilvl="6">
      <w:start w:val="33"/>
      <w:numFmt w:val="decimal"/>
      <w:lvlText w:val="%7."/>
      <w:lvlJc w:val="left"/>
      <w:pPr>
        <w:tabs>
          <w:tab w:val="num" w:pos="4320"/>
        </w:tabs>
        <w:ind w:left="4800" w:hanging="480"/>
      </w:pPr>
    </w:lvl>
    <w:lvl w:ilvl="7">
      <w:start w:val="33"/>
      <w:numFmt w:val="decimal"/>
      <w:lvlText w:val="%8."/>
      <w:lvlJc w:val="left"/>
      <w:pPr>
        <w:tabs>
          <w:tab w:val="num" w:pos="5040"/>
        </w:tabs>
        <w:ind w:left="5520" w:hanging="480"/>
      </w:pPr>
    </w:lvl>
    <w:lvl w:ilvl="8">
      <w:start w:val="33"/>
      <w:numFmt w:val="decimal"/>
      <w:lvlText w:val="%9."/>
      <w:lvlJc w:val="left"/>
      <w:pPr>
        <w:tabs>
          <w:tab w:val="num" w:pos="5760"/>
        </w:tabs>
        <w:ind w:left="6240" w:hanging="480"/>
      </w:pPr>
    </w:lvl>
  </w:abstractNum>
  <w:abstractNum w:abstractNumId="994136">
    <w:nsid w:val="f5f50f4f"/>
    <w:multiLevelType w:val="multilevel"/>
    <w:lvl w:ilvl="0">
      <w:start w:val="36"/>
      <w:numFmt w:val="decimal"/>
      <w:lvlText w:val="%1."/>
      <w:lvlJc w:val="left"/>
      <w:pPr>
        <w:tabs>
          <w:tab w:val="num" w:pos="0"/>
        </w:tabs>
        <w:ind w:left="480" w:hanging="480"/>
      </w:pPr>
    </w:lvl>
    <w:lvl w:ilvl="1">
      <w:start w:val="36"/>
      <w:numFmt w:val="decimal"/>
      <w:lvlText w:val="%2."/>
      <w:lvlJc w:val="left"/>
      <w:pPr>
        <w:tabs>
          <w:tab w:val="num" w:pos="720"/>
        </w:tabs>
        <w:ind w:left="1200" w:hanging="480"/>
      </w:pPr>
    </w:lvl>
    <w:lvl w:ilvl="2">
      <w:start w:val="36"/>
      <w:numFmt w:val="decimal"/>
      <w:lvlText w:val="%3."/>
      <w:lvlJc w:val="left"/>
      <w:pPr>
        <w:tabs>
          <w:tab w:val="num" w:pos="1440"/>
        </w:tabs>
        <w:ind w:left="1920" w:hanging="480"/>
      </w:pPr>
    </w:lvl>
    <w:lvl w:ilvl="3">
      <w:start w:val="36"/>
      <w:numFmt w:val="decimal"/>
      <w:lvlText w:val="%4."/>
      <w:lvlJc w:val="left"/>
      <w:pPr>
        <w:tabs>
          <w:tab w:val="num" w:pos="2160"/>
        </w:tabs>
        <w:ind w:left="2640" w:hanging="480"/>
      </w:pPr>
    </w:lvl>
    <w:lvl w:ilvl="4">
      <w:start w:val="36"/>
      <w:numFmt w:val="decimal"/>
      <w:lvlText w:val="%5."/>
      <w:lvlJc w:val="left"/>
      <w:pPr>
        <w:tabs>
          <w:tab w:val="num" w:pos="2880"/>
        </w:tabs>
        <w:ind w:left="3360" w:hanging="480"/>
      </w:pPr>
    </w:lvl>
    <w:lvl w:ilvl="5">
      <w:start w:val="36"/>
      <w:numFmt w:val="decimal"/>
      <w:lvlText w:val="%6."/>
      <w:lvlJc w:val="left"/>
      <w:pPr>
        <w:tabs>
          <w:tab w:val="num" w:pos="3600"/>
        </w:tabs>
        <w:ind w:left="4080" w:hanging="480"/>
      </w:pPr>
    </w:lvl>
    <w:lvl w:ilvl="6">
      <w:start w:val="36"/>
      <w:numFmt w:val="decimal"/>
      <w:lvlText w:val="%7."/>
      <w:lvlJc w:val="left"/>
      <w:pPr>
        <w:tabs>
          <w:tab w:val="num" w:pos="4320"/>
        </w:tabs>
        <w:ind w:left="4800" w:hanging="480"/>
      </w:pPr>
    </w:lvl>
    <w:lvl w:ilvl="7">
      <w:start w:val="36"/>
      <w:numFmt w:val="decimal"/>
      <w:lvlText w:val="%8."/>
      <w:lvlJc w:val="left"/>
      <w:pPr>
        <w:tabs>
          <w:tab w:val="num" w:pos="5040"/>
        </w:tabs>
        <w:ind w:left="5520" w:hanging="480"/>
      </w:pPr>
    </w:lvl>
    <w:lvl w:ilvl="8">
      <w:start w:val="36"/>
      <w:numFmt w:val="decimal"/>
      <w:lvlText w:val="%9."/>
      <w:lvlJc w:val="left"/>
      <w:pPr>
        <w:tabs>
          <w:tab w:val="num" w:pos="5760"/>
        </w:tabs>
        <w:ind w:left="624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7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05">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06">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07">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08">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009">
    <w:abstractNumId w:val="994117"/>
    <w:lvlOverride w:ilvl="0">
      <w:startOverride w:val="17"/>
    </w:lvlOverride>
    <w:lvlOverride w:ilvl="1">
      <w:startOverride w:val="17"/>
    </w:lvlOverride>
    <w:lvlOverride w:ilvl="2">
      <w:startOverride w:val="17"/>
    </w:lvlOverride>
    <w:lvlOverride w:ilvl="3">
      <w:startOverride w:val="17"/>
    </w:lvlOverride>
    <w:lvlOverride w:ilvl="4">
      <w:startOverride w:val="17"/>
    </w:lvlOverride>
    <w:lvlOverride w:ilvl="5">
      <w:startOverride w:val="17"/>
    </w:lvlOverride>
    <w:lvlOverride w:ilvl="6">
      <w:startOverride w:val="17"/>
    </w:lvlOverride>
    <w:lvlOverride w:ilvl="7">
      <w:startOverride w:val="17"/>
    </w:lvlOverride>
    <w:lvlOverride w:ilvl="8">
      <w:startOverride w:val="17"/>
    </w:lvlOverride>
  </w:num>
  <w:num w:numId="1010">
    <w:abstractNumId w:val="994121"/>
    <w:lvlOverride w:ilvl="0">
      <w:startOverride w:val="21"/>
    </w:lvlOverride>
    <w:lvlOverride w:ilvl="1">
      <w:startOverride w:val="21"/>
    </w:lvlOverride>
    <w:lvlOverride w:ilvl="2">
      <w:startOverride w:val="21"/>
    </w:lvlOverride>
    <w:lvlOverride w:ilvl="3">
      <w:startOverride w:val="21"/>
    </w:lvlOverride>
    <w:lvlOverride w:ilvl="4">
      <w:startOverride w:val="21"/>
    </w:lvlOverride>
    <w:lvlOverride w:ilvl="5">
      <w:startOverride w:val="21"/>
    </w:lvlOverride>
    <w:lvlOverride w:ilvl="6">
      <w:startOverride w:val="21"/>
    </w:lvlOverride>
    <w:lvlOverride w:ilvl="7">
      <w:startOverride w:val="21"/>
    </w:lvlOverride>
    <w:lvlOverride w:ilvl="8">
      <w:startOverride w:val="21"/>
    </w:lvlOverride>
  </w:num>
  <w:num w:numId="1011">
    <w:abstractNumId w:val="994123"/>
    <w:lvlOverride w:ilvl="0">
      <w:startOverride w:val="23"/>
    </w:lvlOverride>
    <w:lvlOverride w:ilvl="1">
      <w:startOverride w:val="23"/>
    </w:lvlOverride>
    <w:lvlOverride w:ilvl="2">
      <w:startOverride w:val="23"/>
    </w:lvlOverride>
    <w:lvlOverride w:ilvl="3">
      <w:startOverride w:val="23"/>
    </w:lvlOverride>
    <w:lvlOverride w:ilvl="4">
      <w:startOverride w:val="23"/>
    </w:lvlOverride>
    <w:lvlOverride w:ilvl="5">
      <w:startOverride w:val="23"/>
    </w:lvlOverride>
    <w:lvlOverride w:ilvl="6">
      <w:startOverride w:val="23"/>
    </w:lvlOverride>
    <w:lvlOverride w:ilvl="7">
      <w:startOverride w:val="23"/>
    </w:lvlOverride>
    <w:lvlOverride w:ilvl="8">
      <w:startOverride w:val="23"/>
    </w:lvlOverride>
  </w:num>
  <w:num w:numId="1012">
    <w:abstractNumId w:val="994124"/>
    <w:lvlOverride w:ilvl="0">
      <w:startOverride w:val="24"/>
    </w:lvlOverride>
    <w:lvlOverride w:ilvl="1">
      <w:startOverride w:val="24"/>
    </w:lvlOverride>
    <w:lvlOverride w:ilvl="2">
      <w:startOverride w:val="24"/>
    </w:lvlOverride>
    <w:lvlOverride w:ilvl="3">
      <w:startOverride w:val="24"/>
    </w:lvlOverride>
    <w:lvlOverride w:ilvl="4">
      <w:startOverride w:val="24"/>
    </w:lvlOverride>
    <w:lvlOverride w:ilvl="5">
      <w:startOverride w:val="24"/>
    </w:lvlOverride>
    <w:lvlOverride w:ilvl="6">
      <w:startOverride w:val="24"/>
    </w:lvlOverride>
    <w:lvlOverride w:ilvl="7">
      <w:startOverride w:val="24"/>
    </w:lvlOverride>
    <w:lvlOverride w:ilvl="8">
      <w:startOverride w:val="24"/>
    </w:lvlOverride>
  </w:num>
  <w:num w:numId="1013">
    <w:abstractNumId w:val="994125"/>
    <w:lvlOverride w:ilvl="0">
      <w:startOverride w:val="25"/>
    </w:lvlOverride>
    <w:lvlOverride w:ilvl="1">
      <w:startOverride w:val="25"/>
    </w:lvlOverride>
    <w:lvlOverride w:ilvl="2">
      <w:startOverride w:val="25"/>
    </w:lvlOverride>
    <w:lvlOverride w:ilvl="3">
      <w:startOverride w:val="25"/>
    </w:lvlOverride>
    <w:lvlOverride w:ilvl="4">
      <w:startOverride w:val="25"/>
    </w:lvlOverride>
    <w:lvlOverride w:ilvl="5">
      <w:startOverride w:val="25"/>
    </w:lvlOverride>
    <w:lvlOverride w:ilvl="6">
      <w:startOverride w:val="25"/>
    </w:lvlOverride>
    <w:lvlOverride w:ilvl="7">
      <w:startOverride w:val="25"/>
    </w:lvlOverride>
    <w:lvlOverride w:ilvl="8">
      <w:startOverride w:val="25"/>
    </w:lvlOverride>
  </w:num>
  <w:num w:numId="1014">
    <w:abstractNumId w:val="994126"/>
    <w:lvlOverride w:ilvl="0">
      <w:startOverride w:val="26"/>
    </w:lvlOverride>
    <w:lvlOverride w:ilvl="1">
      <w:startOverride w:val="26"/>
    </w:lvlOverride>
    <w:lvlOverride w:ilvl="2">
      <w:startOverride w:val="26"/>
    </w:lvlOverride>
    <w:lvlOverride w:ilvl="3">
      <w:startOverride w:val="26"/>
    </w:lvlOverride>
    <w:lvlOverride w:ilvl="4">
      <w:startOverride w:val="26"/>
    </w:lvlOverride>
    <w:lvlOverride w:ilvl="5">
      <w:startOverride w:val="26"/>
    </w:lvlOverride>
    <w:lvlOverride w:ilvl="6">
      <w:startOverride w:val="26"/>
    </w:lvlOverride>
    <w:lvlOverride w:ilvl="7">
      <w:startOverride w:val="26"/>
    </w:lvlOverride>
    <w:lvlOverride w:ilvl="8">
      <w:startOverride w:val="26"/>
    </w:lvlOverride>
  </w:num>
  <w:num w:numId="1015">
    <w:abstractNumId w:val="994127"/>
    <w:lvlOverride w:ilvl="0">
      <w:startOverride w:val="27"/>
    </w:lvlOverride>
    <w:lvlOverride w:ilvl="1">
      <w:startOverride w:val="27"/>
    </w:lvlOverride>
    <w:lvlOverride w:ilvl="2">
      <w:startOverride w:val="27"/>
    </w:lvlOverride>
    <w:lvlOverride w:ilvl="3">
      <w:startOverride w:val="27"/>
    </w:lvlOverride>
    <w:lvlOverride w:ilvl="4">
      <w:startOverride w:val="27"/>
    </w:lvlOverride>
    <w:lvlOverride w:ilvl="5">
      <w:startOverride w:val="27"/>
    </w:lvlOverride>
    <w:lvlOverride w:ilvl="6">
      <w:startOverride w:val="27"/>
    </w:lvlOverride>
    <w:lvlOverride w:ilvl="7">
      <w:startOverride w:val="27"/>
    </w:lvlOverride>
    <w:lvlOverride w:ilvl="8">
      <w:startOverride w:val="27"/>
    </w:lvlOverride>
  </w:num>
  <w:num w:numId="1016">
    <w:abstractNumId w:val="994128"/>
    <w:lvlOverride w:ilvl="0">
      <w:startOverride w:val="28"/>
    </w:lvlOverride>
    <w:lvlOverride w:ilvl="1">
      <w:startOverride w:val="28"/>
    </w:lvlOverride>
    <w:lvlOverride w:ilvl="2">
      <w:startOverride w:val="28"/>
    </w:lvlOverride>
    <w:lvlOverride w:ilvl="3">
      <w:startOverride w:val="28"/>
    </w:lvlOverride>
    <w:lvlOverride w:ilvl="4">
      <w:startOverride w:val="28"/>
    </w:lvlOverride>
    <w:lvlOverride w:ilvl="5">
      <w:startOverride w:val="28"/>
    </w:lvlOverride>
    <w:lvlOverride w:ilvl="6">
      <w:startOverride w:val="28"/>
    </w:lvlOverride>
    <w:lvlOverride w:ilvl="7">
      <w:startOverride w:val="28"/>
    </w:lvlOverride>
    <w:lvlOverride w:ilvl="8">
      <w:startOverride w:val="28"/>
    </w:lvlOverride>
  </w:num>
  <w:num w:numId="1017">
    <w:abstractNumId w:val="994129"/>
    <w:lvlOverride w:ilvl="0">
      <w:startOverride w:val="29"/>
    </w:lvlOverride>
    <w:lvlOverride w:ilvl="1">
      <w:startOverride w:val="29"/>
    </w:lvlOverride>
    <w:lvlOverride w:ilvl="2">
      <w:startOverride w:val="29"/>
    </w:lvlOverride>
    <w:lvlOverride w:ilvl="3">
      <w:startOverride w:val="29"/>
    </w:lvlOverride>
    <w:lvlOverride w:ilvl="4">
      <w:startOverride w:val="29"/>
    </w:lvlOverride>
    <w:lvlOverride w:ilvl="5">
      <w:startOverride w:val="29"/>
    </w:lvlOverride>
    <w:lvlOverride w:ilvl="6">
      <w:startOverride w:val="29"/>
    </w:lvlOverride>
    <w:lvlOverride w:ilvl="7">
      <w:startOverride w:val="29"/>
    </w:lvlOverride>
    <w:lvlOverride w:ilvl="8">
      <w:startOverride w:val="29"/>
    </w:lvlOverride>
  </w:num>
  <w:num w:numId="1018">
    <w:abstractNumId w:val="991"/>
  </w:num>
  <w:num w:numId="1019">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1">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2">
    <w:abstractNumId w:val="994131"/>
    <w:lvlOverride w:ilvl="0">
      <w:startOverride w:val="31"/>
    </w:lvlOverride>
    <w:lvlOverride w:ilvl="1">
      <w:startOverride w:val="31"/>
    </w:lvlOverride>
    <w:lvlOverride w:ilvl="2">
      <w:startOverride w:val="31"/>
    </w:lvlOverride>
    <w:lvlOverride w:ilvl="3">
      <w:startOverride w:val="31"/>
    </w:lvlOverride>
    <w:lvlOverride w:ilvl="4">
      <w:startOverride w:val="31"/>
    </w:lvlOverride>
    <w:lvlOverride w:ilvl="5">
      <w:startOverride w:val="31"/>
    </w:lvlOverride>
    <w:lvlOverride w:ilvl="6">
      <w:startOverride w:val="31"/>
    </w:lvlOverride>
    <w:lvlOverride w:ilvl="7">
      <w:startOverride w:val="31"/>
    </w:lvlOverride>
    <w:lvlOverride w:ilvl="8">
      <w:startOverride w:val="31"/>
    </w:lvlOverride>
  </w:num>
  <w:num w:numId="1023">
    <w:abstractNumId w:val="994132"/>
    <w:lvlOverride w:ilvl="0">
      <w:startOverride w:val="32"/>
    </w:lvlOverride>
    <w:lvlOverride w:ilvl="1">
      <w:startOverride w:val="32"/>
    </w:lvlOverride>
    <w:lvlOverride w:ilvl="2">
      <w:startOverride w:val="32"/>
    </w:lvlOverride>
    <w:lvlOverride w:ilvl="3">
      <w:startOverride w:val="32"/>
    </w:lvlOverride>
    <w:lvlOverride w:ilvl="4">
      <w:startOverride w:val="32"/>
    </w:lvlOverride>
    <w:lvlOverride w:ilvl="5">
      <w:startOverride w:val="32"/>
    </w:lvlOverride>
    <w:lvlOverride w:ilvl="6">
      <w:startOverride w:val="32"/>
    </w:lvlOverride>
    <w:lvlOverride w:ilvl="7">
      <w:startOverride w:val="32"/>
    </w:lvlOverride>
    <w:lvlOverride w:ilvl="8">
      <w:startOverride w:val="32"/>
    </w:lvlOverride>
  </w:num>
  <w:num w:numId="1024">
    <w:abstractNumId w:val="994133"/>
    <w:lvlOverride w:ilvl="0">
      <w:startOverride w:val="33"/>
    </w:lvlOverride>
    <w:lvlOverride w:ilvl="1">
      <w:startOverride w:val="33"/>
    </w:lvlOverride>
    <w:lvlOverride w:ilvl="2">
      <w:startOverride w:val="33"/>
    </w:lvlOverride>
    <w:lvlOverride w:ilvl="3">
      <w:startOverride w:val="33"/>
    </w:lvlOverride>
    <w:lvlOverride w:ilvl="4">
      <w:startOverride w:val="33"/>
    </w:lvlOverride>
    <w:lvlOverride w:ilvl="5">
      <w:startOverride w:val="33"/>
    </w:lvlOverride>
    <w:lvlOverride w:ilvl="6">
      <w:startOverride w:val="33"/>
    </w:lvlOverride>
    <w:lvlOverride w:ilvl="7">
      <w:startOverride w:val="33"/>
    </w:lvlOverride>
    <w:lvlOverride w:ilvl="8">
      <w:startOverride w:val="33"/>
    </w:lvlOverride>
  </w:num>
  <w:num w:numId="1025">
    <w:abstractNumId w:val="994136"/>
    <w:lvlOverride w:ilvl="0">
      <w:startOverride w:val="36"/>
    </w:lvlOverride>
    <w:lvlOverride w:ilvl="1">
      <w:startOverride w:val="36"/>
    </w:lvlOverride>
    <w:lvlOverride w:ilvl="2">
      <w:startOverride w:val="36"/>
    </w:lvlOverride>
    <w:lvlOverride w:ilvl="3">
      <w:startOverride w:val="36"/>
    </w:lvlOverride>
    <w:lvlOverride w:ilvl="4">
      <w:startOverride w:val="36"/>
    </w:lvlOverride>
    <w:lvlOverride w:ilvl="5">
      <w:startOverride w:val="36"/>
    </w:lvlOverride>
    <w:lvlOverride w:ilvl="6">
      <w:startOverride w:val="36"/>
    </w:lvlOverride>
    <w:lvlOverride w:ilvl="7">
      <w:startOverride w:val="36"/>
    </w:lvlOverride>
    <w:lvlOverride w:ilvl="8">
      <w:startOverride w:val="36"/>
    </w:lvlOverride>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Rule="auto" w:line="360" w:before="0" w:after="120"/>
    </w:pPr>
    <w:rPr>
      <w:rFonts w:ascii="Arial" w:hAnsi="Arial" w:cs="Arial"/>
      <w:b w:val="0"/>
      <w:i w:val="0"/>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Rule="auto" w:line="360"/>
      <w:jc w:val="left"/>
      <w:outlineLvl w:val="0"/>
    </w:pPr>
    <w:rPr>
      <w:rFonts w:asciiTheme="majorHAnsi" w:eastAsiaTheme="majorEastAsia" w:hAnsiTheme="majorHAnsi" w:cstheme="majorBidi" w:ascii="Arial" w:hAnsi="Arial" w:cs="Arial"/>
      <w:b/>
      <w:bCs/>
      <w:i w:val="0"/>
      <w:cap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120" w:lineRule="auto" w:line="360"/>
      <w:jc w:val="left"/>
      <w:outlineLvl w:val="1"/>
    </w:pPr>
    <w:rPr>
      <w:rFonts w:asciiTheme="majorHAnsi" w:eastAsiaTheme="majorEastAsia" w:hAnsiTheme="majorHAnsi" w:cstheme="majorBidi" w:ascii="Arial" w:hAnsi="Arial" w:cs="Arial"/>
      <w:b/>
      <w:bCs/>
      <w:i w:val="0"/>
      <w:caps/>
      <w:color w:val="000000"/>
      <w:sz w:val="24"/>
      <w:szCs w:val="26"/>
    </w:rPr>
  </w:style>
  <w:style w:type="paragraph" w:styleId="Heading3">
    <w:name w:val="heading 3"/>
    <w:basedOn w:val="Normal"/>
    <w:next w:val="Normal"/>
    <w:link w:val="Heading3Char"/>
    <w:uiPriority w:val="9"/>
    <w:unhideWhenUsed/>
    <w:qFormat/>
    <w:rsid w:val="00FC693F"/>
    <w:pPr>
      <w:keepNext/>
      <w:keepLines/>
      <w:spacing w:before="120" w:after="120" w:lineRule="auto" w:line="360"/>
      <w:jc w:val="left"/>
      <w:outlineLvl w:val="2"/>
    </w:pPr>
    <w:rPr>
      <w:rFonts w:asciiTheme="majorHAnsi" w:eastAsiaTheme="majorEastAsia" w:hAnsiTheme="majorHAnsi" w:cstheme="majorBidi" w:ascii="Arial" w:hAnsi="Arial" w:cs="Arial"/>
      <w:b/>
      <w:bCs/>
      <w:i w:val="0"/>
      <w:color w:val="000000"/>
      <w:sz w:val="24"/>
    </w:rPr>
  </w:style>
  <w:style w:type="paragraph" w:styleId="Heading4">
    <w:name w:val="heading 4"/>
    <w:basedOn w:val="Normal"/>
    <w:next w:val="Normal"/>
    <w:link w:val="Heading4Char"/>
    <w:uiPriority w:val="9"/>
    <w:semiHidden/>
    <w:unhideWhenUsed/>
    <w:qFormat/>
    <w:rsid w:val="00FC693F"/>
    <w:pPr>
      <w:keepNext/>
      <w:keepLines/>
      <w:spacing w:before="120" w:after="120" w:lineRule="auto" w:line="360"/>
      <w:jc w:val="left"/>
      <w:outlineLvl w:val="3"/>
    </w:pPr>
    <w:rPr>
      <w:rFonts w:asciiTheme="majorHAnsi" w:eastAsiaTheme="majorEastAsia" w:hAnsiTheme="majorHAnsi" w:cstheme="majorBidi" w:ascii="Arial" w:hAnsi="Arial" w:cs="Arial"/>
      <w:b/>
      <w:bCs/>
      <w:i w:val="0"/>
      <w:iCs/>
      <w:color w:val="000000"/>
      <w:sz w:val="24"/>
    </w:rPr>
  </w:style>
  <w:style w:type="paragraph" w:styleId="Heading5">
    <w:name w:val="heading 5"/>
    <w:basedOn w:val="Normal"/>
    <w:next w:val="Normal"/>
    <w:link w:val="Heading5Char"/>
    <w:uiPriority w:val="9"/>
    <w:semiHidden/>
    <w:unhideWhenUsed/>
    <w:qFormat/>
    <w:rsid w:val="00FC693F"/>
    <w:pPr>
      <w:keepNext/>
      <w:keepLines/>
      <w:spacing w:before="120" w:after="120" w:lineRule="auto" w:line="360"/>
      <w:jc w:val="left"/>
      <w:outlineLvl w:val="4"/>
    </w:pPr>
    <w:rPr>
      <w:rFonts w:asciiTheme="majorHAnsi" w:eastAsiaTheme="majorEastAsia" w:hAnsiTheme="majorHAnsi" w:cstheme="majorBidi" w:ascii="Arial" w:hAnsi="Arial" w:cs="Arial"/>
      <w:b/>
      <w:i w:val="0"/>
      <w:color w:val="000000"/>
      <w:sz w:val="24"/>
    </w:rPr>
  </w:style>
  <w:style w:type="paragraph" w:styleId="Heading6">
    <w:name w:val="heading 6"/>
    <w:basedOn w:val="Normal"/>
    <w:next w:val="Normal"/>
    <w:link w:val="Heading6Char"/>
    <w:uiPriority w:val="9"/>
    <w:semiHidden/>
    <w:unhideWhenUsed/>
    <w:qFormat/>
    <w:rsid w:val="00FC693F"/>
    <w:pPr>
      <w:keepNext/>
      <w:keepLines/>
      <w:spacing w:before="120" w:after="120" w:lineRule="auto" w:line="360"/>
      <w:jc w:val="left"/>
      <w:outlineLvl w:val="5"/>
    </w:pPr>
    <w:rPr>
      <w:rFonts w:asciiTheme="majorHAnsi" w:eastAsiaTheme="majorEastAsia" w:hAnsiTheme="majorHAnsi" w:cstheme="majorBidi" w:ascii="Arial" w:hAnsi="Arial" w:cs="Arial"/>
      <w:b/>
      <w:i w:val="0"/>
      <w:iCs/>
      <w:color w:val="000000"/>
      <w:sz w:val="24"/>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40" w:line="360" w:lineRule="auto" w:before="0"/>
      <w:contextualSpacing/>
      <w:jc w:val="center"/>
    </w:pPr>
    <w:rPr>
      <w:rFonts w:asciiTheme="majorHAnsi" w:eastAsiaTheme="majorEastAsia" w:hAnsiTheme="majorHAnsi" w:cstheme="majorBidi" w:ascii="Arial" w:hAnsi="Arial" w:cs="Arial"/>
      <w:b/>
      <w:i w:val="0"/>
      <w:caps/>
      <w:color w:val="000000"/>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spacing w:lineRule="auto" w:line="360" w:before="0" w:after="120"/>
      <w:ind w:left="425"/>
      <w:contextualSpacing/>
    </w:pPr>
    <w:rPr>
      <w:rFonts w:ascii="Arial" w:hAnsi="Arial" w:cs="Arial"/>
      <w:b w:val="0"/>
      <w:i w:val="0"/>
      <w:color w:val="000000"/>
      <w:sz w:val="24"/>
    </w:rPr>
  </w:style>
  <w:style w:type="paragraph" w:styleId="BodyText">
    <w:name w:val="Body Text"/>
    <w:basedOn w:val="Normal"/>
    <w:link w:val="BodyTextChar"/>
    <w:uiPriority w:val="99"/>
    <w:unhideWhenUsed/>
    <w:rsid w:val="00AA1D8D"/>
    <w:pPr>
      <w:spacing w:after="120" w:lineRule="auto" w:line="360" w:before="0"/>
    </w:pPr>
    <w:rPr>
      <w:rFonts w:ascii="Arial" w:hAnsi="Arial" w:cs="Arial"/>
      <w:b w:val="0"/>
      <w:i w:val="0"/>
      <w:color w:val="000000"/>
      <w:sz w:val="24"/>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Rule="auto" w:line="360" w:before="0" w:after="120"/>
      <w:ind w:left="425"/>
      <w:contextualSpacing/>
    </w:pPr>
    <w:rPr>
      <w:rFonts w:ascii="Arial" w:hAnsi="Arial" w:cs="Arial"/>
      <w:b w:val="0"/>
      <w:i w:val="0"/>
      <w:color w:val="000000"/>
      <w:sz w:val="2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lineRule="auto" w:line="360" w:before="0" w:after="120"/>
      <w:ind w:left="425"/>
      <w:contextualSpacing/>
    </w:pPr>
    <w:rPr>
      <w:rFonts w:ascii="Arial" w:hAnsi="Arial" w:cs="Arial"/>
      <w:b w:val="0"/>
      <w:i w:val="0"/>
      <w:color w:val="000000"/>
      <w:sz w:val="24"/>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BlockText"/>
    <w:next w:val="Normal"/>
    <w:link w:val="QuoteChar"/>
    <w:uiPriority w:val="29"/>
    <w:qFormat/>
    <w:rsid w:val="00FC693F"/>
    <w:pPr>
      <w:spacing w:lineRule="auto" w:line="240" w:before="120" w:after="120"/>
      <w:ind w:left="709" w:right="709"/>
    </w:pPr>
    <w:rPr>
      <w:rFonts w:ascii="Arial" w:hAnsi="Arial" w:cs="Arial"/>
      <w:b w:val="0"/>
      <w:i w:val="0"/>
      <w:iCs/>
      <w:color w:val="000000"/>
      <w:sz w:val="24"/>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rPr>
      <w:rFonts w:ascii="Arial" w:hAnsi="Arial"/>
      <w:color w:val="000000"/>
      <w:sz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rstParagraph">
    <w:name w:val="First Paragraph"/>
    <w:basedOn w:val="Normal"/>
    <w:pPr>
      <w:spacing w:lineRule="auto" w:line="360" w:before="0" w:after="120"/>
    </w:pPr>
    <w:rPr>
      <w:rFonts w:ascii="Arial" w:hAnsi="Arial" w:cs="Arial"/>
      <w:b w:val="0"/>
      <w:i w:val="0"/>
      <w:color w:val="000000"/>
      <w:sz w:val="24"/>
    </w:rPr>
  </w:style>
  <w:style w:type="paragraph" w:customStyle="1" w:styleId="BlockText">
    <w:name w:val="Block Text"/>
    <w:basedOn w:val="Normal"/>
    <w:pPr>
      <w:spacing w:lineRule="auto" w:line="240" w:before="120" w:after="120"/>
      <w:ind w:left="709" w:right="709"/>
    </w:pPr>
    <w:rPr>
      <w:rFonts w:ascii="Arial" w:hAnsi="Arial" w:cs="Arial"/>
      <w:b w:val="0"/>
      <w:i w:val="0"/>
      <w:color w:val="000000"/>
      <w:sz w:val="24"/>
    </w:rPr>
  </w:style>
  <w:style w:type="paragraph" w:customStyle="1" w:styleId="FootnoteText">
    <w:name w:val="Footnote Text"/>
    <w:pPr>
      <w:spacing w:lineRule="auto" w:line="240" w:before="0" w:after="0"/>
    </w:pPr>
    <w:rPr>
      <w:rFonts w:ascii="Arial" w:hAnsi="Arial" w:cs="Arial"/>
      <w:b w:val="0"/>
      <w:i w:val="0"/>
      <w:color w:val="000000"/>
      <w:sz w:val="20"/>
    </w:rPr>
  </w:style>
  <w:style w:type="paragraph" w:customStyle="1" w:styleId="SourceCode">
    <w:name w:val="Source Code"/>
    <w:pPr>
      <w:spacing w:lineRule="auto" w:line="240" w:before="120" w:after="120"/>
      <w:ind w:left="709"/>
    </w:pPr>
    <w:rPr>
      <w:rFonts w:ascii="Courier New" w:hAnsi="Courier New" w:cs="Courier New"/>
      <w:b w:val="0"/>
      <w:i w:val="0"/>
      <w:color w:val="000000"/>
      <w:sz w:val="20"/>
    </w:rPr>
  </w:style>
  <w:style w:type="character" w:customStyle="1" w:styleId="VerbatimChar">
    <w:name w:val="Verbatim Char"/>
    <w:rPr>
      <w:rFonts w:ascii="Courier New" w:hAnsi="Courier New" w:cs="Courier New"/>
      <w:b w:val="0"/>
      <w:i w:val="0"/>
      <w:color w:val="000000"/>
      <w:sz w:val="20"/>
    </w:r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ype="http://schemas.openxmlformats.org/officeDocument/2006/relationships/footer" Target="footer1.xml" /><Relationship Type="http://schemas.openxmlformats.org/officeDocument/2006/relationships/hyperlink" Id="rId22" Target="bordereau_pieces.md" TargetMode="External" /><Relationship Type="http://schemas.openxmlformats.org/officeDocument/2006/relationships/hyperlink" Id="rId21" Target="requete_secton_faits_lp.md" TargetMode="External" /><Relationship Type="http://schemas.openxmlformats.org/officeDocument/2006/relationships/hyperlink" Id="rId33" Target="synthese_abus_diffamation_requete2015.md" TargetMode="External" /><Relationship Type="http://schemas.openxmlformats.org/officeDocument/2006/relationships/hyperlink" Id="rId32" Target="these_2019_saisine_amiable.md" TargetMode="External" /><Relationship Type="http://schemas.openxmlformats.org/officeDocument/2006/relationships/hyperlink" Id="rId31" Target="these_norme_instrument_soumission.md" TargetMode="External" /><Relationship Type="http://schemas.openxmlformats.org/officeDocument/2006/relationships/hyperlink" Id="rId30" Target="these_patron_abstrait.md" TargetMode="External" /><Relationship Type="http://schemas.openxmlformats.org/officeDocument/2006/relationships/hyperlink" Id="rId49" Target="these_prescription.md" TargetMode="External" /></Relationships>
</file>

<file path=word/_rels/footnotes.xml.rels><?xml version="1.0" encoding="UTF-8"?>
<Relationships xmlns="http://schemas.openxmlformats.org/package/2006/relationships"><Relationship Type="http://schemas.openxmlformats.org/officeDocument/2006/relationships/hyperlink" Id="rId22" Target="bordereau_pieces.md" TargetMode="External" /><Relationship Type="http://schemas.openxmlformats.org/officeDocument/2006/relationships/hyperlink" Id="rId21" Target="requete_secton_faits_lp.md" TargetMode="External" /><Relationship Type="http://schemas.openxmlformats.org/officeDocument/2006/relationships/hyperlink" Id="rId33" Target="synthese_abus_diffamation_requete2015.md" TargetMode="External" /><Relationship Type="http://schemas.openxmlformats.org/officeDocument/2006/relationships/hyperlink" Id="rId32" Target="these_2019_saisine_amiable.md" TargetMode="External" /><Relationship Type="http://schemas.openxmlformats.org/officeDocument/2006/relationships/hyperlink" Id="rId31" Target="these_norme_instrument_soumission.md" TargetMode="External" /><Relationship Type="http://schemas.openxmlformats.org/officeDocument/2006/relationships/hyperlink" Id="rId30" Target="these_patron_abstrait.md" TargetMode="External" /><Relationship Type="http://schemas.openxmlformats.org/officeDocument/2006/relationships/hyperlink" Id="rId49" Target="these_prescription.m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2026-07-17T22:02:00Z</dcterms:created>
  <dcterms:modified xsi:type="dcterms:W3CDTF">2026-07-17T22:02:00Z</dcterms:modified>
</cp:coreProperties>
</file>

<file path=docProps/custom.xml><?xml version="1.0" encoding="utf-8"?>
<Properties xmlns="http://schemas.openxmlformats.org/officeDocument/2006/custom-properties" xmlns:vt="http://schemas.openxmlformats.org/officeDocument/2006/docPropsVTypes"/>
</file>