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ff9f78eb23cfb5f6a0ccb75066e8f6b497d705"/>
      <w:r>
        <w:t xml:space="preserve">Note — Argument sécurité vs stabilité (à intégrer dans l’axe violence conjugale)</w:t>
      </w:r>
      <w:bookmarkEnd w:id="20"/>
    </w:p>
    <w:p>
      <w:pPr>
        <w:pStyle w:val="FirstParagraph"/>
      </w:pPr>
      <w:r>
        <w:rPr>
          <w:b/>
        </w:rPr>
        <w:t xml:space="preserve">Réservé pour le paragraphe portant sur la violence conjugale — ne pas intégrer au paragraphe 7.</w:t>
      </w:r>
    </w:p>
    <w:p>
      <w:r>
        <w:pict>
          <v:rect style="width:0;height:1.5pt" o:hralign="center" o:hrstd="t" o:hr="t"/>
        </w:pict>
      </w:r>
    </w:p>
    <w:p>
      <w:pPr>
        <w:pStyle w:val="Heading2"/>
      </w:pPr>
      <w:bookmarkStart w:id="21" w:name="largument"/>
      <w:r>
        <w:t xml:space="preserve">L’argument</w:t>
      </w:r>
      <w:bookmarkEnd w:id="21"/>
    </w:p>
    <w:p>
      <w:pPr>
        <w:pStyle w:val="FirstParagraph"/>
      </w:pPr>
      <w:r>
        <w:t xml:space="preserve">Dans l’appréciation de l’intérêt de l’enfant, la sécurité est hiérarchiquement prioritaire à la stabilité. Une situation de compromission réelle de la sécurité de l’enfant conduit un tribunal à agir — indépendamment de toute routine établie.</w:t>
      </w:r>
    </w:p>
    <w:p>
      <w:pPr>
        <w:pStyle w:val="BodyText"/>
      </w:pPr>
      <w:r>
        <w:t xml:space="preserve">Or la théorie de succès du plan de Me Ayoub (11 juin 2013) repose entièrement sur la</w:t>
      </w:r>
      <w:r>
        <w:t xml:space="preserve"> </w:t>
      </w:r>
      <w:r>
        <w:rPr>
          <w:b/>
        </w:rPr>
        <w:t xml:space="preserve">stabilité</w:t>
      </w:r>
      <w:r>
        <w:t xml:space="preserve"> </w:t>
      </w:r>
      <w:r>
        <w:t xml:space="preserve">:</w:t>
      </w:r>
    </w:p>
    <w:p>
      <w:pPr>
        <w:pStyle w:val="BlockText"/>
      </w:pPr>
      <w:r>
        <w:rPr>
          <w:i/>
        </w:rPr>
        <w:t xml:space="preserve">“</w:t>
      </w:r>
      <w:r>
        <w:rPr>
          <w:i/>
        </w:rPr>
        <w:t xml:space="preserve">une routine s’instaure entre toi et les enfants et souvent ce qui fonctionne bien les juges hésitent à les changer.</w:t>
      </w:r>
      <w:r>
        <w:rPr>
          <w:i/>
        </w:rPr>
        <w:t xml:space="preserve">”</w:t>
      </w:r>
    </w:p>
    <w:p>
      <w:pPr>
        <w:pStyle w:val="FirstParagraph"/>
      </w:pPr>
      <w:r>
        <w:t xml:space="preserve">Me Ayoub affirme pourtant que</w:t>
      </w:r>
      <w:r>
        <w:t xml:space="preserve"> </w:t>
      </w:r>
      <w:r>
        <w:rPr>
          <w:i/>
        </w:rPr>
        <w:t xml:space="preserve">“</w:t>
      </w:r>
      <w:r>
        <w:rPr>
          <w:i/>
        </w:rPr>
        <w:t xml:space="preserve">la sécurité et le développement [d’Alexia] sont compromis</w:t>
      </w:r>
      <w:r>
        <w:rPr>
          <w:i/>
        </w:rPr>
        <w:t xml:space="preserve">”</w:t>
      </w:r>
      <w:r>
        <w:t xml:space="preserve"> </w:t>
      </w:r>
      <w:r>
        <w:t xml:space="preserve">— un argument de premier rang. Si cette compromission était réelle et démontrable, la routine serait superflue : la sécurité suffit à justifier la garde exclusive, sans attendre que le passage du temps crée un précédent.</w:t>
      </w:r>
    </w:p>
    <w:p>
      <w:pPr>
        <w:pStyle w:val="BodyText"/>
      </w:pPr>
      <w:r>
        <w:t xml:space="preserve">Le fait qu’elle construise sa théorie de succès sur la stabilité — et non sur la sécurité qu’elle prétend établir — révèle que la compromission alléguée n’est pas ce sur quoi elle compte pour obtenir le résultat. Elle s’en sert comme clé d’accès à la procédure d’urgence, pas comme fondement substantif de la demande.</w:t>
      </w:r>
    </w:p>
    <w:p>
      <w:pPr>
        <w:pStyle w:val="BodyText"/>
      </w:pPr>
      <w:r>
        <w:rPr>
          <w:b/>
        </w:rPr>
        <w:t xml:space="preserve">Portée de l’argument :</w:t>
      </w:r>
      <w:r>
        <w:t xml:space="preserve"> </w:t>
      </w:r>
      <w:r>
        <w:t xml:space="preserve">ni la violence conjugale, ni aucune autre situation de compromission grave — si elle avait été réelle et démontrable — n’aurait conduit à une stratégie fondée sur la routine et le passage du temps. Le choix d’une théorie de succès fondée sur la stabilité, en présence d’allégations de sécurité, révèle que ces allégations n’étaient pas traitées comme substantiellement fondées — même par celle qui les formulait.</w:t>
      </w:r>
    </w:p>
    <w:p>
      <w:r>
        <w:pict>
          <v:rect style="width:0;height:1.5pt" o:hralign="center" o:hrstd="t" o:hr="t"/>
        </w:pict>
      </w:r>
    </w:p>
    <w:p>
      <w:pPr>
        <w:pStyle w:val="FirstParagraph"/>
      </w:pPr>
      <w:r>
        <w:rPr>
          <w:b/>
        </w:rPr>
        <w:t xml:space="preserve">Source :</w:t>
      </w:r>
      <w:r>
        <w:t xml:space="preserve"> </w:t>
      </w:r>
      <w:r>
        <w:rPr>
          <w:rStyle w:val="VerbatimChar"/>
        </w:rPr>
        <w:t xml:space="preserve">Media/pdf_documents/20130611_MJ_Courriel_violence_conjugale.pdf</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before="0" w:after="120"/>
    </w:pPr>
    <w:rPr>
      <w:rFonts w:ascii="Arial" w:hAnsi="Arial" w:cs="Arial"/>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auto" w:line="360"/>
      <w:jc w:val="left"/>
      <w:outlineLvl w:val="0"/>
    </w:pPr>
    <w:rPr>
      <w:rFonts w:asciiTheme="majorHAnsi" w:eastAsiaTheme="majorEastAsia" w:hAnsiTheme="majorHAnsi" w:cstheme="majorBidi" w:ascii="Arial" w:hAnsi="Arial" w:cs="Arial"/>
      <w:b/>
      <w:bCs/>
      <w:i w:val="0"/>
      <w:cap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Rule="auto" w:line="360"/>
      <w:jc w:val="left"/>
      <w:outlineLvl w:val="1"/>
    </w:pPr>
    <w:rPr>
      <w:rFonts w:asciiTheme="majorHAnsi" w:eastAsiaTheme="majorEastAsia" w:hAnsiTheme="majorHAnsi" w:cstheme="majorBidi" w:ascii="Arial" w:hAnsi="Arial" w:cs="Arial"/>
      <w:b/>
      <w:bCs/>
      <w:i w:val="0"/>
      <w:cap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120" w:lineRule="auto" w:line="360"/>
      <w:jc w:val="left"/>
      <w:outlineLvl w:val="2"/>
    </w:pPr>
    <w:rPr>
      <w:rFonts w:asciiTheme="majorHAnsi" w:eastAsiaTheme="majorEastAsia" w:hAnsiTheme="majorHAnsi" w:cstheme="majorBidi" w:ascii="Arial" w:hAnsi="Arial" w:cs="Arial"/>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120" w:lineRule="auto" w:line="360"/>
      <w:jc w:val="left"/>
      <w:outlineLvl w:val="3"/>
    </w:pPr>
    <w:rPr>
      <w:rFonts w:asciiTheme="majorHAnsi" w:eastAsiaTheme="majorEastAsia" w:hAnsiTheme="majorHAnsi" w:cstheme="majorBidi" w:ascii="Arial" w:hAnsi="Arial" w:cs="Arial"/>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120" w:after="120" w:lineRule="auto" w:line="360"/>
      <w:jc w:val="left"/>
      <w:outlineLvl w:val="4"/>
    </w:pPr>
    <w:rPr>
      <w:rFonts w:asciiTheme="majorHAnsi" w:eastAsiaTheme="majorEastAsia" w:hAnsiTheme="majorHAnsi" w:cstheme="majorBidi" w:ascii="Arial" w:hAnsi="Arial" w:cs="Arial"/>
      <w:b/>
      <w:i w:val="0"/>
      <w:color w:val="000000"/>
      <w:sz w:val="24"/>
    </w:rPr>
  </w:style>
  <w:style w:type="paragraph" w:styleId="Heading6">
    <w:name w:val="heading 6"/>
    <w:basedOn w:val="Normal"/>
    <w:next w:val="Normal"/>
    <w:link w:val="Heading6Char"/>
    <w:uiPriority w:val="9"/>
    <w:semiHidden/>
    <w:unhideWhenUsed/>
    <w:qFormat/>
    <w:rsid w:val="00FC693F"/>
    <w:pPr>
      <w:keepNext/>
      <w:keepLines/>
      <w:spacing w:before="120" w:after="120" w:lineRule="auto" w:line="360"/>
      <w:jc w:val="left"/>
      <w:outlineLvl w:val="5"/>
    </w:pPr>
    <w:rPr>
      <w:rFonts w:asciiTheme="majorHAnsi" w:eastAsiaTheme="majorEastAsia" w:hAnsiTheme="majorHAnsi" w:cstheme="majorBidi" w:ascii="Arial" w:hAnsi="Arial" w:cs="Arial"/>
      <w:b/>
      <w:i w:val="0"/>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360" w:lineRule="auto" w:before="0"/>
      <w:contextualSpacing/>
      <w:jc w:val="center"/>
    </w:pPr>
    <w:rPr>
      <w:rFonts w:asciiTheme="majorHAnsi" w:eastAsiaTheme="majorEastAsia" w:hAnsiTheme="majorHAnsi" w:cstheme="majorBidi" w:ascii="Arial" w:hAnsi="Arial" w:cs="Arial"/>
      <w:b/>
      <w:i w:val="0"/>
      <w:caps/>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Rule="auto" w:line="360" w:before="0" w:after="120"/>
      <w:ind w:left="425"/>
      <w:contextualSpacing/>
    </w:pPr>
    <w:rPr>
      <w:rFonts w:ascii="Arial" w:hAnsi="Arial" w:cs="Arial"/>
      <w:b w:val="0"/>
      <w:i w:val="0"/>
      <w:color w:val="000000"/>
      <w:sz w:val="24"/>
    </w:rPr>
  </w:style>
  <w:style w:type="paragraph" w:styleId="BodyText">
    <w:name w:val="Body Text"/>
    <w:basedOn w:val="Normal"/>
    <w:link w:val="BodyTextChar"/>
    <w:uiPriority w:val="99"/>
    <w:unhideWhenUsed/>
    <w:rsid w:val="00AA1D8D"/>
    <w:pPr>
      <w:spacing w:after="120" w:lineRule="auto" w:line="360" w:before="0"/>
    </w:pPr>
    <w:rPr>
      <w:rFonts w:ascii="Arial" w:hAnsi="Arial" w:cs="Arial"/>
      <w:b w:val="0"/>
      <w:i w:val="0"/>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Rule="auto" w:line="360" w:before="0" w:after="120"/>
      <w:ind w:left="425"/>
      <w:contextualSpacing/>
    </w:pPr>
    <w:rPr>
      <w:rFonts w:ascii="Arial" w:hAnsi="Arial" w:cs="Arial"/>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Rule="auto" w:line="360" w:before="0" w:after="120"/>
      <w:ind w:left="425"/>
      <w:contextualSpacing/>
    </w:pPr>
    <w:rPr>
      <w:rFonts w:ascii="Arial" w:hAnsi="Arial" w:cs="Arial"/>
      <w:b w:val="0"/>
      <w:i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BlockText"/>
    <w:next w:val="Normal"/>
    <w:link w:val="QuoteChar"/>
    <w:uiPriority w:val="29"/>
    <w:qFormat/>
    <w:rsid w:val="00FC693F"/>
    <w:pPr>
      <w:spacing w:lineRule="auto" w:line="240" w:before="120" w:after="120"/>
      <w:ind w:left="709" w:right="709"/>
    </w:pPr>
    <w:rPr>
      <w:rFonts w:ascii="Arial" w:hAnsi="Arial" w:cs="Arial"/>
      <w:b w:val="0"/>
      <w:i w:val="0"/>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color w:val="000000"/>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spacing w:lineRule="auto" w:line="360" w:before="0" w:after="120"/>
    </w:pPr>
    <w:rPr>
      <w:rFonts w:ascii="Arial" w:hAnsi="Arial" w:cs="Arial"/>
      <w:b w:val="0"/>
      <w:i w:val="0"/>
      <w:color w:val="000000"/>
      <w:sz w:val="24"/>
    </w:rPr>
  </w:style>
  <w:style w:type="paragraph" w:customStyle="1" w:styleId="BlockText">
    <w:name w:val="Block Text"/>
    <w:basedOn w:val="Normal"/>
    <w:pPr>
      <w:spacing w:lineRule="auto" w:line="240" w:before="120" w:after="120"/>
      <w:ind w:left="709" w:right="709"/>
    </w:pPr>
    <w:rPr>
      <w:rFonts w:ascii="Arial" w:hAnsi="Arial" w:cs="Arial"/>
      <w:b w:val="0"/>
      <w:i w:val="0"/>
      <w:color w:val="000000"/>
      <w:sz w:val="24"/>
    </w:rPr>
  </w:style>
  <w:style w:type="paragraph" w:customStyle="1" w:styleId="FootnoteText">
    <w:name w:val="Footnote Text"/>
    <w:pPr>
      <w:spacing w:lineRule="auto" w:line="240" w:before="0" w:after="0"/>
    </w:pPr>
    <w:rPr>
      <w:rFonts w:ascii="Arial" w:hAnsi="Arial" w:cs="Arial"/>
      <w:b w:val="0"/>
      <w:i w:val="0"/>
      <w:color w:val="000000"/>
      <w:sz w:val="20"/>
    </w:rPr>
  </w:style>
  <w:style w:type="paragraph" w:customStyle="1" w:styleId="SourceCode">
    <w:name w:val="Source Code"/>
    <w:pPr>
      <w:spacing w:lineRule="auto" w:line="240" w:before="120" w:after="120"/>
      <w:ind w:left="709"/>
    </w:pPr>
    <w:rPr>
      <w:rFonts w:ascii="Courier New" w:hAnsi="Courier New" w:cs="Courier New"/>
      <w:b w:val="0"/>
      <w:i w:val="0"/>
      <w:color w:val="000000"/>
      <w:sz w:val="20"/>
    </w:rPr>
  </w:style>
  <w:style w:type="character" w:customStyle="1" w:styleId="VerbatimChar">
    <w:name w:val="Verbatim Char"/>
    <w:rPr>
      <w:rFonts w:ascii="Courier New" w:hAnsi="Courier New" w:cs="Courier New"/>
      <w:b w:val="0"/>
      <w:i w:val="0"/>
      <w:color w:val="000000"/>
      <w:sz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footer" Target="footer1.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2026-07-09T18:32:17Z</dcterms:created>
  <dcterms:modified xsi:type="dcterms:W3CDTF">2026-07-09T18:32:17Z</dcterms:modified>
</cp:coreProperties>
</file>

<file path=docProps/custom.xml><?xml version="1.0" encoding="utf-8"?>
<Properties xmlns="http://schemas.openxmlformats.org/officeDocument/2006/custom-properties" xmlns:vt="http://schemas.openxmlformats.org/officeDocument/2006/docPropsVTypes"/>
</file>