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4faf1bc919fac435dd59bdbdb9bf11b2dad909"/>
      <w:r>
        <w:t xml:space="preserve">EXPOSÉ DES FAITS — VOLET 2015 (section « Les faits » de la demande introductive d’instance)</w:t>
      </w:r>
      <w:bookmarkEnd w:id="20"/>
    </w:p>
    <w:p>
      <w:pPr>
        <w:pStyle w:val="BlockText"/>
      </w:pPr>
      <w:r>
        <w:rPr>
          <w:b/>
        </w:rPr>
        <w:t xml:space="preserve">STATUT : version pour intégration — à valider par le procureur avant dépôt.</w:t>
      </w:r>
      <w:r>
        <w:t xml:space="preserve"> </w:t>
      </w:r>
      <w:r>
        <w:t xml:space="preserve">Consolidation des « faits essentiels plaidables » des douze ponts de</w:t>
      </w:r>
      <w:r>
        <w:t xml:space="preserve"> </w:t>
      </w:r>
      <w:hyperlink r:id="rId21">
        <w:r>
          <w:rPr>
            <w:rStyle w:val="Hyperlink"/>
          </w:rPr>
          <w:t xml:space="preserve">ponts_requete_2015_consolides.md</w:t>
        </w:r>
      </w:hyperlink>
      <w:r>
        <w:t xml:space="preserve">, en un exposé unique, chronologique, conforme à l’art. 99 C.p.c. (un fait = une proposition, descriptive, sans qualificatif, sourcée).</w:t>
      </w:r>
    </w:p>
    <w:p>
      <w:pPr>
        <w:pStyle w:val="BlockText"/>
      </w:pPr>
      <w:r>
        <w:rPr>
          <w:b/>
        </w:rPr>
        <w:t xml:space="preserve">Réserves d’admissibilité (à trancher avant dépôt) :</w:t>
      </w:r>
      <w:r>
        <w:t xml:space="preserve"> </w:t>
      </w:r>
      <w:r>
        <w:t xml:space="preserve">1.</w:t>
      </w:r>
      <w:r>
        <w:t xml:space="preserve"> </w:t>
      </w:r>
      <w:r>
        <w:rPr>
          <w:b/>
        </w:rPr>
        <w:t xml:space="preserve">P-1</w:t>
      </w:r>
      <w:r>
        <w:t xml:space="preserve"> </w:t>
      </w:r>
      <w:r>
        <w:t xml:space="preserve">(courriel du 11 juin 2013) — secret professionnel / exception à faire trancher ; les faits 44 à 53 en dépendent ;</w:t>
      </w:r>
      <w:r>
        <w:t xml:space="preserve"> </w:t>
      </w:r>
      <w:r>
        <w:t xml:space="preserve">2.</w:t>
      </w:r>
      <w:r>
        <w:t xml:space="preserve"> </w:t>
      </w:r>
      <w:r>
        <w:rPr>
          <w:b/>
        </w:rPr>
        <w:t xml:space="preserve">Correspondance de négociation</w:t>
      </w:r>
      <w:r>
        <w:t xml:space="preserve"> </w:t>
      </w:r>
      <w:r>
        <w:t xml:space="preserve">(P-3, P-4, P-5, P-16, P-19) — privilège relatif aux règlements ; levier de renonciation : la Requête plaide elle-même les négociations (§18, §23, §59) ;</w:t>
      </w:r>
      <w:r>
        <w:t xml:space="preserve"> </w:t>
      </w:r>
      <w:r>
        <w:t xml:space="preserve">3.</w:t>
      </w:r>
      <w:r>
        <w:t xml:space="preserve"> </w:t>
      </w:r>
      <w:r>
        <w:rPr>
          <w:b/>
        </w:rPr>
        <w:t xml:space="preserve">Fait 54</w:t>
      </w:r>
      <w:r>
        <w:t xml:space="preserve"> </w:t>
      </w:r>
      <w:r>
        <w:t xml:space="preserve">(courriel du 26 juin 2013 à Me Pringle) — renonciation du demandeur à son propre secret, à délimiter ;</w:t>
      </w:r>
      <w:r>
        <w:t xml:space="preserve"> </w:t>
      </w:r>
      <w:r>
        <w:t xml:space="preserve">4. Les communications internes avocat-client des 27 avril, 8 et 12 mai 2015 sont</w:t>
      </w:r>
      <w:r>
        <w:t xml:space="preserve"> </w:t>
      </w:r>
      <w:r>
        <w:rPr>
          <w:b/>
        </w:rPr>
        <w:t xml:space="preserve">exclues</w:t>
      </w:r>
      <w:r>
        <w:t xml:space="preserve"> </w:t>
      </w:r>
      <w:r>
        <w:t xml:space="preserve">du présent exposé.</w:t>
      </w:r>
    </w:p>
    <w:p>
      <w:pPr>
        <w:pStyle w:val="BlockText"/>
      </w:pPr>
      <w:r>
        <w:rPr>
          <w:b/>
        </w:rPr>
        <w:t xml:space="preserve">Cotes</w:t>
      </w:r>
      <w:r>
        <w:t xml:space="preserve"> </w:t>
      </w:r>
      <w:r>
        <w:t xml:space="preserve">: les cotes P-1 à P-30 renvoient au bordereau de</w:t>
      </w:r>
      <w:r>
        <w:t xml:space="preserve"> </w:t>
      </w:r>
      <w:hyperlink r:id="rId22">
        <w:r>
          <w:rPr>
            <w:rStyle w:val="Hyperlink"/>
          </w:rPr>
          <w:t xml:space="preserve">demande_introductive_instance.md</w:t>
        </w:r>
      </w:hyperlink>
      <w:r>
        <w:t xml:space="preserve"> </w:t>
      </w:r>
      <w:r>
        <w:t xml:space="preserve">; « (pièce à coter : …) » = pièce identifiée, cote finale à attribuer. Les qualifications et inférences sont</w:t>
      </w:r>
      <w:r>
        <w:t xml:space="preserve"> </w:t>
      </w:r>
      <w:r>
        <w:rPr>
          <w:b/>
        </w:rPr>
        <w:t xml:space="preserve">réservées aux moyens de droit</w:t>
      </w:r>
      <w:r>
        <w:t xml:space="preserve">.</w:t>
      </w:r>
    </w:p>
    <w:p>
      <w:r>
        <w:pict>
          <v:rect style="width:0;height:1.5pt" o:hralign="center" o:hrstd="t" o:hr="t"/>
        </w:pict>
      </w:r>
    </w:p>
    <w:p>
      <w:pPr>
        <w:pStyle w:val="Heading2"/>
      </w:pPr>
      <w:bookmarkStart w:id="23" w:name="Xa102883c4d48d60fb6d31fc40b50f086569b816"/>
      <w:r>
        <w:t xml:space="preserve">A. Les parties, les enfants et la résidence</w:t>
      </w:r>
      <w:bookmarkEnd w:id="23"/>
    </w:p>
    <w:p>
      <w:pPr>
        <w:numPr>
          <w:numId w:val="1001"/>
          <w:ilvl w:val="0"/>
        </w:numPr>
      </w:pPr>
      <w:r>
        <w:t xml:space="preserve">Le demandeur et la défenderesse Élise Marie Ayoub ont fait vie commune pendant environ dix (10) ans (pièce P-5, préambule).</w:t>
      </w:r>
    </w:p>
    <w:p>
      <w:pPr>
        <w:numPr>
          <w:numId w:val="1001"/>
          <w:ilvl w:val="0"/>
        </w:numPr>
      </w:pPr>
      <w:r>
        <w:t xml:space="preserve">Deux enfants sont issus de cette union : Alexia, née le 6 octobre 2009, et Nicolas, né le 1er février 2013 (pièce P-5).</w:t>
      </w:r>
    </w:p>
    <w:p>
      <w:pPr>
        <w:numPr>
          <w:numId w:val="1001"/>
          <w:ilvl w:val="0"/>
        </w:numPr>
      </w:pPr>
      <w:r>
        <w:t xml:space="preserve">La défenderesse Me Marie-Josée Ayoub est la sœur d’Élise Marie Ayoub et est avocate (pièce P-1).</w:t>
      </w:r>
    </w:p>
    <w:p>
      <w:pPr>
        <w:numPr>
          <w:numId w:val="1001"/>
          <w:ilvl w:val="0"/>
        </w:numPr>
      </w:pPr>
      <w:r>
        <w:t xml:space="preserve">En août 2009, les parties ont acquis conjointement la résidence familiale du 245, avenue Macaulay, à Saint-Lambert (pièce à coter : acte d’acquisition).</w:t>
      </w:r>
    </w:p>
    <w:p>
      <w:pPr>
        <w:pStyle w:val="Heading2"/>
      </w:pPr>
      <w:bookmarkStart w:id="24" w:name="Xc0e0a5175f0f3581baf0d94a109a622fb2cdb80"/>
      <w:r>
        <w:t xml:space="preserve">B. L’implication parentale du demandeur (2009-2015)</w:t>
      </w:r>
      <w:bookmarkEnd w:id="24"/>
    </w:p>
    <w:p>
      <w:pPr>
        <w:numPr>
          <w:numId w:val="1002"/>
          <w:ilvl w:val="0"/>
        </w:numPr>
      </w:pPr>
      <w:r>
        <w:t xml:space="preserve">À la naissance d’Alexia en 2009, les trente-deux (32) semaines de congé parental partageables du Régime québécois d’assurance parentale ont été allouées en totalité à la défenderesse, le demandeur prenant ses cinq (5) semaines de paternité exclusives (pièce à coter : relevés RQAP).</w:t>
      </w:r>
    </w:p>
    <w:p>
      <w:pPr>
        <w:numPr>
          <w:numId w:val="1002"/>
          <w:ilvl w:val="0"/>
        </w:numPr>
      </w:pPr>
      <w:r>
        <w:t xml:space="preserve">Dès janvier 2010, alors qu’Alexia avait moins de quatre mois, le demandeur écrivait à sa mère qu’Alexia était malade et qu’ils resteraient tranquilles à la maison (pièce à coter : Email id=590).</w:t>
      </w:r>
    </w:p>
    <w:p>
      <w:pPr>
        <w:numPr>
          <w:numId w:val="1002"/>
          <w:ilvl w:val="0"/>
        </w:numPr>
      </w:pPr>
      <w:r>
        <w:t xml:space="preserve">En mai 2010, le demandeur communiquait à sa mère l’horaire des cours de natation d’Alexia (pièce à coter : Email id=91).</w:t>
      </w:r>
    </w:p>
    <w:p>
      <w:pPr>
        <w:numPr>
          <w:numId w:val="1002"/>
          <w:ilvl w:val="0"/>
        </w:numPr>
      </w:pPr>
      <w:r>
        <w:t xml:space="preserve">En novembre 2010, le demandeur écrivait à sa mère qu’il prenait le mercredi pour s’occuper d’Alexia (pièce à coter : Email id=603).</w:t>
      </w:r>
    </w:p>
    <w:p>
      <w:pPr>
        <w:numPr>
          <w:numId w:val="1002"/>
          <w:ilvl w:val="0"/>
        </w:numPr>
      </w:pPr>
      <w:r>
        <w:t xml:space="preserve">Entre mars 2011 et février 2016, le demandeur s’est absenté de son travail à au moins vingt (20) reprises documentées pour donner des soins aux enfants ou les accompagner à des rendez-vous médicaux (pièce à coter, en liasse : courriels aux supérieurs, Banque Nationale du Canada).</w:t>
      </w:r>
    </w:p>
    <w:p>
      <w:pPr>
        <w:numPr>
          <w:numId w:val="1002"/>
          <w:ilvl w:val="0"/>
        </w:numPr>
      </w:pPr>
      <w:r>
        <w:t xml:space="preserve">Entre mars 2011 et septembre 2012, au moins treize (13) de ces absences concernaient Alexia seule (même liasse).</w:t>
      </w:r>
    </w:p>
    <w:p>
      <w:pPr>
        <w:numPr>
          <w:numId w:val="1002"/>
          <w:ilvl w:val="0"/>
        </w:numPr>
      </w:pPr>
      <w:r>
        <w:t xml:space="preserve">Ces absences étaient signalées aux supérieurs du demandeur et entraînaient le report de réunions ou l’annulation de sa présence à des événements d’équipe (même liasse).</w:t>
      </w:r>
    </w:p>
    <w:p>
      <w:pPr>
        <w:numPr>
          <w:numId w:val="1002"/>
          <w:ilvl w:val="0"/>
        </w:numPr>
      </w:pPr>
      <w:r>
        <w:t xml:space="preserve">Le 6 juillet 2011, le demandeur écrivait à ses supérieurs qu’il restait à la maison avec sa fille malade, après une discussion avec la défenderesse au sujet de la prise en charge (même liasse).</w:t>
      </w:r>
    </w:p>
    <w:p>
      <w:pPr>
        <w:numPr>
          <w:numId w:val="1002"/>
          <w:ilvl w:val="0"/>
        </w:numPr>
      </w:pPr>
      <w:r>
        <w:t xml:space="preserve">Le 19 décembre 2014, le demandeur informait son employeur qu’il restait à la maison pour s’occuper d’un enfant malade et que la défenderesse prendrait la relève si nécessaire (même liasse).</w:t>
      </w:r>
    </w:p>
    <w:p>
      <w:pPr>
        <w:numPr>
          <w:numId w:val="1002"/>
          <w:ilvl w:val="0"/>
        </w:numPr>
      </w:pPr>
      <w:r>
        <w:t xml:space="preserve">Le 3 mai 2011, le demandeur a contesté un diagnostic médical concernant Alexia et un second médecin a confirmé sa position (pièce à coter : Event id=62).</w:t>
      </w:r>
    </w:p>
    <w:p>
      <w:pPr>
        <w:numPr>
          <w:numId w:val="1002"/>
          <w:ilvl w:val="0"/>
        </w:numPr>
      </w:pPr>
      <w:r>
        <w:t xml:space="preserve">Le 7 mai 2011, le demandeur était dans la piscine lors du cours de natation d’Alexia au YMCA (pièce à coter : photographies horodatées).</w:t>
      </w:r>
    </w:p>
    <w:p>
      <w:pPr>
        <w:numPr>
          <w:numId w:val="1002"/>
          <w:ilvl w:val="0"/>
        </w:numPr>
      </w:pPr>
      <w:r>
        <w:t xml:space="preserve">Les 11 décembre 2011 et 29 janvier 2012, le demandeur était présent aux cours d’AcroGym d’Alexia (pièce à coter : Events id=136, 150).</w:t>
      </w:r>
    </w:p>
    <w:p>
      <w:pPr>
        <w:numPr>
          <w:numId w:val="1002"/>
          <w:ilvl w:val="0"/>
        </w:numPr>
      </w:pPr>
      <w:r>
        <w:t xml:space="preserve">Le 24 novembre 2011, le demandeur écrivait à la défenderesse au sujet de la garderie : « vas tu la chercher ou j’y vais? » (pièce à coter : Email id=54).</w:t>
      </w:r>
    </w:p>
    <w:p>
      <w:pPr>
        <w:numPr>
          <w:numId w:val="1002"/>
          <w:ilvl w:val="0"/>
        </w:numPr>
      </w:pPr>
      <w:r>
        <w:t xml:space="preserve">Les 18 et 19 octobre 2012, le demandeur a assuré la routine du matin et accompagné Alexia à pied à sa maternelle (pièce à coter : Events id=213, 214).</w:t>
      </w:r>
    </w:p>
    <w:p>
      <w:pPr>
        <w:numPr>
          <w:numId w:val="1002"/>
          <w:ilvl w:val="0"/>
        </w:numPr>
      </w:pPr>
      <w:r>
        <w:t xml:space="preserve">Le 6 mars 2013, le demandeur écrivait qu’il déposerait Alexia à la garderie le matin (pièce à coter : Email id=369).</w:t>
      </w:r>
    </w:p>
    <w:p>
      <w:pPr>
        <w:numPr>
          <w:numId w:val="1002"/>
          <w:ilvl w:val="0"/>
        </w:numPr>
      </w:pPr>
      <w:r>
        <w:t xml:space="preserve">Entre juin 2013 et mars 2014, le demandeur a emmené Alexia faire de l’escalade à onze (11) reprises (pièce à coter, en liasse : Events id=316 à 326 ; confirmation Allez Up).</w:t>
      </w:r>
    </w:p>
    <w:p>
      <w:pPr>
        <w:numPr>
          <w:numId w:val="1002"/>
          <w:ilvl w:val="0"/>
        </w:numPr>
      </w:pPr>
      <w:r>
        <w:t xml:space="preserve">Le 17 septembre 2014, le demandeur est allé chercher Nicolas à la garderie (pièce à coter : Email id=29).</w:t>
      </w:r>
    </w:p>
    <w:p>
      <w:pPr>
        <w:numPr>
          <w:numId w:val="1002"/>
          <w:ilvl w:val="0"/>
        </w:numPr>
      </w:pPr>
      <w:r>
        <w:t xml:space="preserve">Le 23 octobre 2014, les parties ont échangé l’inventaire détaillé et les coûts des activités des enfants (pièce à coter : messagerie des parties).</w:t>
      </w:r>
    </w:p>
    <w:p>
      <w:pPr>
        <w:numPr>
          <w:numId w:val="1002"/>
          <w:ilvl w:val="0"/>
        </w:numPr>
      </w:pPr>
      <w:r>
        <w:t xml:space="preserve">Entre 2009 et 2015, au moins cent quatre-vingt-dix (190) occasions où le demandeur est seul avec l’un ou l’autre des enfants sont documentées par plus de mille cent (1 100) photographies horodatées (pièce à coter, en liasse : tableau récapitulatif et photographies).</w:t>
      </w:r>
    </w:p>
    <w:p>
      <w:pPr>
        <w:numPr>
          <w:numId w:val="1002"/>
          <w:ilvl w:val="0"/>
        </w:numPr>
      </w:pPr>
      <w:r>
        <w:t xml:space="preserve">Dans une biographie qu’elle a publiée, la défenderesse indique avoir suivi des cours de danse de 1999 à 2016, enseigné la danse dès 2010 et été gestionnaire d’événements de danse de 2013 à 2018 (pièce à coter : biographie publiée).</w:t>
      </w:r>
    </w:p>
    <w:p>
      <w:pPr>
        <w:numPr>
          <w:numId w:val="1002"/>
          <w:ilvl w:val="0"/>
        </w:numPr>
      </w:pPr>
      <w:r>
        <w:t xml:space="preserve">La défenderesse était absente de la résidence familiale pour ses activités de danse à raison d’un à trois soirs par semaine pendant plusieurs mois de l’année (même pièce ; faits 26 à 28).</w:t>
      </w:r>
    </w:p>
    <w:p>
      <w:pPr>
        <w:numPr>
          <w:numId w:val="1002"/>
          <w:ilvl w:val="0"/>
        </w:numPr>
      </w:pPr>
      <w:r>
        <w:t xml:space="preserve">Les 9 et 16 février 2011, le demandeur assurait la routine du soir d’Alexia pendant que la défenderesse était à ses cours de danse (pièce à coter : Events id=46, 52).</w:t>
      </w:r>
    </w:p>
    <w:p>
      <w:pPr>
        <w:numPr>
          <w:numId w:val="1002"/>
          <w:ilvl w:val="0"/>
        </w:numPr>
      </w:pPr>
      <w:r>
        <w:t xml:space="preserve">Le 6 mars 2012, le demandeur écrivait à la défenderesse qu’il s’organisait pour rentrer tôt afin de prendre le relais parce qu’elle dansait ce soir-là (pièce à coter).</w:t>
      </w:r>
    </w:p>
    <w:p>
      <w:pPr>
        <w:numPr>
          <w:numId w:val="1002"/>
          <w:ilvl w:val="0"/>
        </w:numPr>
      </w:pPr>
      <w:r>
        <w:t xml:space="preserve">Les 27 janvier et 3 mars 2014, le demandeur était à la maison avec Alexia et Nicolas pendant que la défenderesse était à ses cours de danse (pièce à coter : Events id=274, 278).</w:t>
      </w:r>
    </w:p>
    <w:p>
      <w:pPr>
        <w:pStyle w:val="Heading2"/>
      </w:pPr>
      <w:bookmarkStart w:id="25" w:name="c.-la-séparation-temporaire-de-2011"/>
      <w:r>
        <w:t xml:space="preserve">C. La séparation temporaire de 2011</w:t>
      </w:r>
      <w:bookmarkEnd w:id="25"/>
    </w:p>
    <w:p>
      <w:pPr>
        <w:numPr>
          <w:numId w:val="1003"/>
          <w:ilvl w:val="0"/>
        </w:numPr>
      </w:pPr>
      <w:r>
        <w:t xml:space="preserve">Le ou vers le 20 novembre 2010, le demandeur a commis une infidélité, qu’il a admise à la défenderesse quelques jours plus tard (fait admis).</w:t>
      </w:r>
    </w:p>
    <w:p>
      <w:pPr>
        <w:numPr>
          <w:numId w:val="1003"/>
          <w:ilvl w:val="0"/>
        </w:numPr>
      </w:pPr>
      <w:r>
        <w:t xml:space="preserve">Le 6 février 2011, le demandeur a quitté la résidence familiale (fait admis).</w:t>
      </w:r>
    </w:p>
    <w:p>
      <w:pPr>
        <w:numPr>
          <w:numId w:val="1003"/>
          <w:ilvl w:val="0"/>
        </w:numPr>
      </w:pPr>
      <w:r>
        <w:t xml:space="preserve">Du 1er février au 29 mai 2011, le demandeur a été titulaire du compte d’électricité d’un logement distinct situé au 311, rue Riverside, à Saint-Lambert, à environ 1,6 km de la résidence familiale (pièce à coter : relevé Hydro-Québec).</w:t>
      </w:r>
    </w:p>
    <w:p>
      <w:pPr>
        <w:numPr>
          <w:numId w:val="1003"/>
          <w:ilvl w:val="0"/>
        </w:numPr>
      </w:pPr>
      <w:r>
        <w:t xml:space="preserve">Durant cette même période, le demandeur est demeuré titulaire du compte d’électricité de la résidence familiale (même pièce).</w:t>
      </w:r>
    </w:p>
    <w:p>
      <w:pPr>
        <w:numPr>
          <w:numId w:val="1003"/>
          <w:ilvl w:val="0"/>
        </w:numPr>
      </w:pPr>
      <w:r>
        <w:t xml:space="preserve">De février 2011 à janvier 2012, les parties ont suivi une thérapie de couple, documentée par des factures mensuelles consécutives (pièce à coter, en liasse : factures).</w:t>
      </w:r>
    </w:p>
    <w:p>
      <w:pPr>
        <w:numPr>
          <w:numId w:val="1003"/>
          <w:ilvl w:val="0"/>
        </w:numPr>
      </w:pPr>
      <w:r>
        <w:t xml:space="preserve">La thérapie s’est poursuivie après la fin de l’occupation du logement distinct, le 29 mai 2011, et jusqu’en janvier 2012 (même liasse).</w:t>
      </w:r>
    </w:p>
    <w:p>
      <w:pPr>
        <w:numPr>
          <w:numId w:val="1003"/>
          <w:ilvl w:val="0"/>
        </w:numPr>
      </w:pPr>
      <w:r>
        <w:t xml:space="preserve">Le 12 septembre 2011, une amie écrivait au demandeur : « Le retour avec Élise va bien? » (pièce à coter : Email id=383).</w:t>
      </w:r>
    </w:p>
    <w:p>
      <w:pPr>
        <w:numPr>
          <w:numId w:val="1003"/>
          <w:ilvl w:val="0"/>
        </w:numPr>
      </w:pPr>
      <w:r>
        <w:t xml:space="preserve">Le 12 septembre 2011, le demandeur écrivait à cette amie : « Hyper occupé, autant au travail, qu’avec Alexia le soir et la fin de semaine », ce à quoi elle répondait : « C’est bien que tu passes beaucoup de temps avec ta fille, bon papa » (pièce à coter : Emails id=382, 383).</w:t>
      </w:r>
    </w:p>
    <w:p>
      <w:pPr>
        <w:numPr>
          <w:numId w:val="1003"/>
          <w:ilvl w:val="0"/>
        </w:numPr>
      </w:pPr>
      <w:r>
        <w:t xml:space="preserve">Du 27 septembre au 3 octobre 2011, le demandeur, la défenderesse, Alexia et les parents de la défenderesse étaient ensemble en voyage à Cuba (pièce à coter, en liasse : Events id=113 à 125).</w:t>
      </w:r>
    </w:p>
    <w:p>
      <w:pPr>
        <w:numPr>
          <w:numId w:val="1003"/>
          <w:ilvl w:val="0"/>
        </w:numPr>
      </w:pPr>
      <w:r>
        <w:t xml:space="preserve">Les 8 et 15 mars 2011, le demandeur était à la résidence familiale pour s’occuper d’Alexia pendant les cours de danse de la défenderesse (pièce à coter : Emails id=67, 114, 66, 116).</w:t>
      </w:r>
    </w:p>
    <w:p>
      <w:pPr>
        <w:numPr>
          <w:numId w:val="1003"/>
          <w:ilvl w:val="0"/>
        </w:numPr>
      </w:pPr>
      <w:r>
        <w:t xml:space="preserve">Les 2 et 25 mai 2011, le demandeur s’est absenté de son travail pour accompagner Alexia chez le médecin, dont une fois pour ses vaccins (liasse BNC).</w:t>
      </w:r>
    </w:p>
    <w:p>
      <w:pPr>
        <w:numPr>
          <w:numId w:val="1003"/>
          <w:ilvl w:val="0"/>
        </w:numPr>
      </w:pPr>
      <w:r>
        <w:t xml:space="preserve">Entre février 2011 et février 2012, le demandeur s’est absenté de son travail à au moins dix (10) reprises pour s’occuper d’Alexia (liasse BNC).</w:t>
      </w:r>
    </w:p>
    <w:p>
      <w:pPr>
        <w:numPr>
          <w:numId w:val="1003"/>
          <w:ilvl w:val="0"/>
        </w:numPr>
      </w:pPr>
      <w:r>
        <w:t xml:space="preserve">Entre février 2011 et février 2012, le demandeur est documenté avec Alexia dans au moins vingt-quatre (24) événements horodatés (pièce à coter : tableau récapitulatif).</w:t>
      </w:r>
    </w:p>
    <w:p>
      <w:pPr>
        <w:pStyle w:val="Heading2"/>
      </w:pPr>
      <w:bookmarkStart w:id="26" w:name="X9fa8f9da9f6c1059d0decd0a8f9970ccf899487"/>
      <w:r>
        <w:t xml:space="preserve">D. Juin et juillet 2013 — le courriel du 11 juin 2013 et ses suites immédiates</w:t>
      </w:r>
      <w:bookmarkEnd w:id="26"/>
    </w:p>
    <w:p>
      <w:pPr>
        <w:pStyle w:val="FirstParagraph"/>
      </w:pPr>
      <w:r>
        <w:rPr>
          <w:i/>
        </w:rPr>
        <w:t xml:space="preserve">(Faits 44 à 53 : sous réserve de la recevabilité de la pièce P-1.)</w:t>
      </w:r>
    </w:p>
    <w:p>
      <w:pPr>
        <w:numPr>
          <w:numId w:val="1004"/>
          <w:ilvl w:val="0"/>
        </w:numPr>
      </w:pPr>
      <w:r>
        <w:t xml:space="preserve">À l’été 2013, le demandeur souhaitait amener Alexia à Cape Cod et la défenderesse s’y est opposée en invoquant son jeune âge (pièce à coter).</w:t>
      </w:r>
    </w:p>
    <w:p>
      <w:pPr>
        <w:numPr>
          <w:numId w:val="1004"/>
          <w:ilvl w:val="0"/>
        </w:numPr>
      </w:pPr>
      <w:r>
        <w:t xml:space="preserve">Le 30 juin 2013, le demandeur souhaitait passer une fin de semaine au chalet avec Alexia et la défenderesse a refusé qu’il y aille seul avec elle (pièce à coter : thread-109).</w:t>
      </w:r>
    </w:p>
    <w:p>
      <w:pPr>
        <w:numPr>
          <w:numId w:val="1004"/>
          <w:ilvl w:val="0"/>
        </w:numPr>
      </w:pPr>
      <w:r>
        <w:t xml:space="preserve">Le 11 juin 2013, Me Marie-Josée Ayoub a adressé à la défenderesse un courriel présentant « le plan » qu’elle suivrait comme avocate (pièce P-1).</w:t>
      </w:r>
    </w:p>
    <w:p>
      <w:pPr>
        <w:numPr>
          <w:numId w:val="1004"/>
          <w:ilvl w:val="0"/>
        </w:numPr>
      </w:pPr>
      <w:r>
        <w:t xml:space="preserve">Ce courriel décrit l’objectif : « Tu veux avoir la garde et lui puisse voir les enfants plusieurs fois par semaine » (pièce P-1).</w:t>
      </w:r>
    </w:p>
    <w:p>
      <w:pPr>
        <w:numPr>
          <w:numId w:val="1004"/>
          <w:ilvl w:val="0"/>
        </w:numPr>
      </w:pPr>
      <w:r>
        <w:t xml:space="preserve">Ce courriel énonce : « Alexia vie dans la violence conjugale depuis sa naissance » et que « sa sécurité et son développement sont compromis » (pièce P-1).</w:t>
      </w:r>
    </w:p>
    <w:p>
      <w:pPr>
        <w:numPr>
          <w:numId w:val="1004"/>
          <w:ilvl w:val="0"/>
        </w:numPr>
      </w:pPr>
      <w:r>
        <w:t xml:space="preserve">Ce courriel prévoit « une requête pour garde exclusive d’urgence, et usage exclusif de la résidence familiale » (pièce P-1).</w:t>
      </w:r>
    </w:p>
    <w:p>
      <w:pPr>
        <w:numPr>
          <w:numId w:val="1004"/>
          <w:ilvl w:val="0"/>
        </w:numPr>
      </w:pPr>
      <w:r>
        <w:t xml:space="preserve">Ce courriel énonce que, lors de cette procédure d’urgence, « le juge en question n’entend pas de témoin c’est seulement les avocats qui plaident » (pièce P-1).</w:t>
      </w:r>
    </w:p>
    <w:p>
      <w:pPr>
        <w:numPr>
          <w:numId w:val="1004"/>
          <w:ilvl w:val="0"/>
        </w:numPr>
      </w:pPr>
      <w:r>
        <w:t xml:space="preserve">Ce courriel prévoit que l’on « accorde des droits d’accès sans coucher au père et l’oblige à se relocaliser », le demandeur demeurant tenu de 50 % des charges de la résidence (pièce P-1).</w:t>
      </w:r>
    </w:p>
    <w:p>
      <w:pPr>
        <w:numPr>
          <w:numId w:val="1004"/>
          <w:ilvl w:val="0"/>
        </w:numPr>
      </w:pPr>
      <w:r>
        <w:t xml:space="preserve">Ce courriel énonce : « Pendant toute cette procédure les enfants sont avec toi. Donc, cela créé un précédant, c’est à dire une routine s’instaure entre toi et les enfants et souvent ce qui fonctionne bien les juges hésitent à les changer » (pièce P-1).</w:t>
      </w:r>
    </w:p>
    <w:p>
      <w:pPr>
        <w:numPr>
          <w:numId w:val="1004"/>
          <w:ilvl w:val="0"/>
        </w:numPr>
      </w:pPr>
      <w:r>
        <w:t xml:space="preserve">Ce courriel énonce que « toutes procédures peut être amendée, rectifié et qu’une entente peut intervenir entre les parents à tout moment, même la veille du procès » (pièce P-1).</w:t>
      </w:r>
    </w:p>
    <w:p>
      <w:pPr>
        <w:numPr>
          <w:numId w:val="1004"/>
          <w:ilvl w:val="0"/>
        </w:numPr>
      </w:pPr>
      <w:r>
        <w:t xml:space="preserve">Ce courriel énonce : « De ton côté tu pourras mettre en preuve que lorsqu’il lp est partie pendant une semaine, la fille dormait mieux » (pièce P-1).</w:t>
      </w:r>
    </w:p>
    <w:p>
      <w:pPr>
        <w:numPr>
          <w:numId w:val="1004"/>
          <w:ilvl w:val="0"/>
        </w:numPr>
      </w:pPr>
      <w:r>
        <w:t xml:space="preserve">La procédure décrite dans ce courriel n’a jamais été déposée et la cohabitation s’est poursuivie jusqu’en février 2015 (dossier de la Cour ; fait 65).</w:t>
      </w:r>
    </w:p>
    <w:p>
      <w:pPr>
        <w:numPr>
          <w:numId w:val="1004"/>
          <w:ilvl w:val="0"/>
        </w:numPr>
      </w:pPr>
      <w:r>
        <w:t xml:space="preserve">Le 26 juin 2013, le demandeur écrivait à Me Suzanne Pringle que la sœur avocate de sa conjointe la guidait « de façon à [le] piéger » et que la défenderesse lui écrivait qu’elle le trouvait agressif et avait peur de lui (pièce à coter : Email id=365 ; renonciation à délimiter).</w:t>
      </w:r>
    </w:p>
    <w:p>
      <w:pPr>
        <w:numPr>
          <w:numId w:val="1004"/>
          <w:ilvl w:val="0"/>
        </w:numPr>
      </w:pPr>
      <w:r>
        <w:t xml:space="preserve">Le 27 juin 2013, le demandeur écrivait à son supérieur : « je dois vendre ma maison » (liasse BNC).</w:t>
      </w:r>
    </w:p>
    <w:p>
      <w:pPr>
        <w:numPr>
          <w:numId w:val="1004"/>
          <w:ilvl w:val="0"/>
        </w:numPr>
      </w:pPr>
      <w:r>
        <w:t xml:space="preserve">Le même jour, le demandeur a mandaté l’évaluateur agréé Louis-Philippe Robert pour établir la valeur marchande de la résidence à des fins de partage (pièce à coter : mandat et rapport).</w:t>
      </w:r>
    </w:p>
    <w:p>
      <w:pPr>
        <w:numPr>
          <w:numId w:val="1004"/>
          <w:ilvl w:val="0"/>
        </w:numPr>
      </w:pPr>
      <w:r>
        <w:t xml:space="preserve">Le 28 juin 2013, l’évaluateur a inspecté la propriété ; le 11 juillet 2013, il a produit son rapport d’évaluation à des fins de partage (même pièce).</w:t>
      </w:r>
    </w:p>
    <w:p>
      <w:pPr>
        <w:pStyle w:val="Heading2"/>
      </w:pPr>
      <w:bookmarkStart w:id="27" w:name="e.-lété-2013"/>
      <w:r>
        <w:t xml:space="preserve">E. L’été 2013</w:t>
      </w:r>
      <w:bookmarkEnd w:id="27"/>
    </w:p>
    <w:p>
      <w:pPr>
        <w:numPr>
          <w:numId w:val="1005"/>
          <w:ilvl w:val="0"/>
        </w:numPr>
      </w:pPr>
      <w:r>
        <w:t xml:space="preserve">Le sous-sol de la résidence avait été démoli en 2012 à la suite d’une inondation et n’avait pas été reconstruit (pièce à coter).</w:t>
      </w:r>
    </w:p>
    <w:p>
      <w:pPr>
        <w:numPr>
          <w:numId w:val="1005"/>
          <w:ilvl w:val="0"/>
        </w:numPr>
      </w:pPr>
      <w:r>
        <w:t xml:space="preserve">Du 28 mai au 24 août 2013, Alexia a participé à la saison de soccer de Saint-Lambert (pièce à coter : Events id=239, 263).</w:t>
      </w:r>
    </w:p>
    <w:p>
      <w:pPr>
        <w:numPr>
          <w:numId w:val="1005"/>
          <w:ilvl w:val="0"/>
        </w:numPr>
      </w:pPr>
      <w:r>
        <w:t xml:space="preserve">Pendant l’été 2013, la défenderesse agissait comme entraîneuse de l’équipe de soccer d’Alexia (même pièce).</w:t>
      </w:r>
    </w:p>
    <w:p>
      <w:pPr>
        <w:numPr>
          <w:numId w:val="1005"/>
          <w:ilvl w:val="0"/>
        </w:numPr>
      </w:pPr>
      <w:r>
        <w:t xml:space="preserve">Durant les ateliers de soccer d’Alexia, le demandeur s’occupait des soins de Nicolas, alors âgé de quelques mois (même pièce ; fait 63).</w:t>
      </w:r>
    </w:p>
    <w:p>
      <w:pPr>
        <w:numPr>
          <w:numId w:val="1005"/>
          <w:ilvl w:val="0"/>
        </w:numPr>
      </w:pPr>
      <w:r>
        <w:t xml:space="preserve">Entre le 1er juin et le 30 septembre 2013, le demandeur est documenté avec l’un ou l’autre des enfants à au moins trente (30) occasions (pièce à coter : tableau récapitulatif et photographies).</w:t>
      </w:r>
    </w:p>
    <w:p>
      <w:pPr>
        <w:numPr>
          <w:numId w:val="1005"/>
          <w:ilvl w:val="0"/>
        </w:numPr>
      </w:pPr>
      <w:r>
        <w:t xml:space="preserve">Dans le fil du 29 au 30 juillet 2013, la mère du demandeur s’attendait à ce qu’il passe le lendemain avec Nicolas, et le demandeur répondait qu’il n’y avait pas de soccer ce jour-là (pièce à coter).</w:t>
      </w:r>
    </w:p>
    <w:p>
      <w:pPr>
        <w:numPr>
          <w:numId w:val="1005"/>
          <w:ilvl w:val="0"/>
        </w:numPr>
      </w:pPr>
      <w:r>
        <w:t xml:space="preserve">Les 16 et 17 juin 2013, le demandeur était en voyage à Cape Cod avec ses parents et sa fratrie, sans les enfants (pièce à coter).</w:t>
      </w:r>
    </w:p>
    <w:p>
      <w:pPr>
        <w:numPr>
          <w:numId w:val="1005"/>
          <w:ilvl w:val="0"/>
        </w:numPr>
      </w:pPr>
      <w:r>
        <w:t xml:space="preserve">Le 27 juin 2013, le demandeur écrivait à son supérieur qu’il n’avait pas vu ses enfants depuis deux semaines (liasse BNC).</w:t>
      </w:r>
    </w:p>
    <w:p>
      <w:pPr>
        <w:numPr>
          <w:numId w:val="1005"/>
          <w:ilvl w:val="0"/>
        </w:numPr>
      </w:pPr>
      <w:r>
        <w:t xml:space="preserve">Entre le 27 juin et le 31 août 2013, le demandeur a fait de l’escalade avec Alexia à au moins cinq (5) reprises, soit les 27 juin, 7 juillet, 18, 26 et 31 août (liasse escalade, fait 20).</w:t>
      </w:r>
    </w:p>
    <w:p>
      <w:pPr>
        <w:numPr>
          <w:numId w:val="1005"/>
          <w:ilvl w:val="0"/>
        </w:numPr>
      </w:pPr>
      <w:r>
        <w:t xml:space="preserve">Le 1er juillet 2013, le demandeur, la défenderesse et les enfants étaient ensemble au Festival de Jazz de Montréal (pièce à coter : photographies horodatées).</w:t>
      </w:r>
    </w:p>
    <w:p>
      <w:pPr>
        <w:numPr>
          <w:numId w:val="1005"/>
          <w:ilvl w:val="0"/>
        </w:numPr>
      </w:pPr>
      <w:r>
        <w:t xml:space="preserve">Le 4 juillet 2013, le demandeur, la défenderesse et les enfants étaient ensemble aux glissades d’eau de Bromont (même liasse).</w:t>
      </w:r>
    </w:p>
    <w:p>
      <w:pPr>
        <w:numPr>
          <w:numId w:val="1005"/>
          <w:ilvl w:val="0"/>
        </w:numPr>
      </w:pPr>
      <w:r>
        <w:t xml:space="preserve">Le 13 juillet 2013, le demandeur était avec Alexia sur le voilier de ses grands-parents (même liasse).</w:t>
      </w:r>
    </w:p>
    <w:p>
      <w:pPr>
        <w:numPr>
          <w:numId w:val="1005"/>
          <w:ilvl w:val="0"/>
        </w:numPr>
      </w:pPr>
      <w:r>
        <w:t xml:space="preserve">Le 14 juillet 2013, le demandeur, la défenderesse et les enfants étaient ensemble à un anniversaire d’enfant (même liasse).</w:t>
      </w:r>
    </w:p>
    <w:p>
      <w:pPr>
        <w:numPr>
          <w:numId w:val="1005"/>
          <w:ilvl w:val="0"/>
        </w:numPr>
      </w:pPr>
      <w:r>
        <w:t xml:space="preserve">Les 14 et 15 juillet 2013, la défenderesse a entrepris l’organisation d’une fête d’anniversaire-surprise pour le demandeur (pièce à coter).</w:t>
      </w:r>
    </w:p>
    <w:p>
      <w:pPr>
        <w:numPr>
          <w:numId w:val="1005"/>
          <w:ilvl w:val="0"/>
        </w:numPr>
      </w:pPr>
      <w:r>
        <w:t xml:space="preserve">Le 19 juillet 2013, le demandeur écrivait à une amie qu’il voyait les enfants tous les jours, soupait à la maison avec la défenderesse et couchait chez ses parents depuis environ un mois (pièce à coter).</w:t>
      </w:r>
    </w:p>
    <w:p>
      <w:pPr>
        <w:numPr>
          <w:numId w:val="1005"/>
          <w:ilvl w:val="0"/>
        </w:numPr>
      </w:pPr>
      <w:r>
        <w:t xml:space="preserve">Dans le même courriel, il écrivait que ce séjour était temporaire, qu’il prévoyait réintégrer la résidence dans les semaines suivantes et qu’il ne pouvait dormir au sous-sol parce qu’il n’y avait plus de sous-sol (même pièce).</w:t>
      </w:r>
    </w:p>
    <w:p>
      <w:pPr>
        <w:numPr>
          <w:numId w:val="1005"/>
          <w:ilvl w:val="0"/>
        </w:numPr>
      </w:pPr>
      <w:r>
        <w:t xml:space="preserve">Du 11 au 16 août 2013, le demandeur était en voyage à Cape Cod avec Alexia et Nicolas (pièce à coter : photographies horodatées).</w:t>
      </w:r>
    </w:p>
    <w:p>
      <w:pPr>
        <w:numPr>
          <w:numId w:val="1005"/>
          <w:ilvl w:val="0"/>
        </w:numPr>
      </w:pPr>
      <w:r>
        <w:t xml:space="preserve">Le 21 août 2013, le demandeur était avec Alexia au Village du Père Noël (même liasse).</w:t>
      </w:r>
    </w:p>
    <w:p>
      <w:pPr>
        <w:numPr>
          <w:numId w:val="1005"/>
          <w:ilvl w:val="0"/>
        </w:numPr>
      </w:pPr>
      <w:r>
        <w:t xml:space="preserve">Le 23 août 2013, le demandeur, la défenderesse et les enfants étaient ensemble à la ferme (même liasse).</w:t>
      </w:r>
    </w:p>
    <w:p>
      <w:pPr>
        <w:numPr>
          <w:numId w:val="1005"/>
          <w:ilvl w:val="0"/>
        </w:numPr>
      </w:pPr>
      <w:r>
        <w:t xml:space="preserve">Le 24 août 2013, le demandeur assistait à la remise des médailles de soccer d’Alexia (même liasse).</w:t>
      </w:r>
    </w:p>
    <w:p>
      <w:pPr>
        <w:numPr>
          <w:numId w:val="1005"/>
          <w:ilvl w:val="0"/>
        </w:numPr>
      </w:pPr>
      <w:r>
        <w:t xml:space="preserve">Le 27 août 2013, le demandeur a inscrit les enfants à des activités auprès de Loisir Saint-Lambert (pièce à coter).</w:t>
      </w:r>
    </w:p>
    <w:p>
      <w:pPr>
        <w:numPr>
          <w:numId w:val="1005"/>
          <w:ilvl w:val="0"/>
        </w:numPr>
      </w:pPr>
      <w:r>
        <w:t xml:space="preserve">Le 10 septembre 2013, la défenderesse a proposé au demandeur un voyage familial pour quatre personnes dans un hôtel cinq étoiles (pièce à coter).</w:t>
      </w:r>
    </w:p>
    <w:p>
      <w:pPr>
        <w:numPr>
          <w:numId w:val="1005"/>
          <w:ilvl w:val="0"/>
        </w:numPr>
      </w:pPr>
      <w:r>
        <w:t xml:space="preserve">Le 29 septembre 2013, le demandeur, la défenderesse et les enfants étaient ensemble à la cueillette de pommes à Rougemont (même liasse).</w:t>
      </w:r>
    </w:p>
    <w:p>
      <w:pPr>
        <w:pStyle w:val="Heading2"/>
      </w:pPr>
      <w:bookmarkStart w:id="28" w:name="X590bdfaeb97fcad14669fa94dd20093e579979e"/>
      <w:r>
        <w:t xml:space="preserve">F. 2014 — le rachat de la part du demandeur et la coordination familiale</w:t>
      </w:r>
      <w:bookmarkEnd w:id="28"/>
    </w:p>
    <w:p>
      <w:pPr>
        <w:numPr>
          <w:numId w:val="1006"/>
          <w:ilvl w:val="0"/>
        </w:numPr>
      </w:pPr>
      <w:r>
        <w:t xml:space="preserve">Le 1er août 2014, le demandeur a vendu sa part de la résidence à la défenderesse au prix établi par le rapport d’évaluation de juillet 2013 (pièce à coter : acte de vente et rapport).</w:t>
      </w:r>
    </w:p>
    <w:p>
      <w:pPr>
        <w:numPr>
          <w:numId w:val="1006"/>
          <w:ilvl w:val="0"/>
        </w:numPr>
      </w:pPr>
      <w:r>
        <w:t xml:space="preserve">En août 2014, la défenderesse a reçu du demandeur un prêt de 9 000 $, remboursable par crédit de loyer de 750 $ par mois (pièce à coter : messagerie des parties).</w:t>
      </w:r>
    </w:p>
    <w:p>
      <w:pPr>
        <w:numPr>
          <w:numId w:val="1006"/>
          <w:ilvl w:val="0"/>
        </w:numPr>
      </w:pPr>
      <w:r>
        <w:t xml:space="preserve">Le 3 novembre 2014, la défenderesse a demandé au demandeur de lui prêter 1 000 $ supplémentaires (même pièce).</w:t>
      </w:r>
    </w:p>
    <w:p>
      <w:pPr>
        <w:numPr>
          <w:numId w:val="1006"/>
          <w:ilvl w:val="0"/>
        </w:numPr>
      </w:pPr>
      <w:r>
        <w:t xml:space="preserve">Le 4 novembre 2014, la défenderesse a écrit au demandeur que le temps consacré à eux quatre était important (même pièce).</w:t>
      </w:r>
    </w:p>
    <w:p>
      <w:pPr>
        <w:numPr>
          <w:numId w:val="1006"/>
          <w:ilvl w:val="0"/>
        </w:numPr>
      </w:pPr>
      <w:r>
        <w:t xml:space="preserve">Le 28 novembre 2014, les parties ont coordonné l’achat de l’habit de neige de Nicolas (même pièce).</w:t>
      </w:r>
    </w:p>
    <w:p>
      <w:pPr>
        <w:numPr>
          <w:numId w:val="1006"/>
          <w:ilvl w:val="0"/>
        </w:numPr>
      </w:pPr>
      <w:r>
        <w:t xml:space="preserve">Le 3 décembre 2014, le demandeur s’est organisé pour se rendre à une urgence médicale de Nicolas (même pièce).</w:t>
      </w:r>
    </w:p>
    <w:p>
      <w:pPr>
        <w:numPr>
          <w:numId w:val="1006"/>
          <w:ilvl w:val="0"/>
        </w:numPr>
      </w:pPr>
      <w:r>
        <w:t xml:space="preserve">Le 16 décembre 2014, le demandeur a administré des antibiotiques à Nicolas et a géré sa fièvre (même pièce).</w:t>
      </w:r>
    </w:p>
    <w:p>
      <w:pPr>
        <w:pStyle w:val="Heading2"/>
      </w:pPr>
      <w:bookmarkStart w:id="29" w:name="Xcd16a1638e43ef4d168f757fdb8c932437c531a"/>
      <w:r>
        <w:t xml:space="preserve">G. Janvier et février 2015 — la fin de la vie commune</w:t>
      </w:r>
      <w:bookmarkEnd w:id="29"/>
    </w:p>
    <w:p>
      <w:pPr>
        <w:numPr>
          <w:numId w:val="1007"/>
          <w:ilvl w:val="0"/>
        </w:numPr>
      </w:pPr>
      <w:r>
        <w:t xml:space="preserve">Le 14 janvier 2015, la défenderesse a confié au demandeur que sa mère avait plusieurs métastases au foie, et le demandeur a répondu en exprimant sa sympathie (pièce à coter : messagerie des parties).</w:t>
      </w:r>
    </w:p>
    <w:p>
      <w:pPr>
        <w:numPr>
          <w:numId w:val="1007"/>
          <w:ilvl w:val="0"/>
        </w:numPr>
      </w:pPr>
      <w:r>
        <w:t xml:space="preserve">Le 2 février 2015, à la suite de l’annonce de son départ prochain, le demandeur a offert à la défenderesse de financer un matelas et des électroménagers (même pièce).</w:t>
      </w:r>
    </w:p>
    <w:p>
      <w:pPr>
        <w:numPr>
          <w:numId w:val="1007"/>
          <w:ilvl w:val="0"/>
        </w:numPr>
      </w:pPr>
      <w:r>
        <w:t xml:space="preserve">Le 3 février 2015, le demandeur a offert à la défenderesse un soutien de proximité après son départ (même pièce).</w:t>
      </w:r>
    </w:p>
    <w:p>
      <w:pPr>
        <w:numPr>
          <w:numId w:val="1007"/>
          <w:ilvl w:val="0"/>
        </w:numPr>
      </w:pPr>
      <w:r>
        <w:t xml:space="preserve">Le 3 février 2015, la défenderesse a écrit au demandeur qu’il avait décidé de partir vite et qu’il ne lui en avait pas parlé (même pièce).</w:t>
      </w:r>
    </w:p>
    <w:p>
      <w:pPr>
        <w:numPr>
          <w:numId w:val="1007"/>
          <w:ilvl w:val="0"/>
        </w:numPr>
      </w:pPr>
      <w:r>
        <w:t xml:space="preserve">Le 13 février 2015, les parties ont planifié une tradition familiale mensuelle, incluant une sortie à la cabane à sucre prévue pour mars (même pièce).</w:t>
      </w:r>
    </w:p>
    <w:p>
      <w:pPr>
        <w:numPr>
          <w:numId w:val="1007"/>
          <w:ilvl w:val="0"/>
        </w:numPr>
      </w:pPr>
      <w:r>
        <w:t xml:space="preserve">Selon la lettre de Me Marie-Josée Ayoub du 27 avril 2015, un entretien téléphonique a eu lieu entre les procureurs des parties le ou vers le 13 février 2015 (pièce P-3).</w:t>
      </w:r>
    </w:p>
    <w:p>
      <w:pPr>
        <w:numPr>
          <w:numId w:val="1007"/>
          <w:ilvl w:val="0"/>
        </w:numPr>
      </w:pPr>
      <w:r>
        <w:t xml:space="preserve">Le ou vers le 23 février 2015, le demandeur a quitté la résidence familiale et a loué un appartement à proximité (fait admis).</w:t>
      </w:r>
    </w:p>
    <w:p>
      <w:pPr>
        <w:numPr>
          <w:numId w:val="1007"/>
          <w:ilvl w:val="0"/>
        </w:numPr>
      </w:pPr>
      <w:r>
        <w:t xml:space="preserve">À compter de cette date, la défenderesse a exercé de fait la garde des enfants (fait admis).</w:t>
      </w:r>
    </w:p>
    <w:p>
      <w:pPr>
        <w:numPr>
          <w:numId w:val="1007"/>
          <w:ilvl w:val="0"/>
        </w:numPr>
      </w:pPr>
      <w:r>
        <w:t xml:space="preserve">Après son départ, le demandeur a exercé des accès le dimanche de 16 h à 20 h au domicile de ses parents, cadre auquel il a participé (fait admis ; pièce P-6, §20).</w:t>
      </w:r>
    </w:p>
    <w:p>
      <w:pPr>
        <w:numPr>
          <w:numId w:val="1007"/>
          <w:ilvl w:val="0"/>
        </w:numPr>
      </w:pPr>
      <w:r>
        <w:t xml:space="preserve">Le 27 février 2015, la défenderesse a écrit au demandeur qu’ils étaient conjoints de fait jusqu’à la rupture de février 2015 (pièce à coter : Emails id=22, 167, 171).</w:t>
      </w:r>
    </w:p>
    <w:p>
      <w:pPr>
        <w:numPr>
          <w:numId w:val="1007"/>
          <w:ilvl w:val="0"/>
        </w:numPr>
      </w:pPr>
      <w:r>
        <w:t xml:space="preserve">Le 27 février 2015, la défenderesse a écrit au demandeur qu’ils ne faisaient pas chambre à part et qu’ils avaient des activités communes (même pièce).</w:t>
      </w:r>
    </w:p>
    <w:p>
      <w:pPr>
        <w:numPr>
          <w:numId w:val="1007"/>
          <w:ilvl w:val="0"/>
        </w:numPr>
      </w:pPr>
      <w:r>
        <w:t xml:space="preserve">Le 27 février 2015, la défenderesse a écrit au demandeur qu’elle ne le considérait pas comme son colocataire et qu’elle l’avait embrassé à quelques reprises (même pièce).</w:t>
      </w:r>
    </w:p>
    <w:p>
      <w:pPr>
        <w:numPr>
          <w:numId w:val="1007"/>
          <w:ilvl w:val="0"/>
        </w:numPr>
      </w:pPr>
      <w:r>
        <w:t xml:space="preserve">Le 27 février 2015, la défenderesse a écrit au demandeur qu’elle espérait qu’ils reviennent de cette impasse (même pièce).</w:t>
      </w:r>
    </w:p>
    <w:p>
      <w:pPr>
        <w:pStyle w:val="Heading2"/>
      </w:pPr>
      <w:bookmarkStart w:id="30" w:name="X0c7ee30ee1e72f3be88ad222612bd7f079b9f53"/>
      <w:r>
        <w:t xml:space="preserve">H. Les négociations d’avril à septembre 2015</w:t>
      </w:r>
      <w:bookmarkEnd w:id="30"/>
    </w:p>
    <w:p>
      <w:pPr>
        <w:pStyle w:val="FirstParagraph"/>
      </w:pPr>
      <w:r>
        <w:rPr>
          <w:i/>
        </w:rPr>
        <w:t xml:space="preserve">(Sous réserve du privilège relatif aux règlements — voir l’en-tête ; la Requête plaide elle-même ces négociations.)</w:t>
      </w:r>
    </w:p>
    <w:p>
      <w:pPr>
        <w:numPr>
          <w:numId w:val="1008"/>
          <w:ilvl w:val="0"/>
        </w:numPr>
      </w:pPr>
      <w:r>
        <w:t xml:space="preserve">Le 4 mars 2015, le procureur du demandeur, Me François Poirier, a préparé une lettre proposant la garde partagée selon un horaire 2-2-3 : « nous ne voyons aucune contre-indication à l’établissement d’une garde partagée et ceci, afin de favoriser un contact optimal entre l’enfant et les deux (2) parents » (pièce P-16).</w:t>
      </w:r>
    </w:p>
    <w:p>
      <w:pPr>
        <w:numPr>
          <w:numId w:val="1008"/>
          <w:ilvl w:val="0"/>
        </w:numPr>
      </w:pPr>
      <w:r>
        <w:t xml:space="preserve">Le 7 avril 2015, le demandeur a écrit à la défenderesse, par messages textes : « je vais t’envoyer une lettre pour officialiser le montant de la pension et pour officialiser ma position par rapport à la garde. Pour la garde je ne vais pas poursuivre quelque procédure que ce soit pour changer la situation. […] Pour la pension, je veux te payer ce que je te dois selon la loi. Pas moins et pas plus. » (pièce P-2).</w:t>
      </w:r>
    </w:p>
    <w:p>
      <w:pPr>
        <w:numPr>
          <w:numId w:val="1008"/>
          <w:ilvl w:val="0"/>
        </w:numPr>
      </w:pPr>
      <w:r>
        <w:t xml:space="preserve">Le 20 avril 2015, le demandeur, par son procureur, a transmis à Me Marie-Josée Ayoub l’offre formelle de garde partagée 2-2-3 annoncée dans les messages du 7 avril (pièce P-16 ; pièce P-3, qui en accuse réception).</w:t>
      </w:r>
    </w:p>
    <w:p>
      <w:pPr>
        <w:numPr>
          <w:numId w:val="1008"/>
          <w:ilvl w:val="0"/>
        </w:numPr>
      </w:pPr>
      <w:r>
        <w:t xml:space="preserve">Le 21 avril 2015, soit le lendemain de la réception de cette offre, la défenderesse a transféré à Me Marie-Josée Ayoub les messages du 7 avril sous l’objet « Voici quand il me confirme qu’il me donne la garde » (pièce P-2).</w:t>
      </w:r>
    </w:p>
    <w:p>
      <w:pPr>
        <w:numPr>
          <w:numId w:val="1008"/>
          <w:ilvl w:val="0"/>
        </w:numPr>
      </w:pPr>
      <w:r>
        <w:t xml:space="preserve">Les messages ainsi produits sont datés du 7 avril 2015 et non du 21 avril 2015 (pièce P-2).</w:t>
      </w:r>
    </w:p>
    <w:p>
      <w:pPr>
        <w:numPr>
          <w:numId w:val="1008"/>
          <w:ilvl w:val="0"/>
        </w:numPr>
      </w:pPr>
      <w:r>
        <w:t xml:space="preserve">Le 27 avril 2015, Me Marie-Josée Ayoub a répondu par écrit à l’offre du 20 avril (pièce P-3).</w:t>
      </w:r>
    </w:p>
    <w:p>
      <w:pPr>
        <w:numPr>
          <w:numId w:val="1008"/>
          <w:ilvl w:val="0"/>
        </w:numPr>
      </w:pPr>
      <w:r>
        <w:t xml:space="preserve">Cette lettre refuse la garde partagée dans les termes suivants : « Compte tenu des circonstances, nous considérons qu’il y a contre-indication à l’établissement de la garde partagée des deux (2) enfants mineurs vu leur jeune âge et qu’il n’est pas dans leur intérêt de modifier une routine établie depuis plus deux mois » (pièce P-3).</w:t>
      </w:r>
    </w:p>
    <w:p>
      <w:pPr>
        <w:numPr>
          <w:numId w:val="1008"/>
          <w:ilvl w:val="0"/>
        </w:numPr>
      </w:pPr>
      <w:r>
        <w:t xml:space="preserve">La lettre ne nomme pas les « circonstances » invoquées (pièce P-3).</w:t>
      </w:r>
    </w:p>
    <w:p>
      <w:pPr>
        <w:numPr>
          <w:numId w:val="1008"/>
          <w:ilvl w:val="0"/>
        </w:numPr>
      </w:pPr>
      <w:r>
        <w:t xml:space="preserve">La même lettre offre au demandeur des accès élargis comprenant une nuitée du mercredi au jeudi chaque semaine, un bloc du samedi 14 h au dimanche 16 h la première semaine et un accès le dimanche de 15 h à 20 h la seconde semaine (pièce P-3).</w:t>
      </w:r>
    </w:p>
    <w:p>
      <w:pPr>
        <w:numPr>
          <w:numId w:val="1008"/>
          <w:ilvl w:val="0"/>
        </w:numPr>
      </w:pPr>
      <w:r>
        <w:t xml:space="preserve">La même lettre situe à l’entretien téléphonique du ou vers le 13 février 2015 « le consentement entre les parties à l’effet que les enfants soient en garde exclusive chez la mère et les droits d’accès du père d’une fin de semaine sur deux » (pièce P-3).</w:t>
      </w:r>
    </w:p>
    <w:p>
      <w:pPr>
        <w:numPr>
          <w:numId w:val="1008"/>
          <w:ilvl w:val="0"/>
        </w:numPr>
      </w:pPr>
      <w:r>
        <w:t xml:space="preserve">La même lettre énonce : « Nous comprenons mal les intentions de votre client à vouloir modifier une entente déjà intervenue entre les parties » (pièce P-3).</w:t>
      </w:r>
    </w:p>
    <w:p>
      <w:pPr>
        <w:numPr>
          <w:numId w:val="1008"/>
          <w:ilvl w:val="0"/>
        </w:numPr>
      </w:pPr>
      <w:r>
        <w:t xml:space="preserve">La même lettre affirme que le demandeur « a refusé et refuse toujours de les recevoir à son nouvel appartement » (pièce P-3).</w:t>
      </w:r>
    </w:p>
    <w:p>
      <w:pPr>
        <w:numPr>
          <w:numId w:val="1008"/>
          <w:ilvl w:val="0"/>
        </w:numPr>
      </w:pPr>
      <w:r>
        <w:t xml:space="preserve">Les accès offerts dans cette même lettre excèdent les accès d’une fin de semaine sur deux compris dans l’entente qu’elle allègue (pièce P-3).</w:t>
      </w:r>
    </w:p>
    <w:p>
      <w:pPr>
        <w:numPr>
          <w:numId w:val="1008"/>
          <w:ilvl w:val="0"/>
        </w:numPr>
      </w:pPr>
      <w:r>
        <w:t xml:space="preserve">Le 19 juillet 2015, l’enfant Nicolas a été baptisé à l’église Saint-Thomas-d’Aquin (pièce P-17).</w:t>
      </w:r>
    </w:p>
    <w:p>
      <w:pPr>
        <w:numPr>
          <w:numId w:val="1008"/>
          <w:ilvl w:val="0"/>
        </w:numPr>
      </w:pPr>
      <w:r>
        <w:t xml:space="preserve">Le 19 juillet 2015, le demandeur écrivait : « Moi j’y vais pas, j’ai pas été invité et en fait je savais pas qu’elle le faisait baptiser » (pièce P-18).</w:t>
      </w:r>
    </w:p>
    <w:p>
      <w:pPr>
        <w:numPr>
          <w:numId w:val="1008"/>
          <w:ilvl w:val="0"/>
        </w:numPr>
      </w:pPr>
      <w:r>
        <w:t xml:space="preserve">Me Marie-Josée Ayoub est inscrite au registre de baptême comme marraine de l’enfant (pièces P-17, P-18).</w:t>
      </w:r>
    </w:p>
    <w:p>
      <w:pPr>
        <w:numPr>
          <w:numId w:val="1008"/>
          <w:ilvl w:val="0"/>
        </w:numPr>
      </w:pPr>
      <w:r>
        <w:t xml:space="preserve">Le 1er août 2015, le demandeur a écrit à la défenderesse des messages demandant que soit formalisé le transfert de certains attributs de l’autorité parentale, nommant les voyages, l’école, les traitements et les psychologues (pièce P-19, annexes ; pièce P-5, art. 3).</w:t>
      </w:r>
    </w:p>
    <w:p>
      <w:pPr>
        <w:numPr>
          <w:numId w:val="1008"/>
          <w:ilvl w:val="0"/>
        </w:numPr>
      </w:pPr>
      <w:r>
        <w:t xml:space="preserve">Le 13 août 2015, Me Marie-Josée Ayoub a transmis au procureur du demandeur un projet de consentement à jugement (pièce P-5).</w:t>
      </w:r>
    </w:p>
    <w:p>
      <w:pPr>
        <w:numPr>
          <w:numId w:val="1008"/>
          <w:ilvl w:val="0"/>
        </w:numPr>
      </w:pPr>
      <w:r>
        <w:t xml:space="preserve">L’article 2 de ce projet énonce que les parties « continueront d’exercer conjointement l’autorité parentale […] [et] se consulteront sur toutes les questions d’importance » (pièce P-5).</w:t>
      </w:r>
    </w:p>
    <w:p>
      <w:pPr>
        <w:numPr>
          <w:numId w:val="1008"/>
          <w:ilvl w:val="0"/>
        </w:numPr>
      </w:pPr>
      <w:r>
        <w:t xml:space="preserve">L’article 3 de ce projet énonce que, « puisque le père refuse de prendre les décisions importantes », il consent à ce que la mère les prenne seule (pièce P-5).</w:t>
      </w:r>
    </w:p>
    <w:p>
      <w:pPr>
        <w:numPr>
          <w:numId w:val="1008"/>
          <w:ilvl w:val="0"/>
        </w:numPr>
      </w:pPr>
      <w:r>
        <w:t xml:space="preserve">L’article 5 de ce projet énonce qu’il est dans le meilleur intérêt des enfants « que les liens existants entre les enfants et chacune des parties soient préservés et renforcés » (pièce P-5).</w:t>
      </w:r>
    </w:p>
    <w:p>
      <w:pPr>
        <w:numPr>
          <w:numId w:val="1008"/>
          <w:ilvl w:val="0"/>
        </w:numPr>
      </w:pPr>
      <w:r>
        <w:t xml:space="preserve">L’article 6 de ce projet énonce que, « vu l’âge des enfants », la mère aura la garde (pièce P-5).</w:t>
      </w:r>
    </w:p>
    <w:p>
      <w:pPr>
        <w:numPr>
          <w:numId w:val="1008"/>
          <w:ilvl w:val="0"/>
        </w:numPr>
      </w:pPr>
      <w:r>
        <w:t xml:space="preserve">L’article 7 de ce projet prévoit un accroissement progressif des accès du demandeur en quatre phases s’échelonnant jusqu’en août 2018, comprenant dès la première phase deux nuitées consécutives du dimanche 16 h au mardi matin (pièce P-5).</w:t>
      </w:r>
    </w:p>
    <w:p>
      <w:pPr>
        <w:numPr>
          <w:numId w:val="1008"/>
          <w:ilvl w:val="0"/>
        </w:numPr>
      </w:pPr>
      <w:r>
        <w:t xml:space="preserve">L’article 21 de ce projet énonce qu’il ne sera valide qu’après la signature des deux parties ; il n’a jamais été signé (pièce P-5).</w:t>
      </w:r>
    </w:p>
    <w:p>
      <w:pPr>
        <w:numPr>
          <w:numId w:val="1008"/>
          <w:ilvl w:val="0"/>
        </w:numPr>
      </w:pPr>
      <w:r>
        <w:t xml:space="preserve">Le 2 septembre 2015, le demandeur, par son procureur, a répondu au projet de consentement (pièce P-4).</w:t>
      </w:r>
    </w:p>
    <w:p>
      <w:pPr>
        <w:numPr>
          <w:numId w:val="1008"/>
          <w:ilvl w:val="0"/>
        </w:numPr>
      </w:pPr>
      <w:r>
        <w:t xml:space="preserve">Cette réponse demande le retrait de l’article 3, le demandeur ne consentant pas à ce que la défenderesse prenne toutes les décisions concernant les enfants (pièce P-4).</w:t>
      </w:r>
    </w:p>
    <w:p>
      <w:pPr>
        <w:numPr>
          <w:numId w:val="1008"/>
          <w:ilvl w:val="0"/>
        </w:numPr>
      </w:pPr>
      <w:r>
        <w:t xml:space="preserve">Cette réponse demande que les autorisations de voyage soient réciproques entre les parties (pièce P-4).</w:t>
      </w:r>
    </w:p>
    <w:p>
      <w:pPr>
        <w:numPr>
          <w:numId w:val="1008"/>
          <w:ilvl w:val="0"/>
        </w:numPr>
      </w:pPr>
      <w:r>
        <w:t xml:space="preserve">Cette réponse énonce que le demandeur est « tout à fait disposé à établir une progression dans les droits d’accès auprès des enfants » et demande que l’horaire de garde soit en alternance 2-2-3 à compter du 7 février 2016 (pièce P-4).</w:t>
      </w:r>
    </w:p>
    <w:p>
      <w:pPr>
        <w:numPr>
          <w:numId w:val="1008"/>
          <w:ilvl w:val="0"/>
        </w:numPr>
      </w:pPr>
      <w:r>
        <w:t xml:space="preserve">Cette réponse laisse à la défenderesse le choix des jours de garde afin que l’horaire tienne compte de ses cours de danse (pièce P-4).</w:t>
      </w:r>
    </w:p>
    <w:p>
      <w:pPr>
        <w:numPr>
          <w:numId w:val="1008"/>
          <w:ilvl w:val="0"/>
        </w:numPr>
      </w:pPr>
      <w:r>
        <w:t xml:space="preserve">Cette réponse propose subsidiairement un principe d’alternance pour la période des Fêtes (pièce P-4).</w:t>
      </w:r>
    </w:p>
    <w:p>
      <w:pPr>
        <w:numPr>
          <w:numId w:val="1008"/>
          <w:ilvl w:val="0"/>
        </w:numPr>
      </w:pPr>
      <w:r>
        <w:t xml:space="preserve">Le 3 septembre 2015, Me Marie-Josée Ayoub a répondu que la garde partagée était « prématurée à ce stade-ci » (pièce P-19).</w:t>
      </w:r>
    </w:p>
    <w:p>
      <w:pPr>
        <w:numPr>
          <w:numId w:val="1008"/>
          <w:ilvl w:val="0"/>
        </w:numPr>
      </w:pPr>
      <w:r>
        <w:t xml:space="preserve">Dans la même lettre, elle écrit, au sujet de l’autorité parentale : « Si son désir réel est d’être impliqué dans les décisions concernant les enfants […] nous n’avons absolument aucune objection à modifier l’entente en conséquence » (pièce P-19).</w:t>
      </w:r>
    </w:p>
    <w:p>
      <w:pPr>
        <w:numPr>
          <w:numId w:val="1008"/>
          <w:ilvl w:val="0"/>
        </w:numPr>
      </w:pPr>
      <w:r>
        <w:t xml:space="preserve">Le 16 septembre 2015, la Dre Claudia Écrement a offert au demandeur une rencontre individuelle pour le guider sur la question de la garde, en précisant : « Je ne suis ni avocate, ni médiatrice » (pièce à coter).</w:t>
      </w:r>
    </w:p>
    <w:p>
      <w:pPr>
        <w:numPr>
          <w:numId w:val="1008"/>
          <w:ilvl w:val="0"/>
        </w:numPr>
      </w:pPr>
      <w:r>
        <w:t xml:space="preserve">Le demandeur a répondu : « Je veux vous rencontrer », puis a fixé un rendez-vous au 19 octobre 2015 (même pièce).</w:t>
      </w:r>
    </w:p>
    <w:p>
      <w:pPr>
        <w:numPr>
          <w:numId w:val="1008"/>
          <w:ilvl w:val="0"/>
        </w:numPr>
      </w:pPr>
      <w:r>
        <w:t xml:space="preserve">Le 7 octobre 2015, le demandeur a annulé cette rencontre en précisant que son refus portait sur la question de la garde et non sur les services bénéfiques aux enfants (même pièce).</w:t>
      </w:r>
    </w:p>
    <w:p>
      <w:pPr>
        <w:numPr>
          <w:numId w:val="1008"/>
          <w:ilvl w:val="0"/>
        </w:numPr>
      </w:pPr>
      <w:r>
        <w:t xml:space="preserve">Le même jour, la Dre Écrement a rapporté cette position à la défenderesse (même pièce).</w:t>
      </w:r>
    </w:p>
    <w:p>
      <w:pPr>
        <w:pStyle w:val="Heading2"/>
      </w:pPr>
      <w:bookmarkStart w:id="31" w:name="i.-la-requête-du-19-novembre-2015"/>
      <w:r>
        <w:t xml:space="preserve">I. La Requête du 19 novembre 2015</w:t>
      </w:r>
      <w:bookmarkEnd w:id="31"/>
    </w:p>
    <w:p>
      <w:pPr>
        <w:numPr>
          <w:numId w:val="1009"/>
          <w:ilvl w:val="0"/>
        </w:numPr>
      </w:pPr>
      <w:r>
        <w:t xml:space="preserve">Le 19 novembre 2015, la défenderesse a signé sous serment une Requête en garde, fixation de pension alimentaire et ordonnance de sauvegarde, rédigée par Me Adelia Ferreira, et l’a fait déposer au dossier de la Cour (pièce P-6).</w:t>
      </w:r>
    </w:p>
    <w:p>
      <w:pPr>
        <w:numPr>
          <w:numId w:val="1009"/>
          <w:ilvl w:val="0"/>
        </w:numPr>
      </w:pPr>
      <w:r>
        <w:t xml:space="preserve">Au paragraphe 4, la Requête allègue que « la continuation de la vie commune étant devenue impossible, le défendeur a quitté la résidence commune le 23 février 2015 » (pièce P-6).</w:t>
      </w:r>
    </w:p>
    <w:p>
      <w:pPr>
        <w:numPr>
          <w:numId w:val="1009"/>
          <w:ilvl w:val="0"/>
        </w:numPr>
      </w:pPr>
      <w:r>
        <w:t xml:space="preserve">Au paragraphe 5, elle allègue que « depuis la naissance d’Alexia, la relation entre les parties était très difficile » (pièce P-6).</w:t>
      </w:r>
    </w:p>
    <w:p>
      <w:pPr>
        <w:numPr>
          <w:numId w:val="1009"/>
          <w:ilvl w:val="0"/>
        </w:numPr>
      </w:pPr>
      <w:r>
        <w:t xml:space="preserve">Au paragraphe 6, elle allègue que « le défendeur ne s’impliquait que minimalement dans les soins d’Alexia, laissant toute la responsabilité à la demanderesse, ce qui causait de grandes frictions dans le couple » (pièce P-6).</w:t>
      </w:r>
    </w:p>
    <w:p>
      <w:pPr>
        <w:numPr>
          <w:numId w:val="1009"/>
          <w:ilvl w:val="0"/>
        </w:numPr>
      </w:pPr>
      <w:r>
        <w:t xml:space="preserve">Au paragraphe 7, elle allègue qu’en 2011 les parties « ont vécu séparées pendant un (1) an » et qu’il serait « ressorti » de la thérapie « que le défendeur avait de la difficulté à assumer son rôle de père et s’investir » (pièce P-6).</w:t>
      </w:r>
    </w:p>
    <w:p>
      <w:pPr>
        <w:numPr>
          <w:numId w:val="1009"/>
          <w:ilvl w:val="0"/>
        </w:numPr>
      </w:pPr>
      <w:r>
        <w:t xml:space="preserve">Au paragraphe 9, elle allègue qu’« en 2013, le défendeur est parti tout l’été et a laissé la demanderesse seule avec les deux (2) enfants » (pièce P-6).</w:t>
      </w:r>
    </w:p>
    <w:p>
      <w:pPr>
        <w:numPr>
          <w:numId w:val="1009"/>
          <w:ilvl w:val="0"/>
        </w:numPr>
      </w:pPr>
      <w:r>
        <w:t xml:space="preserve">Au paragraphe 10, elle allègue que la défenderesse a racheté la part du demandeur dans la résidence « car il refusait de faire des réparations et rénovations nécessaires dans la maison » (pièce P-6).</w:t>
      </w:r>
    </w:p>
    <w:p>
      <w:pPr>
        <w:numPr>
          <w:numId w:val="1009"/>
          <w:ilvl w:val="0"/>
        </w:numPr>
      </w:pPr>
      <w:r>
        <w:t xml:space="preserve">Au paragraphe 14, elle allègue que, dès la rupture, le demandeur voulait instaurer une garde partagée et que la défenderesse a refusé (pièce P-6).</w:t>
      </w:r>
    </w:p>
    <w:p>
      <w:pPr>
        <w:numPr>
          <w:numId w:val="1009"/>
          <w:ilvl w:val="0"/>
        </w:numPr>
      </w:pPr>
      <w:r>
        <w:t xml:space="preserve">Aux paragraphes 15 à 17, elle allègue que le demandeur était rarement disponible pour prendre soin des enfants et n’aidait que lorsque la défenderesse n’était pas disponible (pièce P-6).</w:t>
      </w:r>
    </w:p>
    <w:p>
      <w:pPr>
        <w:numPr>
          <w:numId w:val="1009"/>
          <w:ilvl w:val="0"/>
        </w:numPr>
      </w:pPr>
      <w:r>
        <w:t xml:space="preserve">Au paragraphe 18, elle allègue qu’une entente est intervenue entre les parties au sujet de la garde, en renvoyant aux « échanges des messages textes datés du 21 avril 2015 », produits comme pièce P-2 (pièce P-6).</w:t>
      </w:r>
    </w:p>
    <w:p>
      <w:pPr>
        <w:numPr>
          <w:numId w:val="1009"/>
          <w:ilvl w:val="0"/>
        </w:numPr>
      </w:pPr>
      <w:r>
        <w:t xml:space="preserve">Aux paragraphes 20 et 21, elle allègue que les accès du demandeur ont été établis à sa demande le dimanche de 16 h à 20 h pour coïncider avec ses visites chez ses parents, et qu’il refusait de les exercer lorsque ceux-ci s’absentaient (pièce P-6).</w:t>
      </w:r>
    </w:p>
    <w:p>
      <w:pPr>
        <w:numPr>
          <w:numId w:val="1009"/>
          <w:ilvl w:val="0"/>
        </w:numPr>
      </w:pPr>
      <w:r>
        <w:t xml:space="preserve">Au paragraphe 23, elle allègue que la défenderesse a « à plusieurs reprises offert au défendeur de prendre les enfants sur une base plus régulière » et qu’« il a refusé et refuse toujours de les recevoir à son nouvel appartement » (pièce P-6).</w:t>
      </w:r>
    </w:p>
    <w:p>
      <w:pPr>
        <w:numPr>
          <w:numId w:val="1009"/>
          <w:ilvl w:val="0"/>
        </w:numPr>
      </w:pPr>
      <w:r>
        <w:t xml:space="preserve">Au paragraphe 24, elle allègue que le demandeur a vu les enfants « sporadiquement au printemps 2015 et régulièrement les dimanches soirs depuis la période estivale 2015 » (pièce P-6).</w:t>
      </w:r>
    </w:p>
    <w:p>
      <w:pPr>
        <w:numPr>
          <w:numId w:val="1009"/>
          <w:ilvl w:val="0"/>
        </w:numPr>
      </w:pPr>
      <w:r>
        <w:t xml:space="preserve">Au paragraphe 26, la défenderesse demande la garde des enfants et offre au demandeur des accès « à raison d’une (1) fois par semaine » (pièce P-6).</w:t>
      </w:r>
    </w:p>
    <w:p>
      <w:pPr>
        <w:numPr>
          <w:numId w:val="1009"/>
          <w:ilvl w:val="0"/>
        </w:numPr>
      </w:pPr>
      <w:r>
        <w:t xml:space="preserve">Au paragraphe 28, elle allègue avoir proposé au demandeur « de participer à des séances de médiation, ce qu’il a refusé » (pièce P-6).</w:t>
      </w:r>
    </w:p>
    <w:p>
      <w:pPr>
        <w:numPr>
          <w:numId w:val="1009"/>
          <w:ilvl w:val="0"/>
        </w:numPr>
      </w:pPr>
      <w:r>
        <w:t xml:space="preserve">Le paragraphe 28 n’identifie aucun médiateur, aucune date, aucune séance ni aucune pièce (pièce P-6).</w:t>
      </w:r>
    </w:p>
    <w:p>
      <w:pPr>
        <w:numPr>
          <w:numId w:val="1009"/>
          <w:ilvl w:val="0"/>
        </w:numPr>
      </w:pPr>
      <w:r>
        <w:t xml:space="preserve">Au paragraphe 29, elle allègue que le demandeur a refusé de rencontrer la Dre Écrement mais a accepté de communiquer avec elle au sujet des enfants (pièce P-6).</w:t>
      </w:r>
    </w:p>
    <w:p>
      <w:pPr>
        <w:numPr>
          <w:numId w:val="1009"/>
          <w:ilvl w:val="0"/>
        </w:numPr>
      </w:pPr>
      <w:r>
        <w:t xml:space="preserve">Au paragraphe 30, elle allègue que le demandeur « refuse d’exercer conjointement l’autorité parentale […] préférant que toutes les décisions les concernant reposent sur la demanderesse » (pièce P-6).</w:t>
      </w:r>
    </w:p>
    <w:p>
      <w:pPr>
        <w:numPr>
          <w:numId w:val="1009"/>
          <w:ilvl w:val="0"/>
        </w:numPr>
      </w:pPr>
      <w:r>
        <w:t xml:space="preserve">Au paragraphe 31, elle allègue que le demandeur a demandé « de faire le nécessaire afin qu’il soit déchu de certains attributs de l’autorité parentale » (pièce P-6).</w:t>
      </w:r>
    </w:p>
    <w:p>
      <w:pPr>
        <w:numPr>
          <w:numId w:val="1009"/>
          <w:ilvl w:val="0"/>
        </w:numPr>
      </w:pPr>
      <w:r>
        <w:t xml:space="preserve">Au paragraphe 56, elle allègue que les enfants « ont toujours été couverts par les assurances médicales et médicaments du défendeur » (pièce P-6).</w:t>
      </w:r>
    </w:p>
    <w:p>
      <w:pPr>
        <w:numPr>
          <w:numId w:val="1009"/>
          <w:ilvl w:val="0"/>
        </w:numPr>
      </w:pPr>
      <w:r>
        <w:t xml:space="preserve">Au paragraphe 57, elle allègue que le demandeur « refuse que la demanderesse utilise les dites assurances » pour les médicaments et les consultations des enfants, que « lui seul peut bénéficier d’utiliser le service lorsqu’il a les enfants » et qu’il « refuse de payer la différence non couverte par les assurances » (pièce P-6).</w:t>
      </w:r>
    </w:p>
    <w:p>
      <w:pPr>
        <w:numPr>
          <w:numId w:val="1009"/>
          <w:ilvl w:val="0"/>
        </w:numPr>
      </w:pPr>
      <w:r>
        <w:t xml:space="preserve">Au paragraphe 59, elle allègue que « la demanderesse a toujours essayé d’accommoder le défendeur dans ses demandes » (pièce P-6).</w:t>
      </w:r>
    </w:p>
    <w:p>
      <w:pPr>
        <w:numPr>
          <w:numId w:val="1009"/>
          <w:ilvl w:val="0"/>
        </w:numPr>
      </w:pPr>
      <w:r>
        <w:t xml:space="preserve">Aux paragraphes 66 et 67, elle affirme que la demande est formulée dans le meilleur intérêt des enfants et bien fondée en faits et en droit (pièce P-6).</w:t>
      </w:r>
    </w:p>
    <w:p>
      <w:pPr>
        <w:numPr>
          <w:numId w:val="1009"/>
          <w:ilvl w:val="0"/>
        </w:numPr>
      </w:pPr>
      <w:r>
        <w:t xml:space="preserve">La Requête ne mentionne ni le projet de consentement du 13 août 2015 ni la réponse du 2 septembre 2015 (pièce P-6, comparée aux pièces P-5 et P-4).</w:t>
      </w:r>
    </w:p>
    <w:p>
      <w:pPr>
        <w:numPr>
          <w:numId w:val="1009"/>
          <w:ilvl w:val="0"/>
        </w:numPr>
      </w:pPr>
      <w:r>
        <w:t xml:space="preserve">La Requête ne cite aucune pièce contemporaine — rapport de professionnel, évaluation ou écrit d’époque — au soutien de l’énoncé du paragraphe 7 selon lequel le demandeur « avait de la difficulté à assumer son rôle de père » (pièce P-6).</w:t>
      </w:r>
    </w:p>
    <w:p>
      <w:pPr>
        <w:numPr>
          <w:numId w:val="1009"/>
          <w:ilvl w:val="0"/>
        </w:numPr>
      </w:pPr>
      <w:r>
        <w:t xml:space="preserve">La Requête ne mentionne ni la décision de vendre exprimée en juin 2013, ni le mandat d’évaluation à des fins de partage, ni le rachat au prix établi par ce rapport (pièce P-6, comparée aux faits 55 à 57 et 81).</w:t>
      </w:r>
    </w:p>
    <w:p>
      <w:pPr>
        <w:pStyle w:val="Heading2"/>
      </w:pPr>
      <w:bookmarkStart w:id="32" w:name="X8425783f002f1f37efbba10987e54d0c522af60"/>
      <w:r>
        <w:t xml:space="preserve">J. Les assurances collectives (février 2015 — janvier 2016)</w:t>
      </w:r>
      <w:bookmarkEnd w:id="32"/>
    </w:p>
    <w:p>
      <w:pPr>
        <w:numPr>
          <w:numId w:val="1010"/>
          <w:ilvl w:val="0"/>
        </w:numPr>
      </w:pPr>
      <w:r>
        <w:t xml:space="preserve">Les enfants étaient bénéficiaires du régime d’assurance collective auquel adhérait le demandeur (pièce P-8).</w:t>
      </w:r>
    </w:p>
    <w:p>
      <w:pPr>
        <w:numPr>
          <w:numId w:val="1010"/>
          <w:ilvl w:val="0"/>
        </w:numPr>
      </w:pPr>
      <w:r>
        <w:t xml:space="preserve">Une réclamation par paiement direct était soumise au fournisseur ou à l’assureur à partir des renseignements du régime, puis traitée selon l’admissibilité du bénéficiaire, la dépense et les conditions de la couverture (pièce P-8 ; documentation de l’assureur, à coter).</w:t>
      </w:r>
    </w:p>
    <w:p>
      <w:pPr>
        <w:numPr>
          <w:numId w:val="1010"/>
          <w:ilvl w:val="0"/>
        </w:numPr>
      </w:pPr>
      <w:r>
        <w:t xml:space="preserve">Le participant n’avait pas à autoriser chaque réclamation présentée au bénéfice des enfants (même source).</w:t>
      </w:r>
    </w:p>
    <w:p>
      <w:pPr>
        <w:numPr>
          <w:numId w:val="1010"/>
          <w:ilvl w:val="0"/>
        </w:numPr>
      </w:pPr>
      <w:r>
        <w:t xml:space="preserve">Entre le 25 février 2015 et le 16 mai 2016, treize (13) transactions de type « paiement au fournisseur » ont été portées au nom des enfants, l’assureur versant la portion couverte au fournisseur (pièce P-8).</w:t>
      </w:r>
    </w:p>
    <w:p>
      <w:pPr>
        <w:numPr>
          <w:numId w:val="1010"/>
          <w:ilvl w:val="0"/>
        </w:numPr>
      </w:pPr>
      <w:r>
        <w:t xml:space="preserve">Durant l’été 2015, trois (3) transactions de type « remboursement au participant » ont été portées au nom des enfants : pour chacune, 110 $ ont été soumis, puis 88 $ ont été versés au compte du participant, laissant 22 $ non remboursés (pièce P-8).</w:t>
      </w:r>
    </w:p>
    <w:p>
      <w:pPr>
        <w:numPr>
          <w:numId w:val="1010"/>
          <w:ilvl w:val="0"/>
        </w:numPr>
      </w:pPr>
      <w:r>
        <w:t xml:space="preserve">Aucune de ces seize (16) transactions n’a eu lieu un dimanche (pièce P-8).</w:t>
      </w:r>
    </w:p>
    <w:p>
      <w:pPr>
        <w:numPr>
          <w:numId w:val="1010"/>
          <w:ilvl w:val="0"/>
        </w:numPr>
      </w:pPr>
      <w:r>
        <w:t xml:space="preserve">Le 17 octobre 2015, une transaction a été portée au nom de Nicolas, soit la dernière transaction documentée avant la Requête (pièce P-8).</w:t>
      </w:r>
    </w:p>
    <w:p>
      <w:pPr>
        <w:numPr>
          <w:numId w:val="1010"/>
          <w:ilvl w:val="0"/>
        </w:numPr>
      </w:pPr>
      <w:r>
        <w:t xml:space="preserve">Les 15 décembre 2015 et 11 janvier 2016, de nouvelles transactions ont été traitées au bénéfice de Nicolas (pièce P-8).</w:t>
      </w:r>
    </w:p>
    <w:p>
      <w:pPr>
        <w:numPr>
          <w:numId w:val="1010"/>
          <w:ilvl w:val="0"/>
        </w:numPr>
      </w:pPr>
      <w:r>
        <w:t xml:space="preserve">Les relevés n’identifient pas la personne ayant déboursé les trois dépenses de 110 $ (pièce P-8).</w:t>
      </w:r>
    </w:p>
    <w:p>
      <w:pPr>
        <w:numPr>
          <w:numId w:val="1010"/>
          <w:ilvl w:val="0"/>
        </w:numPr>
      </w:pPr>
      <w:r>
        <w:t xml:space="preserve">Aucun document produit au soutien des paragraphes 57 et suivants de la Requête n’identifie une demande adressée au demandeur de remettre l’un des remboursements de 88 $ ou de payer l’un des soldes de 22 $, ni sa réponse à une telle demande (pièce P-6 et dossier).</w:t>
      </w:r>
    </w:p>
    <w:p>
      <w:pPr>
        <w:pStyle w:val="Heading2"/>
      </w:pPr>
      <w:bookmarkStart w:id="33" w:name="X0246df226de86f556338661fcec352ea6ce7c39"/>
      <w:r>
        <w:t xml:space="preserve">K. Décembre 2015 — janvier 2016 : la rétractation et le jugement par défaut</w:t>
      </w:r>
      <w:bookmarkEnd w:id="33"/>
    </w:p>
    <w:p>
      <w:pPr>
        <w:numPr>
          <w:numId w:val="1011"/>
          <w:ilvl w:val="0"/>
        </w:numPr>
      </w:pPr>
      <w:r>
        <w:t xml:space="preserve">Le 11 janvier 2016, le demandeur a écrit à la défenderesse que sa requête le décrivait comme un père qui n’était pas impliqué auprès d’Alexia lorsqu’il était à la maison (pièce P-9).</w:t>
      </w:r>
    </w:p>
    <w:p>
      <w:pPr>
        <w:numPr>
          <w:numId w:val="1011"/>
          <w:ilvl w:val="0"/>
        </w:numPr>
      </w:pPr>
      <w:r>
        <w:t xml:space="preserve">Le même jour, la défenderesse a répondu qu’elle avait demandé à son avocate d’enlever cette partie, car elle ne voulait pas que cela soit écrit comme cela (pièce P-9).</w:t>
      </w:r>
    </w:p>
    <w:p>
      <w:pPr>
        <w:numPr>
          <w:numId w:val="1011"/>
          <w:ilvl w:val="0"/>
        </w:numPr>
      </w:pPr>
      <w:r>
        <w:t xml:space="preserve">Dans la même réponse, la défenderesse a ajouté que son avocate lui avait seulement demandé si le demandeur s’occupait d’Alexia 50 % du temps (pièce P-9).</w:t>
      </w:r>
    </w:p>
    <w:p>
      <w:pPr>
        <w:numPr>
          <w:numId w:val="1011"/>
          <w:ilvl w:val="0"/>
        </w:numPr>
      </w:pPr>
      <w:r>
        <w:t xml:space="preserve">Le 14 janvier 2016, l’honorable Sophie Picard, J.C.S., a prononcé un jugement confiant la garde des enfants à la défenderesse et accordant au demandeur des accès les dimanches de 16 h à 20 h (pièce P-7).</w:t>
      </w:r>
    </w:p>
    <w:p>
      <w:pPr>
        <w:numPr>
          <w:numId w:val="1011"/>
          <w:ilvl w:val="0"/>
        </w:numPr>
      </w:pPr>
      <w:r>
        <w:t xml:space="preserve">Ce jugement a été rendu par défaut, le demandeur étant absent ; les allégations de la Requête n’y ont fait l’objet d’aucun débat contradictoire (pièce P-7).</w:t>
      </w:r>
    </w:p>
    <w:p>
      <w:pPr>
        <w:numPr>
          <w:numId w:val="1011"/>
          <w:ilvl w:val="0"/>
        </w:numPr>
      </w:pPr>
      <w:r>
        <w:t xml:space="preserve">Sur le volet des accès, ce jugement reprend l’horaire dominical de 16 h à 20 h qui existait avant le dépôt de la Requête (pièce P-7, comparée au fait 96).</w:t>
      </w:r>
    </w:p>
    <w:p>
      <w:pPr>
        <w:pStyle w:val="Heading2"/>
      </w:pPr>
      <w:bookmarkStart w:id="34" w:name="X9af210eea3aebbf5f246da8579be2cb95044b2d"/>
      <w:r>
        <w:t xml:space="preserve">L. Déclarations postérieures de la défenderesse (septembre 2016)</w:t>
      </w:r>
      <w:bookmarkEnd w:id="34"/>
    </w:p>
    <w:p>
      <w:pPr>
        <w:numPr>
          <w:numId w:val="1012"/>
          <w:ilvl w:val="0"/>
        </w:numPr>
      </w:pPr>
      <w:r>
        <w:t xml:space="preserve">Le 16 septembre 2016, la défenderesse a écrit au demandeur qu’elle disposait d’une aide familiale « pour leurs cours de natation et pour mes soirs de danse » (pièce à coter : Email id=305).</w:t>
      </w:r>
    </w:p>
    <w:p>
      <w:pPr>
        <w:numPr>
          <w:numId w:val="1012"/>
          <w:ilvl w:val="0"/>
        </w:numPr>
      </w:pPr>
      <w:r>
        <w:t xml:space="preserve">Le 16 septembre 2016, la défenderesse a écrit au demandeur : « Je ne t’ai jamais traité d’incapable je t’ai parlé de leur lien d’attachement » (pièce à coter : Email id=6).</w:t>
      </w:r>
    </w:p>
    <w:p>
      <w:pPr>
        <w:numPr>
          <w:numId w:val="1012"/>
          <w:ilvl w:val="0"/>
        </w:numPr>
      </w:pPr>
      <w:r>
        <w:t xml:space="preserve">Le 16 septembre 2016, la défenderesse a écrit au demandeur : « La situation est que les deux n’avons pas ce que nous voulions. On le sait ça » et « Je ne te demande pas de revenir sur le sujet sur lequel NOUS on ne s’entendait pas » (pièce à coter : Email id=8).</w:t>
      </w:r>
    </w:p>
    <w:p>
      <w:r>
        <w:pict>
          <v:rect style="width:0;height:1.5pt" o:hralign="center" o:hrstd="t" o:hr="t"/>
        </w:pict>
      </w:r>
    </w:p>
    <w:p>
      <w:pPr>
        <w:pStyle w:val="BlockText"/>
      </w:pPr>
      <w:r>
        <w:rPr>
          <w:b/>
        </w:rPr>
        <w:t xml:space="preserve">Note de rédaction.</w:t>
      </w:r>
      <w:r>
        <w:t xml:space="preserve"> </w:t>
      </w:r>
      <w:r>
        <w:t xml:space="preserve">Les inférences (fausseté, connaissance, patron, détournement) sont réservées aux</w:t>
      </w:r>
      <w:r>
        <w:t xml:space="preserve"> </w:t>
      </w:r>
      <w:r>
        <w:rPr>
          <w:b/>
        </w:rPr>
        <w:t xml:space="preserve">Moyens de droit</w:t>
      </w:r>
      <w:r>
        <w:t xml:space="preserve"> </w:t>
      </w:r>
      <w:r>
        <w:t xml:space="preserve">; le présent exposé s’en tient aux faits. Concessions intégrées à même l’exposé : le départ (94), l’infidélité (29), la thérapie (33), le cadre dominical (96), le refus de certains scénarios au printemps 2015 et la fermeté du demandeur sur la garde partagée (102, 128), les demandes de renonciation du 1er août (117), la couverture d’assurance (163) et les accommodements ponctuels de la défenderesse (96, 109, 123).</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5">
    <w:nsid w:val="71315dca"/>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29">
    <w:nsid w:val="47261bad"/>
    <w:multiLevelType w:val="multilevel"/>
    <w:lvl w:ilvl="0">
      <w:start w:val="29"/>
      <w:numFmt w:val="decimal"/>
      <w:lvlText w:val="%1."/>
      <w:lvlJc w:val="left"/>
      <w:pPr>
        <w:tabs>
          <w:tab w:val="num" w:pos="0"/>
        </w:tabs>
        <w:ind w:left="480" w:hanging="480"/>
      </w:pPr>
    </w:lvl>
    <w:lvl w:ilvl="1">
      <w:start w:val="29"/>
      <w:numFmt w:val="decimal"/>
      <w:lvlText w:val="%2."/>
      <w:lvlJc w:val="left"/>
      <w:pPr>
        <w:tabs>
          <w:tab w:val="num" w:pos="720"/>
        </w:tabs>
        <w:ind w:left="1200" w:hanging="480"/>
      </w:pPr>
    </w:lvl>
    <w:lvl w:ilvl="2">
      <w:start w:val="29"/>
      <w:numFmt w:val="decimal"/>
      <w:lvlText w:val="%3."/>
      <w:lvlJc w:val="left"/>
      <w:pPr>
        <w:tabs>
          <w:tab w:val="num" w:pos="1440"/>
        </w:tabs>
        <w:ind w:left="1920" w:hanging="480"/>
      </w:pPr>
    </w:lvl>
    <w:lvl w:ilvl="3">
      <w:start w:val="29"/>
      <w:numFmt w:val="decimal"/>
      <w:lvlText w:val="%4."/>
      <w:lvlJc w:val="left"/>
      <w:pPr>
        <w:tabs>
          <w:tab w:val="num" w:pos="2160"/>
        </w:tabs>
        <w:ind w:left="2640" w:hanging="480"/>
      </w:pPr>
    </w:lvl>
    <w:lvl w:ilvl="4">
      <w:start w:val="29"/>
      <w:numFmt w:val="decimal"/>
      <w:lvlText w:val="%5."/>
      <w:lvlJc w:val="left"/>
      <w:pPr>
        <w:tabs>
          <w:tab w:val="num" w:pos="2880"/>
        </w:tabs>
        <w:ind w:left="3360" w:hanging="480"/>
      </w:pPr>
    </w:lvl>
    <w:lvl w:ilvl="5">
      <w:start w:val="29"/>
      <w:numFmt w:val="decimal"/>
      <w:lvlText w:val="%6."/>
      <w:lvlJc w:val="left"/>
      <w:pPr>
        <w:tabs>
          <w:tab w:val="num" w:pos="3600"/>
        </w:tabs>
        <w:ind w:left="4080" w:hanging="480"/>
      </w:pPr>
    </w:lvl>
    <w:lvl w:ilvl="6">
      <w:start w:val="29"/>
      <w:numFmt w:val="decimal"/>
      <w:lvlText w:val="%7."/>
      <w:lvlJc w:val="left"/>
      <w:pPr>
        <w:tabs>
          <w:tab w:val="num" w:pos="4320"/>
        </w:tabs>
        <w:ind w:left="4800" w:hanging="480"/>
      </w:pPr>
    </w:lvl>
    <w:lvl w:ilvl="7">
      <w:start w:val="29"/>
      <w:numFmt w:val="decimal"/>
      <w:lvlText w:val="%8."/>
      <w:lvlJc w:val="left"/>
      <w:pPr>
        <w:tabs>
          <w:tab w:val="num" w:pos="5040"/>
        </w:tabs>
        <w:ind w:left="5520" w:hanging="480"/>
      </w:pPr>
    </w:lvl>
    <w:lvl w:ilvl="8">
      <w:start w:val="29"/>
      <w:numFmt w:val="decimal"/>
      <w:lvlText w:val="%9."/>
      <w:lvlJc w:val="left"/>
      <w:pPr>
        <w:tabs>
          <w:tab w:val="num" w:pos="5760"/>
        </w:tabs>
        <w:ind w:left="6240" w:hanging="480"/>
      </w:pPr>
    </w:lvl>
  </w:abstractNum>
  <w:abstractNum w:abstractNumId="994142">
    <w:nsid w:val="b3cbbdee"/>
    <w:multiLevelType w:val="multilevel"/>
    <w:lvl w:ilvl="0">
      <w:start w:val="42"/>
      <w:numFmt w:val="decimal"/>
      <w:lvlText w:val="%1."/>
      <w:lvlJc w:val="left"/>
      <w:pPr>
        <w:tabs>
          <w:tab w:val="num" w:pos="0"/>
        </w:tabs>
        <w:ind w:left="480" w:hanging="480"/>
      </w:pPr>
    </w:lvl>
    <w:lvl w:ilvl="1">
      <w:start w:val="42"/>
      <w:numFmt w:val="decimal"/>
      <w:lvlText w:val="%2."/>
      <w:lvlJc w:val="left"/>
      <w:pPr>
        <w:tabs>
          <w:tab w:val="num" w:pos="720"/>
        </w:tabs>
        <w:ind w:left="1200" w:hanging="480"/>
      </w:pPr>
    </w:lvl>
    <w:lvl w:ilvl="2">
      <w:start w:val="42"/>
      <w:numFmt w:val="decimal"/>
      <w:lvlText w:val="%3."/>
      <w:lvlJc w:val="left"/>
      <w:pPr>
        <w:tabs>
          <w:tab w:val="num" w:pos="1440"/>
        </w:tabs>
        <w:ind w:left="1920" w:hanging="480"/>
      </w:pPr>
    </w:lvl>
    <w:lvl w:ilvl="3">
      <w:start w:val="42"/>
      <w:numFmt w:val="decimal"/>
      <w:lvlText w:val="%4."/>
      <w:lvlJc w:val="left"/>
      <w:pPr>
        <w:tabs>
          <w:tab w:val="num" w:pos="2160"/>
        </w:tabs>
        <w:ind w:left="2640" w:hanging="480"/>
      </w:pPr>
    </w:lvl>
    <w:lvl w:ilvl="4">
      <w:start w:val="42"/>
      <w:numFmt w:val="decimal"/>
      <w:lvlText w:val="%5."/>
      <w:lvlJc w:val="left"/>
      <w:pPr>
        <w:tabs>
          <w:tab w:val="num" w:pos="2880"/>
        </w:tabs>
        <w:ind w:left="3360" w:hanging="480"/>
      </w:pPr>
    </w:lvl>
    <w:lvl w:ilvl="5">
      <w:start w:val="42"/>
      <w:numFmt w:val="decimal"/>
      <w:lvlText w:val="%6."/>
      <w:lvlJc w:val="left"/>
      <w:pPr>
        <w:tabs>
          <w:tab w:val="num" w:pos="3600"/>
        </w:tabs>
        <w:ind w:left="4080" w:hanging="480"/>
      </w:pPr>
    </w:lvl>
    <w:lvl w:ilvl="6">
      <w:start w:val="42"/>
      <w:numFmt w:val="decimal"/>
      <w:lvlText w:val="%7."/>
      <w:lvlJc w:val="left"/>
      <w:pPr>
        <w:tabs>
          <w:tab w:val="num" w:pos="4320"/>
        </w:tabs>
        <w:ind w:left="4800" w:hanging="480"/>
      </w:pPr>
    </w:lvl>
    <w:lvl w:ilvl="7">
      <w:start w:val="42"/>
      <w:numFmt w:val="decimal"/>
      <w:lvlText w:val="%8."/>
      <w:lvlJc w:val="left"/>
      <w:pPr>
        <w:tabs>
          <w:tab w:val="num" w:pos="5040"/>
        </w:tabs>
        <w:ind w:left="5520" w:hanging="480"/>
      </w:pPr>
    </w:lvl>
    <w:lvl w:ilvl="8">
      <w:start w:val="42"/>
      <w:numFmt w:val="decimal"/>
      <w:lvlText w:val="%9."/>
      <w:lvlJc w:val="left"/>
      <w:pPr>
        <w:tabs>
          <w:tab w:val="num" w:pos="5760"/>
        </w:tabs>
        <w:ind w:left="6240" w:hanging="480"/>
      </w:pPr>
    </w:lvl>
  </w:abstractNum>
  <w:abstractNum w:abstractNumId="994158">
    <w:nsid w:val="4fbe019a"/>
    <w:multiLevelType w:val="multilevel"/>
    <w:lvl w:ilvl="0">
      <w:start w:val="58"/>
      <w:numFmt w:val="decimal"/>
      <w:lvlText w:val="%1."/>
      <w:lvlJc w:val="left"/>
      <w:pPr>
        <w:tabs>
          <w:tab w:val="num" w:pos="0"/>
        </w:tabs>
        <w:ind w:left="480" w:hanging="480"/>
      </w:pPr>
    </w:lvl>
    <w:lvl w:ilvl="1">
      <w:start w:val="58"/>
      <w:numFmt w:val="decimal"/>
      <w:lvlText w:val="%2."/>
      <w:lvlJc w:val="left"/>
      <w:pPr>
        <w:tabs>
          <w:tab w:val="num" w:pos="720"/>
        </w:tabs>
        <w:ind w:left="1200" w:hanging="480"/>
      </w:pPr>
    </w:lvl>
    <w:lvl w:ilvl="2">
      <w:start w:val="58"/>
      <w:numFmt w:val="decimal"/>
      <w:lvlText w:val="%3."/>
      <w:lvlJc w:val="left"/>
      <w:pPr>
        <w:tabs>
          <w:tab w:val="num" w:pos="1440"/>
        </w:tabs>
        <w:ind w:left="1920" w:hanging="480"/>
      </w:pPr>
    </w:lvl>
    <w:lvl w:ilvl="3">
      <w:start w:val="58"/>
      <w:numFmt w:val="decimal"/>
      <w:lvlText w:val="%4."/>
      <w:lvlJc w:val="left"/>
      <w:pPr>
        <w:tabs>
          <w:tab w:val="num" w:pos="2160"/>
        </w:tabs>
        <w:ind w:left="2640" w:hanging="480"/>
      </w:pPr>
    </w:lvl>
    <w:lvl w:ilvl="4">
      <w:start w:val="58"/>
      <w:numFmt w:val="decimal"/>
      <w:lvlText w:val="%5."/>
      <w:lvlJc w:val="left"/>
      <w:pPr>
        <w:tabs>
          <w:tab w:val="num" w:pos="2880"/>
        </w:tabs>
        <w:ind w:left="3360" w:hanging="480"/>
      </w:pPr>
    </w:lvl>
    <w:lvl w:ilvl="5">
      <w:start w:val="58"/>
      <w:numFmt w:val="decimal"/>
      <w:lvlText w:val="%6."/>
      <w:lvlJc w:val="left"/>
      <w:pPr>
        <w:tabs>
          <w:tab w:val="num" w:pos="3600"/>
        </w:tabs>
        <w:ind w:left="4080" w:hanging="480"/>
      </w:pPr>
    </w:lvl>
    <w:lvl w:ilvl="6">
      <w:start w:val="58"/>
      <w:numFmt w:val="decimal"/>
      <w:lvlText w:val="%7."/>
      <w:lvlJc w:val="left"/>
      <w:pPr>
        <w:tabs>
          <w:tab w:val="num" w:pos="4320"/>
        </w:tabs>
        <w:ind w:left="4800" w:hanging="480"/>
      </w:pPr>
    </w:lvl>
    <w:lvl w:ilvl="7">
      <w:start w:val="58"/>
      <w:numFmt w:val="decimal"/>
      <w:lvlText w:val="%8."/>
      <w:lvlJc w:val="left"/>
      <w:pPr>
        <w:tabs>
          <w:tab w:val="num" w:pos="5040"/>
        </w:tabs>
        <w:ind w:left="5520" w:hanging="480"/>
      </w:pPr>
    </w:lvl>
    <w:lvl w:ilvl="8">
      <w:start w:val="58"/>
      <w:numFmt w:val="decimal"/>
      <w:lvlText w:val="%9."/>
      <w:lvlJc w:val="left"/>
      <w:pPr>
        <w:tabs>
          <w:tab w:val="num" w:pos="5760"/>
        </w:tabs>
        <w:ind w:left="6240" w:hanging="480"/>
      </w:pPr>
    </w:lvl>
  </w:abstractNum>
  <w:abstractNum w:abstractNumId="994181">
    <w:nsid w:val="91a27d85"/>
    <w:multiLevelType w:val="multilevel"/>
    <w:lvl w:ilvl="0">
      <w:start w:val="81"/>
      <w:numFmt w:val="decimal"/>
      <w:lvlText w:val="%1."/>
      <w:lvlJc w:val="left"/>
      <w:pPr>
        <w:tabs>
          <w:tab w:val="num" w:pos="0"/>
        </w:tabs>
        <w:ind w:left="480" w:hanging="480"/>
      </w:pPr>
    </w:lvl>
    <w:lvl w:ilvl="1">
      <w:start w:val="81"/>
      <w:numFmt w:val="decimal"/>
      <w:lvlText w:val="%2."/>
      <w:lvlJc w:val="left"/>
      <w:pPr>
        <w:tabs>
          <w:tab w:val="num" w:pos="720"/>
        </w:tabs>
        <w:ind w:left="1200" w:hanging="480"/>
      </w:pPr>
    </w:lvl>
    <w:lvl w:ilvl="2">
      <w:start w:val="81"/>
      <w:numFmt w:val="decimal"/>
      <w:lvlText w:val="%3."/>
      <w:lvlJc w:val="left"/>
      <w:pPr>
        <w:tabs>
          <w:tab w:val="num" w:pos="1440"/>
        </w:tabs>
        <w:ind w:left="1920" w:hanging="480"/>
      </w:pPr>
    </w:lvl>
    <w:lvl w:ilvl="3">
      <w:start w:val="81"/>
      <w:numFmt w:val="decimal"/>
      <w:lvlText w:val="%4."/>
      <w:lvlJc w:val="left"/>
      <w:pPr>
        <w:tabs>
          <w:tab w:val="num" w:pos="2160"/>
        </w:tabs>
        <w:ind w:left="2640" w:hanging="480"/>
      </w:pPr>
    </w:lvl>
    <w:lvl w:ilvl="4">
      <w:start w:val="81"/>
      <w:numFmt w:val="decimal"/>
      <w:lvlText w:val="%5."/>
      <w:lvlJc w:val="left"/>
      <w:pPr>
        <w:tabs>
          <w:tab w:val="num" w:pos="2880"/>
        </w:tabs>
        <w:ind w:left="3360" w:hanging="480"/>
      </w:pPr>
    </w:lvl>
    <w:lvl w:ilvl="5">
      <w:start w:val="81"/>
      <w:numFmt w:val="decimal"/>
      <w:lvlText w:val="%6."/>
      <w:lvlJc w:val="left"/>
      <w:pPr>
        <w:tabs>
          <w:tab w:val="num" w:pos="3600"/>
        </w:tabs>
        <w:ind w:left="4080" w:hanging="480"/>
      </w:pPr>
    </w:lvl>
    <w:lvl w:ilvl="6">
      <w:start w:val="81"/>
      <w:numFmt w:val="decimal"/>
      <w:lvlText w:val="%7."/>
      <w:lvlJc w:val="left"/>
      <w:pPr>
        <w:tabs>
          <w:tab w:val="num" w:pos="4320"/>
        </w:tabs>
        <w:ind w:left="4800" w:hanging="480"/>
      </w:pPr>
    </w:lvl>
    <w:lvl w:ilvl="7">
      <w:start w:val="81"/>
      <w:numFmt w:val="decimal"/>
      <w:lvlText w:val="%8."/>
      <w:lvlJc w:val="left"/>
      <w:pPr>
        <w:tabs>
          <w:tab w:val="num" w:pos="5040"/>
        </w:tabs>
        <w:ind w:left="5520" w:hanging="480"/>
      </w:pPr>
    </w:lvl>
    <w:lvl w:ilvl="8">
      <w:start w:val="81"/>
      <w:numFmt w:val="decimal"/>
      <w:lvlText w:val="%9."/>
      <w:lvlJc w:val="left"/>
      <w:pPr>
        <w:tabs>
          <w:tab w:val="num" w:pos="5760"/>
        </w:tabs>
        <w:ind w:left="6240" w:hanging="480"/>
      </w:pPr>
    </w:lvl>
  </w:abstractNum>
  <w:abstractNum w:abstractNumId="994188">
    <w:nsid w:val="615f1ed2"/>
    <w:multiLevelType w:val="multilevel"/>
    <w:lvl w:ilvl="0">
      <w:start w:val="88"/>
      <w:numFmt w:val="decimal"/>
      <w:lvlText w:val="%1."/>
      <w:lvlJc w:val="left"/>
      <w:pPr>
        <w:tabs>
          <w:tab w:val="num" w:pos="0"/>
        </w:tabs>
        <w:ind w:left="480" w:hanging="480"/>
      </w:pPr>
    </w:lvl>
    <w:lvl w:ilvl="1">
      <w:start w:val="88"/>
      <w:numFmt w:val="decimal"/>
      <w:lvlText w:val="%2."/>
      <w:lvlJc w:val="left"/>
      <w:pPr>
        <w:tabs>
          <w:tab w:val="num" w:pos="720"/>
        </w:tabs>
        <w:ind w:left="1200" w:hanging="480"/>
      </w:pPr>
    </w:lvl>
    <w:lvl w:ilvl="2">
      <w:start w:val="88"/>
      <w:numFmt w:val="decimal"/>
      <w:lvlText w:val="%3."/>
      <w:lvlJc w:val="left"/>
      <w:pPr>
        <w:tabs>
          <w:tab w:val="num" w:pos="1440"/>
        </w:tabs>
        <w:ind w:left="1920" w:hanging="480"/>
      </w:pPr>
    </w:lvl>
    <w:lvl w:ilvl="3">
      <w:start w:val="88"/>
      <w:numFmt w:val="decimal"/>
      <w:lvlText w:val="%4."/>
      <w:lvlJc w:val="left"/>
      <w:pPr>
        <w:tabs>
          <w:tab w:val="num" w:pos="2160"/>
        </w:tabs>
        <w:ind w:left="2640" w:hanging="480"/>
      </w:pPr>
    </w:lvl>
    <w:lvl w:ilvl="4">
      <w:start w:val="88"/>
      <w:numFmt w:val="decimal"/>
      <w:lvlText w:val="%5."/>
      <w:lvlJc w:val="left"/>
      <w:pPr>
        <w:tabs>
          <w:tab w:val="num" w:pos="2880"/>
        </w:tabs>
        <w:ind w:left="3360" w:hanging="480"/>
      </w:pPr>
    </w:lvl>
    <w:lvl w:ilvl="5">
      <w:start w:val="88"/>
      <w:numFmt w:val="decimal"/>
      <w:lvlText w:val="%6."/>
      <w:lvlJc w:val="left"/>
      <w:pPr>
        <w:tabs>
          <w:tab w:val="num" w:pos="3600"/>
        </w:tabs>
        <w:ind w:left="4080" w:hanging="480"/>
      </w:pPr>
    </w:lvl>
    <w:lvl w:ilvl="6">
      <w:start w:val="88"/>
      <w:numFmt w:val="decimal"/>
      <w:lvlText w:val="%7."/>
      <w:lvlJc w:val="left"/>
      <w:pPr>
        <w:tabs>
          <w:tab w:val="num" w:pos="4320"/>
        </w:tabs>
        <w:ind w:left="4800" w:hanging="480"/>
      </w:pPr>
    </w:lvl>
    <w:lvl w:ilvl="7">
      <w:start w:val="88"/>
      <w:numFmt w:val="decimal"/>
      <w:lvlText w:val="%8."/>
      <w:lvlJc w:val="left"/>
      <w:pPr>
        <w:tabs>
          <w:tab w:val="num" w:pos="5040"/>
        </w:tabs>
        <w:ind w:left="5520" w:hanging="480"/>
      </w:pPr>
    </w:lvl>
    <w:lvl w:ilvl="8">
      <w:start w:val="88"/>
      <w:numFmt w:val="decimal"/>
      <w:lvlText w:val="%9."/>
      <w:lvlJc w:val="left"/>
      <w:pPr>
        <w:tabs>
          <w:tab w:val="num" w:pos="5760"/>
        </w:tabs>
        <w:ind w:left="6240" w:hanging="480"/>
      </w:pPr>
    </w:lvl>
  </w:abstractNum>
  <w:abstractNum w:abstractNumId="9941101">
    <w:nsid w:val="238d8174"/>
    <w:multiLevelType w:val="multilevel"/>
    <w:lvl w:ilvl="0">
      <w:start w:val="101"/>
      <w:numFmt w:val="decimal"/>
      <w:lvlText w:val="%1."/>
      <w:lvlJc w:val="left"/>
      <w:pPr>
        <w:tabs>
          <w:tab w:val="num" w:pos="0"/>
        </w:tabs>
        <w:ind w:left="480" w:hanging="480"/>
      </w:pPr>
    </w:lvl>
    <w:lvl w:ilvl="1">
      <w:start w:val="101"/>
      <w:numFmt w:val="decimal"/>
      <w:lvlText w:val="%2."/>
      <w:lvlJc w:val="left"/>
      <w:pPr>
        <w:tabs>
          <w:tab w:val="num" w:pos="720"/>
        </w:tabs>
        <w:ind w:left="1200" w:hanging="480"/>
      </w:pPr>
    </w:lvl>
    <w:lvl w:ilvl="2">
      <w:start w:val="101"/>
      <w:numFmt w:val="decimal"/>
      <w:lvlText w:val="%3."/>
      <w:lvlJc w:val="left"/>
      <w:pPr>
        <w:tabs>
          <w:tab w:val="num" w:pos="1440"/>
        </w:tabs>
        <w:ind w:left="1920" w:hanging="480"/>
      </w:pPr>
    </w:lvl>
    <w:lvl w:ilvl="3">
      <w:start w:val="101"/>
      <w:numFmt w:val="decimal"/>
      <w:lvlText w:val="%4."/>
      <w:lvlJc w:val="left"/>
      <w:pPr>
        <w:tabs>
          <w:tab w:val="num" w:pos="2160"/>
        </w:tabs>
        <w:ind w:left="2640" w:hanging="480"/>
      </w:pPr>
    </w:lvl>
    <w:lvl w:ilvl="4">
      <w:start w:val="101"/>
      <w:numFmt w:val="decimal"/>
      <w:lvlText w:val="%5."/>
      <w:lvlJc w:val="left"/>
      <w:pPr>
        <w:tabs>
          <w:tab w:val="num" w:pos="2880"/>
        </w:tabs>
        <w:ind w:left="3360" w:hanging="480"/>
      </w:pPr>
    </w:lvl>
    <w:lvl w:ilvl="5">
      <w:start w:val="101"/>
      <w:numFmt w:val="decimal"/>
      <w:lvlText w:val="%6."/>
      <w:lvlJc w:val="left"/>
      <w:pPr>
        <w:tabs>
          <w:tab w:val="num" w:pos="3600"/>
        </w:tabs>
        <w:ind w:left="4080" w:hanging="480"/>
      </w:pPr>
    </w:lvl>
    <w:lvl w:ilvl="6">
      <w:start w:val="101"/>
      <w:numFmt w:val="decimal"/>
      <w:lvlText w:val="%7."/>
      <w:lvlJc w:val="left"/>
      <w:pPr>
        <w:tabs>
          <w:tab w:val="num" w:pos="4320"/>
        </w:tabs>
        <w:ind w:left="4800" w:hanging="480"/>
      </w:pPr>
    </w:lvl>
    <w:lvl w:ilvl="7">
      <w:start w:val="101"/>
      <w:numFmt w:val="decimal"/>
      <w:lvlText w:val="%8."/>
      <w:lvlJc w:val="left"/>
      <w:pPr>
        <w:tabs>
          <w:tab w:val="num" w:pos="5040"/>
        </w:tabs>
        <w:ind w:left="5520" w:hanging="480"/>
      </w:pPr>
    </w:lvl>
    <w:lvl w:ilvl="8">
      <w:start w:val="101"/>
      <w:numFmt w:val="decimal"/>
      <w:lvlText w:val="%9."/>
      <w:lvlJc w:val="left"/>
      <w:pPr>
        <w:tabs>
          <w:tab w:val="num" w:pos="5760"/>
        </w:tabs>
        <w:ind w:left="6240" w:hanging="480"/>
      </w:pPr>
    </w:lvl>
  </w:abstractNum>
  <w:abstractNum w:abstractNumId="9941137">
    <w:nsid w:val="41f388d6"/>
    <w:multiLevelType w:val="multilevel"/>
    <w:lvl w:ilvl="0">
      <w:start w:val="137"/>
      <w:numFmt w:val="decimal"/>
      <w:lvlText w:val="%1."/>
      <w:lvlJc w:val="left"/>
      <w:pPr>
        <w:tabs>
          <w:tab w:val="num" w:pos="0"/>
        </w:tabs>
        <w:ind w:left="480" w:hanging="480"/>
      </w:pPr>
    </w:lvl>
    <w:lvl w:ilvl="1">
      <w:start w:val="137"/>
      <w:numFmt w:val="decimal"/>
      <w:lvlText w:val="%2."/>
      <w:lvlJc w:val="left"/>
      <w:pPr>
        <w:tabs>
          <w:tab w:val="num" w:pos="720"/>
        </w:tabs>
        <w:ind w:left="1200" w:hanging="480"/>
      </w:pPr>
    </w:lvl>
    <w:lvl w:ilvl="2">
      <w:start w:val="137"/>
      <w:numFmt w:val="decimal"/>
      <w:lvlText w:val="%3."/>
      <w:lvlJc w:val="left"/>
      <w:pPr>
        <w:tabs>
          <w:tab w:val="num" w:pos="1440"/>
        </w:tabs>
        <w:ind w:left="1920" w:hanging="480"/>
      </w:pPr>
    </w:lvl>
    <w:lvl w:ilvl="3">
      <w:start w:val="137"/>
      <w:numFmt w:val="decimal"/>
      <w:lvlText w:val="%4."/>
      <w:lvlJc w:val="left"/>
      <w:pPr>
        <w:tabs>
          <w:tab w:val="num" w:pos="2160"/>
        </w:tabs>
        <w:ind w:left="2640" w:hanging="480"/>
      </w:pPr>
    </w:lvl>
    <w:lvl w:ilvl="4">
      <w:start w:val="137"/>
      <w:numFmt w:val="decimal"/>
      <w:lvlText w:val="%5."/>
      <w:lvlJc w:val="left"/>
      <w:pPr>
        <w:tabs>
          <w:tab w:val="num" w:pos="2880"/>
        </w:tabs>
        <w:ind w:left="3360" w:hanging="480"/>
      </w:pPr>
    </w:lvl>
    <w:lvl w:ilvl="5">
      <w:start w:val="137"/>
      <w:numFmt w:val="decimal"/>
      <w:lvlText w:val="%6."/>
      <w:lvlJc w:val="left"/>
      <w:pPr>
        <w:tabs>
          <w:tab w:val="num" w:pos="3600"/>
        </w:tabs>
        <w:ind w:left="4080" w:hanging="480"/>
      </w:pPr>
    </w:lvl>
    <w:lvl w:ilvl="6">
      <w:start w:val="137"/>
      <w:numFmt w:val="decimal"/>
      <w:lvlText w:val="%7."/>
      <w:lvlJc w:val="left"/>
      <w:pPr>
        <w:tabs>
          <w:tab w:val="num" w:pos="4320"/>
        </w:tabs>
        <w:ind w:left="4800" w:hanging="480"/>
      </w:pPr>
    </w:lvl>
    <w:lvl w:ilvl="7">
      <w:start w:val="137"/>
      <w:numFmt w:val="decimal"/>
      <w:lvlText w:val="%8."/>
      <w:lvlJc w:val="left"/>
      <w:pPr>
        <w:tabs>
          <w:tab w:val="num" w:pos="5040"/>
        </w:tabs>
        <w:ind w:left="5520" w:hanging="480"/>
      </w:pPr>
    </w:lvl>
    <w:lvl w:ilvl="8">
      <w:start w:val="137"/>
      <w:numFmt w:val="decimal"/>
      <w:lvlText w:val="%9."/>
      <w:lvlJc w:val="left"/>
      <w:pPr>
        <w:tabs>
          <w:tab w:val="num" w:pos="5760"/>
        </w:tabs>
        <w:ind w:left="6240" w:hanging="480"/>
      </w:pPr>
    </w:lvl>
  </w:abstractNum>
  <w:abstractNum w:abstractNumId="9941163">
    <w:nsid w:val="da4300bd"/>
    <w:multiLevelType w:val="multilevel"/>
    <w:lvl w:ilvl="0">
      <w:start w:val="163"/>
      <w:numFmt w:val="decimal"/>
      <w:lvlText w:val="%1."/>
      <w:lvlJc w:val="left"/>
      <w:pPr>
        <w:tabs>
          <w:tab w:val="num" w:pos="0"/>
        </w:tabs>
        <w:ind w:left="480" w:hanging="480"/>
      </w:pPr>
    </w:lvl>
    <w:lvl w:ilvl="1">
      <w:start w:val="163"/>
      <w:numFmt w:val="decimal"/>
      <w:lvlText w:val="%2."/>
      <w:lvlJc w:val="left"/>
      <w:pPr>
        <w:tabs>
          <w:tab w:val="num" w:pos="720"/>
        </w:tabs>
        <w:ind w:left="1200" w:hanging="480"/>
      </w:pPr>
    </w:lvl>
    <w:lvl w:ilvl="2">
      <w:start w:val="163"/>
      <w:numFmt w:val="decimal"/>
      <w:lvlText w:val="%3."/>
      <w:lvlJc w:val="left"/>
      <w:pPr>
        <w:tabs>
          <w:tab w:val="num" w:pos="1440"/>
        </w:tabs>
        <w:ind w:left="1920" w:hanging="480"/>
      </w:pPr>
    </w:lvl>
    <w:lvl w:ilvl="3">
      <w:start w:val="163"/>
      <w:numFmt w:val="decimal"/>
      <w:lvlText w:val="%4."/>
      <w:lvlJc w:val="left"/>
      <w:pPr>
        <w:tabs>
          <w:tab w:val="num" w:pos="2160"/>
        </w:tabs>
        <w:ind w:left="2640" w:hanging="480"/>
      </w:pPr>
    </w:lvl>
    <w:lvl w:ilvl="4">
      <w:start w:val="163"/>
      <w:numFmt w:val="decimal"/>
      <w:lvlText w:val="%5."/>
      <w:lvlJc w:val="left"/>
      <w:pPr>
        <w:tabs>
          <w:tab w:val="num" w:pos="2880"/>
        </w:tabs>
        <w:ind w:left="3360" w:hanging="480"/>
      </w:pPr>
    </w:lvl>
    <w:lvl w:ilvl="5">
      <w:start w:val="163"/>
      <w:numFmt w:val="decimal"/>
      <w:lvlText w:val="%6."/>
      <w:lvlJc w:val="left"/>
      <w:pPr>
        <w:tabs>
          <w:tab w:val="num" w:pos="3600"/>
        </w:tabs>
        <w:ind w:left="4080" w:hanging="480"/>
      </w:pPr>
    </w:lvl>
    <w:lvl w:ilvl="6">
      <w:start w:val="163"/>
      <w:numFmt w:val="decimal"/>
      <w:lvlText w:val="%7."/>
      <w:lvlJc w:val="left"/>
      <w:pPr>
        <w:tabs>
          <w:tab w:val="num" w:pos="4320"/>
        </w:tabs>
        <w:ind w:left="4800" w:hanging="480"/>
      </w:pPr>
    </w:lvl>
    <w:lvl w:ilvl="7">
      <w:start w:val="163"/>
      <w:numFmt w:val="decimal"/>
      <w:lvlText w:val="%8."/>
      <w:lvlJc w:val="left"/>
      <w:pPr>
        <w:tabs>
          <w:tab w:val="num" w:pos="5040"/>
        </w:tabs>
        <w:ind w:left="5520" w:hanging="480"/>
      </w:pPr>
    </w:lvl>
    <w:lvl w:ilvl="8">
      <w:start w:val="163"/>
      <w:numFmt w:val="decimal"/>
      <w:lvlText w:val="%9."/>
      <w:lvlJc w:val="left"/>
      <w:pPr>
        <w:tabs>
          <w:tab w:val="num" w:pos="5760"/>
        </w:tabs>
        <w:ind w:left="6240" w:hanging="480"/>
      </w:pPr>
    </w:lvl>
  </w:abstractNum>
  <w:abstractNum w:abstractNumId="9941173">
    <w:nsid w:val="8c1c03f9"/>
    <w:multiLevelType w:val="multilevel"/>
    <w:lvl w:ilvl="0">
      <w:start w:val="173"/>
      <w:numFmt w:val="decimal"/>
      <w:lvlText w:val="%1."/>
      <w:lvlJc w:val="left"/>
      <w:pPr>
        <w:tabs>
          <w:tab w:val="num" w:pos="0"/>
        </w:tabs>
        <w:ind w:left="480" w:hanging="480"/>
      </w:pPr>
    </w:lvl>
    <w:lvl w:ilvl="1">
      <w:start w:val="173"/>
      <w:numFmt w:val="decimal"/>
      <w:lvlText w:val="%2."/>
      <w:lvlJc w:val="left"/>
      <w:pPr>
        <w:tabs>
          <w:tab w:val="num" w:pos="720"/>
        </w:tabs>
        <w:ind w:left="1200" w:hanging="480"/>
      </w:pPr>
    </w:lvl>
    <w:lvl w:ilvl="2">
      <w:start w:val="173"/>
      <w:numFmt w:val="decimal"/>
      <w:lvlText w:val="%3."/>
      <w:lvlJc w:val="left"/>
      <w:pPr>
        <w:tabs>
          <w:tab w:val="num" w:pos="1440"/>
        </w:tabs>
        <w:ind w:left="1920" w:hanging="480"/>
      </w:pPr>
    </w:lvl>
    <w:lvl w:ilvl="3">
      <w:start w:val="173"/>
      <w:numFmt w:val="decimal"/>
      <w:lvlText w:val="%4."/>
      <w:lvlJc w:val="left"/>
      <w:pPr>
        <w:tabs>
          <w:tab w:val="num" w:pos="2160"/>
        </w:tabs>
        <w:ind w:left="2640" w:hanging="480"/>
      </w:pPr>
    </w:lvl>
    <w:lvl w:ilvl="4">
      <w:start w:val="173"/>
      <w:numFmt w:val="decimal"/>
      <w:lvlText w:val="%5."/>
      <w:lvlJc w:val="left"/>
      <w:pPr>
        <w:tabs>
          <w:tab w:val="num" w:pos="2880"/>
        </w:tabs>
        <w:ind w:left="3360" w:hanging="480"/>
      </w:pPr>
    </w:lvl>
    <w:lvl w:ilvl="5">
      <w:start w:val="173"/>
      <w:numFmt w:val="decimal"/>
      <w:lvlText w:val="%6."/>
      <w:lvlJc w:val="left"/>
      <w:pPr>
        <w:tabs>
          <w:tab w:val="num" w:pos="3600"/>
        </w:tabs>
        <w:ind w:left="4080" w:hanging="480"/>
      </w:pPr>
    </w:lvl>
    <w:lvl w:ilvl="6">
      <w:start w:val="173"/>
      <w:numFmt w:val="decimal"/>
      <w:lvlText w:val="%7."/>
      <w:lvlJc w:val="left"/>
      <w:pPr>
        <w:tabs>
          <w:tab w:val="num" w:pos="4320"/>
        </w:tabs>
        <w:ind w:left="4800" w:hanging="480"/>
      </w:pPr>
    </w:lvl>
    <w:lvl w:ilvl="7">
      <w:start w:val="173"/>
      <w:numFmt w:val="decimal"/>
      <w:lvlText w:val="%8."/>
      <w:lvlJc w:val="left"/>
      <w:pPr>
        <w:tabs>
          <w:tab w:val="num" w:pos="5040"/>
        </w:tabs>
        <w:ind w:left="5520" w:hanging="480"/>
      </w:pPr>
    </w:lvl>
    <w:lvl w:ilvl="8">
      <w:start w:val="173"/>
      <w:numFmt w:val="decimal"/>
      <w:lvlText w:val="%9."/>
      <w:lvlJc w:val="left"/>
      <w:pPr>
        <w:tabs>
          <w:tab w:val="num" w:pos="5760"/>
        </w:tabs>
        <w:ind w:left="6240" w:hanging="480"/>
      </w:pPr>
    </w:lvl>
  </w:abstractNum>
  <w:abstractNum w:abstractNumId="9941179">
    <w:nsid w:val="5504a012"/>
    <w:multiLevelType w:val="multilevel"/>
    <w:lvl w:ilvl="0">
      <w:start w:val="179"/>
      <w:numFmt w:val="decimal"/>
      <w:lvlText w:val="%1."/>
      <w:lvlJc w:val="left"/>
      <w:pPr>
        <w:tabs>
          <w:tab w:val="num" w:pos="0"/>
        </w:tabs>
        <w:ind w:left="480" w:hanging="480"/>
      </w:pPr>
    </w:lvl>
    <w:lvl w:ilvl="1">
      <w:start w:val="179"/>
      <w:numFmt w:val="decimal"/>
      <w:lvlText w:val="%2."/>
      <w:lvlJc w:val="left"/>
      <w:pPr>
        <w:tabs>
          <w:tab w:val="num" w:pos="720"/>
        </w:tabs>
        <w:ind w:left="1200" w:hanging="480"/>
      </w:pPr>
    </w:lvl>
    <w:lvl w:ilvl="2">
      <w:start w:val="179"/>
      <w:numFmt w:val="decimal"/>
      <w:lvlText w:val="%3."/>
      <w:lvlJc w:val="left"/>
      <w:pPr>
        <w:tabs>
          <w:tab w:val="num" w:pos="1440"/>
        </w:tabs>
        <w:ind w:left="1920" w:hanging="480"/>
      </w:pPr>
    </w:lvl>
    <w:lvl w:ilvl="3">
      <w:start w:val="179"/>
      <w:numFmt w:val="decimal"/>
      <w:lvlText w:val="%4."/>
      <w:lvlJc w:val="left"/>
      <w:pPr>
        <w:tabs>
          <w:tab w:val="num" w:pos="2160"/>
        </w:tabs>
        <w:ind w:left="2640" w:hanging="480"/>
      </w:pPr>
    </w:lvl>
    <w:lvl w:ilvl="4">
      <w:start w:val="179"/>
      <w:numFmt w:val="decimal"/>
      <w:lvlText w:val="%5."/>
      <w:lvlJc w:val="left"/>
      <w:pPr>
        <w:tabs>
          <w:tab w:val="num" w:pos="2880"/>
        </w:tabs>
        <w:ind w:left="3360" w:hanging="480"/>
      </w:pPr>
    </w:lvl>
    <w:lvl w:ilvl="5">
      <w:start w:val="179"/>
      <w:numFmt w:val="decimal"/>
      <w:lvlText w:val="%6."/>
      <w:lvlJc w:val="left"/>
      <w:pPr>
        <w:tabs>
          <w:tab w:val="num" w:pos="3600"/>
        </w:tabs>
        <w:ind w:left="4080" w:hanging="480"/>
      </w:pPr>
    </w:lvl>
    <w:lvl w:ilvl="6">
      <w:start w:val="179"/>
      <w:numFmt w:val="decimal"/>
      <w:lvlText w:val="%7."/>
      <w:lvlJc w:val="left"/>
      <w:pPr>
        <w:tabs>
          <w:tab w:val="num" w:pos="4320"/>
        </w:tabs>
        <w:ind w:left="4800" w:hanging="480"/>
      </w:pPr>
    </w:lvl>
    <w:lvl w:ilvl="7">
      <w:start w:val="179"/>
      <w:numFmt w:val="decimal"/>
      <w:lvlText w:val="%8."/>
      <w:lvlJc w:val="left"/>
      <w:pPr>
        <w:tabs>
          <w:tab w:val="num" w:pos="5040"/>
        </w:tabs>
        <w:ind w:left="5520" w:hanging="480"/>
      </w:pPr>
    </w:lvl>
    <w:lvl w:ilvl="8">
      <w:start w:val="179"/>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04">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05">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06">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7">
    <w:abstractNumId w:val="9941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008">
    <w:abstractNumId w:val="9941101"/>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009">
    <w:abstractNumId w:val="9941137"/>
    <w:lvlOverride w:ilvl="0">
      <w:startOverride w:val="137"/>
    </w:lvlOverride>
    <w:lvlOverride w:ilvl="1">
      <w:startOverride w:val="137"/>
    </w:lvlOverride>
    <w:lvlOverride w:ilvl="2">
      <w:startOverride w:val="137"/>
    </w:lvlOverride>
    <w:lvlOverride w:ilvl="3">
      <w:startOverride w:val="137"/>
    </w:lvlOverride>
    <w:lvlOverride w:ilvl="4">
      <w:startOverride w:val="137"/>
    </w:lvlOverride>
    <w:lvlOverride w:ilvl="5">
      <w:startOverride w:val="137"/>
    </w:lvlOverride>
    <w:lvlOverride w:ilvl="6">
      <w:startOverride w:val="137"/>
    </w:lvlOverride>
    <w:lvlOverride w:ilvl="7">
      <w:startOverride w:val="137"/>
    </w:lvlOverride>
    <w:lvlOverride w:ilvl="8">
      <w:startOverride w:val="137"/>
    </w:lvlOverride>
  </w:num>
  <w:num w:numId="1010">
    <w:abstractNumId w:val="9941163"/>
    <w:lvlOverride w:ilvl="0">
      <w:startOverride w:val="163"/>
    </w:lvlOverride>
    <w:lvlOverride w:ilvl="1">
      <w:startOverride w:val="163"/>
    </w:lvlOverride>
    <w:lvlOverride w:ilvl="2">
      <w:startOverride w:val="163"/>
    </w:lvlOverride>
    <w:lvlOverride w:ilvl="3">
      <w:startOverride w:val="163"/>
    </w:lvlOverride>
    <w:lvlOverride w:ilvl="4">
      <w:startOverride w:val="163"/>
    </w:lvlOverride>
    <w:lvlOverride w:ilvl="5">
      <w:startOverride w:val="163"/>
    </w:lvlOverride>
    <w:lvlOverride w:ilvl="6">
      <w:startOverride w:val="163"/>
    </w:lvlOverride>
    <w:lvlOverride w:ilvl="7">
      <w:startOverride w:val="163"/>
    </w:lvlOverride>
    <w:lvlOverride w:ilvl="8">
      <w:startOverride w:val="163"/>
    </w:lvlOverride>
  </w:num>
  <w:num w:numId="1011">
    <w:abstractNumId w:val="9941173"/>
    <w:lvlOverride w:ilvl="0">
      <w:startOverride w:val="173"/>
    </w:lvlOverride>
    <w:lvlOverride w:ilvl="1">
      <w:startOverride w:val="173"/>
    </w:lvlOverride>
    <w:lvlOverride w:ilvl="2">
      <w:startOverride w:val="173"/>
    </w:lvlOverride>
    <w:lvlOverride w:ilvl="3">
      <w:startOverride w:val="173"/>
    </w:lvlOverride>
    <w:lvlOverride w:ilvl="4">
      <w:startOverride w:val="173"/>
    </w:lvlOverride>
    <w:lvlOverride w:ilvl="5">
      <w:startOverride w:val="173"/>
    </w:lvlOverride>
    <w:lvlOverride w:ilvl="6">
      <w:startOverride w:val="173"/>
    </w:lvlOverride>
    <w:lvlOverride w:ilvl="7">
      <w:startOverride w:val="173"/>
    </w:lvlOverride>
    <w:lvlOverride w:ilvl="8">
      <w:startOverride w:val="173"/>
    </w:lvlOverride>
  </w:num>
  <w:num w:numId="1012">
    <w:abstractNumId w:val="9941179"/>
    <w:lvlOverride w:ilvl="0">
      <w:startOverride w:val="179"/>
    </w:lvlOverride>
    <w:lvlOverride w:ilvl="1">
      <w:startOverride w:val="179"/>
    </w:lvlOverride>
    <w:lvlOverride w:ilvl="2">
      <w:startOverride w:val="179"/>
    </w:lvlOverride>
    <w:lvlOverride w:ilvl="3">
      <w:startOverride w:val="179"/>
    </w:lvlOverride>
    <w:lvlOverride w:ilvl="4">
      <w:startOverride w:val="179"/>
    </w:lvlOverride>
    <w:lvlOverride w:ilvl="5">
      <w:startOverride w:val="179"/>
    </w:lvlOverride>
    <w:lvlOverride w:ilvl="6">
      <w:startOverride w:val="179"/>
    </w:lvlOverride>
    <w:lvlOverride w:ilvl="7">
      <w:startOverride w:val="179"/>
    </w:lvlOverride>
    <w:lvlOverride w:ilvl="8">
      <w:startOverride w:val="179"/>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0" w:after="120"/>
    </w:pPr>
    <w:rPr>
      <w:rFonts w:ascii="Arial" w:hAnsi="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360"/>
      <w:jc w:val="left"/>
      <w:outlineLvl w:val="0"/>
    </w:pPr>
    <w:rPr>
      <w:rFonts w:asciiTheme="majorHAnsi" w:eastAsiaTheme="majorEastAsia" w:hAnsiTheme="majorHAnsi" w:cstheme="majorBidi" w:ascii="Arial" w:hAnsi="Arial" w:cs="Arial"/>
      <w:b/>
      <w:bCs/>
      <w:i w:val="0"/>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360"/>
      <w:jc w:val="left"/>
      <w:outlineLvl w:val="1"/>
    </w:pPr>
    <w:rPr>
      <w:rFonts w:asciiTheme="majorHAnsi" w:eastAsiaTheme="majorEastAsia" w:hAnsiTheme="majorHAnsi" w:cstheme="majorBidi" w:ascii="Arial" w:hAnsi="Arial" w:cs="Arial"/>
      <w:b/>
      <w:bCs/>
      <w:i w:val="0"/>
      <w:cap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Rule="auto" w:line="360"/>
      <w:jc w:val="left"/>
      <w:outlineLvl w:val="2"/>
    </w:pPr>
    <w:rPr>
      <w:rFonts w:asciiTheme="majorHAnsi" w:eastAsiaTheme="majorEastAsia" w:hAnsiTheme="majorHAnsi" w:cstheme="majorBidi" w:ascii="Arial" w:hAnsi="Arial" w:cs="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lineRule="auto" w:line="360"/>
      <w:jc w:val="left"/>
      <w:outlineLvl w:val="3"/>
    </w:pPr>
    <w:rPr>
      <w:rFonts w:asciiTheme="majorHAnsi" w:eastAsiaTheme="majorEastAsia" w:hAnsiTheme="majorHAnsi" w:cstheme="majorBidi" w:ascii="Arial" w:hAnsi="Arial" w:cs="Arial"/>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20" w:after="120" w:lineRule="auto" w:line="360"/>
      <w:jc w:val="left"/>
      <w:outlineLvl w:val="4"/>
    </w:pPr>
    <w:rPr>
      <w:rFonts w:asciiTheme="majorHAnsi" w:eastAsiaTheme="majorEastAsia" w:hAnsiTheme="majorHAnsi" w:cstheme="majorBidi" w:ascii="Arial" w:hAnsi="Arial" w:cs="Arial"/>
      <w:b/>
      <w:i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120" w:after="120" w:lineRule="auto" w:line="360"/>
      <w:jc w:val="left"/>
      <w:outlineLvl w:val="5"/>
    </w:pPr>
    <w:rPr>
      <w:rFonts w:asciiTheme="majorHAnsi" w:eastAsiaTheme="majorEastAsia" w:hAnsiTheme="majorHAnsi" w:cstheme="majorBidi" w:ascii="Arial" w:hAnsi="Arial" w:cs="Arial"/>
      <w:b/>
      <w:i w:val="0"/>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360" w:lineRule="auto" w:before="0"/>
      <w:contextualSpacing/>
      <w:jc w:val="center"/>
    </w:pPr>
    <w:rPr>
      <w:rFonts w:asciiTheme="majorHAnsi" w:eastAsiaTheme="majorEastAsia" w:hAnsiTheme="majorHAnsi" w:cstheme="majorBidi" w:ascii="Arial" w:hAnsi="Arial" w:cs="Arial"/>
      <w:b/>
      <w:i w:val="0"/>
      <w:caps/>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Rule="auto" w:line="360" w:before="0" w:after="120"/>
      <w:ind w:left="425"/>
      <w:contextualSpacing/>
    </w:pPr>
    <w:rPr>
      <w:rFonts w:ascii="Arial" w:hAnsi="Arial" w:cs="Arial"/>
      <w:b w:val="0"/>
      <w:i w:val="0"/>
      <w:color w:val="000000"/>
      <w:sz w:val="24"/>
    </w:rPr>
  </w:style>
  <w:style w:type="paragraph" w:styleId="BodyText">
    <w:name w:val="Body Text"/>
    <w:basedOn w:val="Normal"/>
    <w:link w:val="BodyTextChar"/>
    <w:uiPriority w:val="99"/>
    <w:unhideWhenUsed/>
    <w:rsid w:val="00AA1D8D"/>
    <w:pPr>
      <w:spacing w:after="120" w:lineRule="auto" w:line="360" w:before="0"/>
    </w:pPr>
    <w:rPr>
      <w:rFonts w:ascii="Arial" w:hAnsi="Arial" w:cs="Arial"/>
      <w:b w:val="0"/>
      <w:i w:val="0"/>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Rule="auto" w:line="360" w:before="0" w:after="120"/>
      <w:ind w:left="425"/>
      <w:contextualSpacing/>
    </w:pPr>
    <w:rPr>
      <w:rFonts w:ascii="Arial" w:hAnsi="Arial" w:cs="Arial"/>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Rule="auto" w:line="360" w:before="0" w:after="120"/>
      <w:ind w:left="425"/>
      <w:contextualSpacing/>
    </w:pPr>
    <w:rPr>
      <w:rFonts w:ascii="Arial" w:hAnsi="Arial" w:cs="Arial"/>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BlockText"/>
    <w:next w:val="Normal"/>
    <w:link w:val="QuoteChar"/>
    <w:uiPriority w:val="29"/>
    <w:qFormat/>
    <w:rsid w:val="00FC693F"/>
    <w:pPr>
      <w:spacing w:lineRule="auto" w:line="240" w:before="120" w:after="120"/>
      <w:ind w:left="709" w:right="709"/>
    </w:pPr>
    <w:rPr>
      <w:rFonts w:ascii="Arial" w:hAnsi="Arial" w:cs="Arial"/>
      <w:b w:val="0"/>
      <w:i w:val="0"/>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olor w:val="000000"/>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lineRule="auto" w:line="360" w:before="0" w:after="120"/>
    </w:pPr>
    <w:rPr>
      <w:rFonts w:ascii="Arial" w:hAnsi="Arial" w:cs="Arial"/>
      <w:b w:val="0"/>
      <w:i w:val="0"/>
      <w:color w:val="000000"/>
      <w:sz w:val="24"/>
    </w:rPr>
  </w:style>
  <w:style w:type="paragraph" w:customStyle="1" w:styleId="BlockText">
    <w:name w:val="Block Text"/>
    <w:basedOn w:val="Normal"/>
    <w:pPr>
      <w:spacing w:lineRule="auto" w:line="240" w:before="120" w:after="120"/>
      <w:ind w:left="709" w:right="709"/>
    </w:pPr>
    <w:rPr>
      <w:rFonts w:ascii="Arial" w:hAnsi="Arial" w:cs="Arial"/>
      <w:b w:val="0"/>
      <w:i w:val="0"/>
      <w:color w:val="000000"/>
      <w:sz w:val="24"/>
    </w:rPr>
  </w:style>
  <w:style w:type="paragraph" w:customStyle="1" w:styleId="FootnoteText">
    <w:name w:val="Footnote Text"/>
    <w:pPr>
      <w:spacing w:lineRule="auto" w:line="240" w:before="0" w:after="0"/>
    </w:pPr>
    <w:rPr>
      <w:rFonts w:ascii="Arial" w:hAnsi="Arial" w:cs="Arial"/>
      <w:b w:val="0"/>
      <w:i w:val="0"/>
      <w:color w:val="000000"/>
      <w:sz w:val="20"/>
    </w:rPr>
  </w:style>
  <w:style w:type="paragraph" w:customStyle="1" w:styleId="SourceCode">
    <w:name w:val="Source Code"/>
    <w:pPr>
      <w:spacing w:lineRule="auto" w:line="240" w:before="120" w:after="120"/>
      <w:ind w:left="709"/>
    </w:pPr>
    <w:rPr>
      <w:rFonts w:ascii="Courier New" w:hAnsi="Courier New" w:cs="Courier New"/>
      <w:b w:val="0"/>
      <w:i w:val="0"/>
      <w:color w:val="000000"/>
      <w:sz w:val="20"/>
    </w:rPr>
  </w:style>
  <w:style w:type="character" w:customStyle="1" w:styleId="VerbatimChar">
    <w:name w:val="Verbatim Char"/>
    <w:rPr>
      <w:rFonts w:ascii="Courier New" w:hAnsi="Courier New" w:cs="Courier New"/>
      <w:b w:val="0"/>
      <w:i w:val="0"/>
      <w:color w:val="000000"/>
      <w:sz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 Type="http://schemas.openxmlformats.org/officeDocument/2006/relationships/hyperlink" Id="rId22" Target="demande_introductive_instance.md" TargetMode="External" /><Relationship Type="http://schemas.openxmlformats.org/officeDocument/2006/relationships/hyperlink" Id="rId21" Target="ponts_requete_2015_consolides.md" TargetMode="External" /></Relationships>
</file>

<file path=word/_rels/footnotes.xml.rels><?xml version="1.0" encoding="UTF-8"?>
<Relationships xmlns="http://schemas.openxmlformats.org/package/2006/relationships"><Relationship Type="http://schemas.openxmlformats.org/officeDocument/2006/relationships/hyperlink" Id="rId22" Target="demande_introductive_instance.md" TargetMode="External" /><Relationship Type="http://schemas.openxmlformats.org/officeDocument/2006/relationships/hyperlink" Id="rId21" Target="ponts_requete_2015_consolid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2026-07-11T21:31:24Z</dcterms:created>
  <dcterms:modified xsi:type="dcterms:W3CDTF">2026-07-11T21:31:24Z</dcterms:modified>
</cp:coreProperties>
</file>

<file path=docProps/custom.xml><?xml version="1.0" encoding="utf-8"?>
<Properties xmlns="http://schemas.openxmlformats.org/officeDocument/2006/custom-properties" xmlns:vt="http://schemas.openxmlformats.org/officeDocument/2006/docPropsVTypes"/>
</file>