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375ac4786ce42adfc23cc2b840639fa684ff47"/>
      <w:r>
        <w:t xml:space="preserve">Faits bruts — §10 de la Requête du 19 novembre 2015</w:t>
      </w:r>
      <w:bookmarkEnd w:id="20"/>
    </w:p>
    <w:p>
      <w:pPr>
        <w:pStyle w:val="Heading3"/>
      </w:pPr>
      <w:bookmarkStart w:id="21" w:name="Xed59c426458d01572e61edb77c1202aeead72b5"/>
      <w:r>
        <w:t xml:space="preserve">Le rachat de la résidence (août 2014) et sa cause alléguée</w:t>
      </w:r>
      <w:bookmarkEnd w:id="21"/>
    </w:p>
    <w:p>
      <w:pPr>
        <w:pStyle w:val="BlockText"/>
      </w:pPr>
      <w:r>
        <w:rPr>
          <w:b/>
        </w:rPr>
        <w:t xml:space="preserve">RATTACHEMENT</w:t>
      </w:r>
      <w:r>
        <w:t xml:space="preserve"> </w:t>
      </w:r>
      <w:r>
        <w:t xml:space="preserve">— Document 1, Requête (novembre 2015), REPRODUCED :</w:t>
      </w:r>
      <w:r>
        <w:t xml:space="preserve"> </w:t>
      </w:r>
      <w:hyperlink r:id="rId22">
        <w:r>
          <w:rPr>
            <w:rStyle w:val="Hyperlink"/>
          </w:rPr>
          <w:t xml:space="preserve">piece_document-1.md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§10</w:t>
      </w:r>
      <w:r>
        <w:t xml:space="preserve"> </w:t>
      </w:r>
      <w:r>
        <w:rPr>
          <w:i/>
        </w:rPr>
        <w:t xml:space="preserve">(stmt 14)</w:t>
      </w:r>
      <w:r>
        <w:t xml:space="preserve"> </w:t>
      </w:r>
      <w:r>
        <w:t xml:space="preserve">: « Au mois d’août 2014, la demanderesse a racheté la part du défendeur dans la résidence commune car il refusait de faire des réparations et rénovations nécessaires dans la maison. »</w:t>
      </w:r>
    </w:p>
    <w:p>
      <w:pPr>
        <w:pStyle w:val="BlockText"/>
      </w:pPr>
      <w:r>
        <w:rPr>
          <w:b/>
        </w:rPr>
        <w:t xml:space="preserve">NATURE</w:t>
      </w:r>
      <w:r>
        <w:t xml:space="preserve"> </w:t>
      </w:r>
      <w:r>
        <w:t xml:space="preserve">— Faits bruts (art. 99 C.p.c.), ordre chronologique. §10</w:t>
      </w:r>
      <w:r>
        <w:t xml:space="preserve"> </w:t>
      </w:r>
      <w:r>
        <w:rPr>
          <w:b/>
        </w:rPr>
        <w:t xml:space="preserve">affirme une cause</w:t>
      </w:r>
      <w:r>
        <w:t xml:space="preserve"> </w:t>
      </w:r>
      <w:r>
        <w:t xml:space="preserve">à la vente (« car il refusait les réparations nécessaires »). Réfutation :</w:t>
      </w:r>
      <w:r>
        <w:t xml:space="preserve"> </w:t>
      </w:r>
      <w:r>
        <w:rPr>
          <w:i/>
        </w:rPr>
        <w:t xml:space="preserve">(A)</w:t>
      </w:r>
      <w:r>
        <w:t xml:space="preserve"> </w:t>
      </w:r>
      <w:r>
        <w:t xml:space="preserve">la décision de vendre était</w:t>
      </w:r>
      <w:r>
        <w:t xml:space="preserve"> </w:t>
      </w:r>
      <w:r>
        <w:rPr>
          <w:b/>
        </w:rPr>
        <w:t xml:space="preserve">engagée dès l’été 2013</w:t>
      </w:r>
      <w:r>
        <w:t xml:space="preserve">, un an avant et avant tout différend de rénovation ;</w:t>
      </w:r>
      <w:r>
        <w:t xml:space="preserve"> </w:t>
      </w:r>
      <w:r>
        <w:rPr>
          <w:i/>
        </w:rPr>
        <w:t xml:space="preserve">(B)</w:t>
      </w:r>
      <w:r>
        <w:t xml:space="preserve"> </w:t>
      </w:r>
      <w:r>
        <w:t xml:space="preserve">les rénovations sont</w:t>
      </w:r>
      <w:r>
        <w:t xml:space="preserve"> </w:t>
      </w:r>
      <w:r>
        <w:rPr>
          <w:b/>
        </w:rPr>
        <w:t xml:space="preserve">postérieures</w:t>
      </w:r>
      <w:r>
        <w:t xml:space="preserve"> </w:t>
      </w:r>
      <w:r>
        <w:t xml:space="preserve">à la vente ;</w:t>
      </w:r>
      <w:r>
        <w:t xml:space="preserve"> </w:t>
      </w:r>
      <w:r>
        <w:rPr>
          <w:i/>
        </w:rPr>
        <w:t xml:space="preserve">(C)</w:t>
      </w:r>
      <w:r>
        <w:t xml:space="preserve"> </w:t>
      </w:r>
      <w:r>
        <w:t xml:space="preserve">elles étaient</w:t>
      </w:r>
      <w:r>
        <w:t xml:space="preserve"> </w:t>
      </w:r>
      <w:r>
        <w:rPr>
          <w:b/>
        </w:rPr>
        <w:t xml:space="preserve">électives</w:t>
      </w:r>
      <w:r>
        <w:t xml:space="preserve"> </w:t>
      </w:r>
      <w:r>
        <w:t xml:space="preserve">(piscine, cuisine, étage), non des « réparations nécessaires ».</w:t>
      </w:r>
      <w:r>
        <w:t xml:space="preserve"> </w:t>
      </w:r>
      <w:r>
        <w:rPr>
          <w:i/>
        </w:rPr>
        <w:t xml:space="preserve">(E)</w:t>
      </w:r>
      <w:r>
        <w:t xml:space="preserve"> </w:t>
      </w:r>
      <w:r>
        <w:t xml:space="preserve">Le contexte réel — connu de la demanderesse — est</w:t>
      </w:r>
      <w:r>
        <w:t xml:space="preserve"> </w:t>
      </w:r>
      <w:r>
        <w:rPr>
          <w:b/>
        </w:rPr>
        <w:t xml:space="preserve">omis</w:t>
      </w:r>
      <w:r>
        <w:t xml:space="preserve">.</w:t>
      </w:r>
      <w:r>
        <w:t xml:space="preserve"> </w:t>
      </w:r>
      <w:r>
        <w:t xml:space="preserve">Analyse :</w:t>
      </w:r>
      <w:r>
        <w:t xml:space="preserve"> </w:t>
      </w:r>
      <w:hyperlink r:id="rId23">
        <w:r>
          <w:rPr>
            <w:rStyle w:val="Hyperlink"/>
          </w:rPr>
          <w:t xml:space="preserve">allegation_stmt66_residence_2014.md</w:t>
        </w:r>
      </w:hyperlink>
      <w:r>
        <w:t xml:space="preserve"> </w:t>
      </w:r>
      <w:r>
        <w:t xml:space="preserve">· Bloc 10 :</w:t>
      </w:r>
      <w:r>
        <w:t xml:space="preserve"> </w:t>
      </w:r>
      <w:hyperlink r:id="rId24">
        <w:r>
          <w:rPr>
            <w:rStyle w:val="Hyperlink"/>
          </w:rPr>
          <w:t xml:space="preserve">document_de_faits.md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piece_pdf-6.md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9abf9f6cf7bd1d014a2f96bc107937c4e3434d8"/>
      <w:r>
        <w:t xml:space="preserve">A — La décision de vendre était engagée dès l’été 2013</w:t>
      </w:r>
      <w:r>
        <w:t xml:space="preserve"> </w:t>
      </w:r>
      <w:r>
        <w:rPr>
          <w:i/>
        </w:rPr>
        <w:t xml:space="preserve">(un an avant la vente)</w:t>
      </w:r>
      <w:bookmarkEnd w:id="26"/>
    </w:p>
    <w:p>
      <w:pPr>
        <w:numPr>
          <w:numId w:val="1001"/>
          <w:ilvl w:val="0"/>
        </w:numPr>
      </w:pPr>
      <w:r>
        <w:t xml:space="preserve">En août 2009, les parties ont acquis conjointement la résidence familiale au 245 avenue Macaulay, Saint-Lambert.</w:t>
      </w:r>
    </w:p>
    <w:p>
      <w:pPr>
        <w:numPr>
          <w:numId w:val="1001"/>
          <w:ilvl w:val="0"/>
        </w:numPr>
      </w:pPr>
      <w:r>
        <w:t xml:space="preserve">Le 27 juin 2013, le défendeur écrivait à son supérieur, Karl Grimmel : « Je suis dans un processus de séparation […] je dois vendre ma maison » (Email id=39).</w:t>
      </w:r>
    </w:p>
    <w:p>
      <w:pPr>
        <w:numPr>
          <w:numId w:val="1001"/>
          <w:ilvl w:val="0"/>
        </w:numPr>
      </w:pPr>
      <w:r>
        <w:t xml:space="preserve">Le 27 juin 2013, le défendeur a mandaté l’évaluateur Louis-Philippe Robert pour établir la valeur marchande de la résidence à des fins de partage (PDFDocument id=11).</w:t>
      </w:r>
    </w:p>
    <w:p>
      <w:pPr>
        <w:numPr>
          <w:numId w:val="1001"/>
          <w:ilvl w:val="0"/>
        </w:numPr>
      </w:pPr>
      <w:r>
        <w:t xml:space="preserve">Le 28 juin 2013, l’évaluateur Louis-Philippe Robert a inspecté la propriété (PDFDocument id=11).</w:t>
      </w:r>
    </w:p>
    <w:p>
      <w:pPr>
        <w:numPr>
          <w:numId w:val="1001"/>
          <w:ilvl w:val="0"/>
        </w:numPr>
      </w:pPr>
      <w:r>
        <w:t xml:space="preserve">Le 11 juillet 2013, l’évaluateur a produit son rapport d’évaluation marchande, à des fins de partage (PDFDocument id=11).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fcd4440cf21173d604b7e292acce735fb486763"/>
      <w:r>
        <w:t xml:space="preserve">B — La vente (1er août 2014) et les rénovations postérieures</w:t>
      </w:r>
      <w:bookmarkEnd w:id="27"/>
    </w:p>
    <w:p>
      <w:pPr>
        <w:numPr>
          <w:numId w:val="1002"/>
          <w:ilvl w:val="0"/>
        </w:numPr>
      </w:pPr>
      <w:r>
        <w:t xml:space="preserve">Le 1er août 2014, le défendeur a vendu sa part de la résidence à la demanderesse au prix établi par l’évaluateur dans son rapport.</w:t>
      </w:r>
      <w:r>
        <w:t xml:space="preserve"> </w:t>
      </w:r>
      <w:r>
        <w:rPr>
          <w:i/>
        </w:rPr>
        <w:t xml:space="preserve">(La vente est non contestée ; sa cause est en litige.)</w:t>
      </w:r>
    </w:p>
    <w:p>
      <w:pPr>
        <w:numPr>
          <w:numId w:val="1002"/>
          <w:ilvl w:val="0"/>
        </w:numPr>
      </w:pPr>
      <w:r>
        <w:t xml:space="preserve">Les rénovations effectuées par la demanderesse l’ont été après son acquisition de la pleine propriété, en août 2014.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a55b4b35623b22b43d6b24c5d4b0dd9f027b52"/>
      <w:r>
        <w:t xml:space="preserve">C — Les rénovations : des transformations électives, non des réparations nécessaires</w:t>
      </w:r>
      <w:bookmarkEnd w:id="28"/>
    </w:p>
    <w:p>
      <w:pPr>
        <w:pStyle w:val="Compact"/>
        <w:numPr>
          <w:numId w:val="1003"/>
          <w:ilvl w:val="0"/>
        </w:numPr>
      </w:pPr>
      <w:r>
        <w:t xml:space="preserve">Après l’acquisition de la pleine propriété, la demanderesse a fait reconfigurer l’étage, rénover la cuisine et installer une piscine (connaissance directe du demandeur ; photographies « avant » détenues par le défendeur ; état des lieux actuel photographiable).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edafc7a1c08a2691b65c27e03a5fb70b004f70d"/>
      <w:r>
        <w:t xml:space="preserve">D — Le sous-sol : décision conjointe</w:t>
      </w:r>
      <w:r>
        <w:t xml:space="preserve"> </w:t>
      </w:r>
      <w:r>
        <w:rPr>
          <w:i/>
        </w:rPr>
        <w:t xml:space="preserve">(point défensif — distinct de §9)</w:t>
      </w:r>
      <w:bookmarkEnd w:id="29"/>
    </w:p>
    <w:p>
      <w:pPr>
        <w:numPr>
          <w:numId w:val="1004"/>
          <w:ilvl w:val="0"/>
        </w:numPr>
      </w:pPr>
      <w:r>
        <w:t xml:space="preserve">Le 30 mai 2012, des pluies diluviennes ont causé des dommages au sous-sol de la résidence (PDFDocument id=60).</w:t>
      </w:r>
    </w:p>
    <w:p>
      <w:pPr>
        <w:numPr>
          <w:numId w:val="1004"/>
          <w:ilvl w:val="0"/>
        </w:numPr>
      </w:pPr>
      <w:r>
        <w:t xml:space="preserve">En 2012, les parties ont démoli le sous-sol et ne l’ont pas reconstruit, le défendeur l’écrivant : « on l’a démolie… nous ne l’avons jamais terminé, préférant utiliser l’argent de l’assurance pour changer le système de chauffage » (Email id=137).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bfbafabd1fed74e48457270ec97c7e458c4f410"/>
      <w:r>
        <w:t xml:space="preserve">E — Le contexte omis, connu de la demanderesse</w:t>
      </w:r>
      <w:bookmarkEnd w:id="30"/>
    </w:p>
    <w:p>
      <w:pPr>
        <w:numPr>
          <w:numId w:val="1005"/>
          <w:ilvl w:val="0"/>
        </w:numPr>
      </w:pPr>
      <w:r>
        <w:t xml:space="preserve">Le 11 juin 2013, Me Marie-Josée Ayoub avait écrit à la demanderesse un plan prévoyant l’« usage exclusif de la résidence familiale », l’obligation pour le défendeur de « se relocaliser » et de « payer 50% des charges afférentes à la maison » (P-1 —</w:t>
      </w:r>
      <w:r>
        <w:t xml:space="preserve"> </w:t>
      </w:r>
      <w:hyperlink r:id="rId31">
        <w:r>
          <w:rPr>
            <w:rStyle w:val="Hyperlink"/>
          </w:rPr>
          <w:t xml:space="preserve">piece_pdf-1.md</w:t>
        </w:r>
      </w:hyperlink>
      <w:r>
        <w:t xml:space="preserve">).</w:t>
      </w:r>
    </w:p>
    <w:p>
      <w:pPr>
        <w:numPr>
          <w:numId w:val="1005"/>
          <w:ilvl w:val="0"/>
        </w:numPr>
      </w:pPr>
      <w:r>
        <w:t xml:space="preserve">Le 26 juin 2013 à 14h18, le défendeur écrivait à l’avocate Suzanne Pringle : « Je vous contacte parce que je suis incapable de gérer cette situation seule et de manière appropriée, la sœur de ma conjointe est avocate et la guide de façon à me piéger. J’ai coupé toute communication avec ma conjointe ce matin du fait que sans raison elle m’écrive qu’elle trouvait que j’étais agressif et qu’elle avait peur de moi. » (B-2)</w:t>
      </w:r>
    </w:p>
    <w:p>
      <w:pPr>
        <w:numPr>
          <w:numId w:val="1005"/>
          <w:ilvl w:val="0"/>
        </w:numPr>
      </w:pPr>
      <w:r>
        <w:t xml:space="preserve">La Requête du 19 novembre 2015 ne cite ni le rapport d’évaluation à des fins de partage (faits 3-5), ni le courriel du 11 juin 2013 (fait 11).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alibration-réserves-hors-faits-bruts"/>
      <w:r>
        <w:t xml:space="preserve">Calibration / réserves</w:t>
      </w:r>
      <w:r>
        <w:t xml:space="preserve"> </w:t>
      </w:r>
      <w:r>
        <w:rPr>
          <w:i/>
        </w:rPr>
        <w:t xml:space="preserve">(hors faits bruts)</w:t>
      </w:r>
      <w:bookmarkEnd w:id="32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Mener avec la chronologie (A → B → C).</w:t>
      </w:r>
      <w:r>
        <w:t xml:space="preserve"> </w:t>
      </w:r>
      <w:r>
        <w:t xml:space="preserve">§10 prête à la vente une cause chronologiquement et matériellement intenable :</w:t>
      </w:r>
      <w:r>
        <w:t xml:space="preserve"> </w:t>
      </w:r>
      <w:r>
        <w:rPr>
          <w:i/>
        </w:rPr>
        <w:t xml:space="preserve">(a)</w:t>
      </w:r>
      <w:r>
        <w:t xml:space="preserve"> </w:t>
      </w:r>
      <w:r>
        <w:t xml:space="preserve">la décision de vendre était</w:t>
      </w:r>
      <w:r>
        <w:t xml:space="preserve"> </w:t>
      </w:r>
      <w:r>
        <w:rPr>
          <w:b/>
        </w:rPr>
        <w:t xml:space="preserve">déjà engagée à l’été 2013</w:t>
      </w:r>
      <w:r>
        <w:t xml:space="preserve"> </w:t>
      </w:r>
      <w:r>
        <w:t xml:space="preserve">(faits 2-5), un an avant la vente et</w:t>
      </w:r>
      <w:r>
        <w:t xml:space="preserve"> </w:t>
      </w:r>
      <w:r>
        <w:rPr>
          <w:b/>
        </w:rPr>
        <w:t xml:space="preserve">avant</w:t>
      </w:r>
      <w:r>
        <w:t xml:space="preserve"> </w:t>
      </w:r>
      <w:r>
        <w:t xml:space="preserve">tout différend de rénovation ;</w:t>
      </w:r>
      <w:r>
        <w:t xml:space="preserve"> </w:t>
      </w:r>
      <w:r>
        <w:rPr>
          <w:i/>
        </w:rPr>
        <w:t xml:space="preserve">(b)</w:t>
      </w:r>
      <w:r>
        <w:t xml:space="preserve"> </w:t>
      </w:r>
      <w:r>
        <w:t xml:space="preserve">les rénovations sont</w:t>
      </w:r>
      <w:r>
        <w:t xml:space="preserve"> </w:t>
      </w:r>
      <w:r>
        <w:rPr>
          <w:b/>
        </w:rPr>
        <w:t xml:space="preserve">postérieures</w:t>
      </w:r>
      <w:r>
        <w:t xml:space="preserve"> </w:t>
      </w:r>
      <w:r>
        <w:t xml:space="preserve">à la vente (fait 7) — elles ne peuvent en être la cause ;</w:t>
      </w:r>
      <w:r>
        <w:t xml:space="preserve"> </w:t>
      </w:r>
      <w:r>
        <w:rPr>
          <w:i/>
        </w:rPr>
        <w:t xml:space="preserve">(c)</w:t>
      </w:r>
      <w:r>
        <w:t xml:space="preserve"> </w:t>
      </w:r>
      <w:r>
        <w:t xml:space="preserve">installer une</w:t>
      </w:r>
      <w:r>
        <w:t xml:space="preserve"> </w:t>
      </w:r>
      <w:r>
        <w:rPr>
          <w:b/>
        </w:rPr>
        <w:t xml:space="preserve">piscine</w:t>
      </w:r>
      <w:r>
        <w:t xml:space="preserve"> </w:t>
      </w:r>
      <w:r>
        <w:t xml:space="preserve">contredit l’idée d’une maison nécessitant des « réparations nécessaires » refusées (fait 8).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La faute de §10 = une AFFIRMATION causale trompeuse (non une simple omission).</w:t>
      </w:r>
      <w:r>
        <w:t xml:space="preserve"> </w:t>
      </w:r>
      <w:r>
        <w:t xml:space="preserve">Le système est contradictoire — la demanderesse</w:t>
      </w:r>
      <w:r>
        <w:t xml:space="preserve"> </w:t>
      </w:r>
      <w:r>
        <w:rPr>
          <w:b/>
        </w:rPr>
        <w:t xml:space="preserve">n’avait pas</w:t>
      </w:r>
      <w:r>
        <w:t xml:space="preserve"> </w:t>
      </w:r>
      <w:r>
        <w:t xml:space="preserve">le devoir de plaider la défense de LP (que la vente était planifiée, qu’un plan menaçait la résidence).</w:t>
      </w:r>
      <w:r>
        <w:t xml:space="preserve"> </w:t>
      </w:r>
      <w:r>
        <w:rPr>
          <w:b/>
        </w:rPr>
        <w:t xml:space="preserve">La bare omission se heurte à cette limite.</w:t>
      </w:r>
      <w:r>
        <w:t xml:space="preserve"> </w:t>
      </w:r>
      <w:r>
        <w:t xml:space="preserve">Mais §10</w:t>
      </w:r>
      <w:r>
        <w:t xml:space="preserve"> </w:t>
      </w:r>
      <w:r>
        <w:rPr>
          <w:b/>
        </w:rPr>
        <w:t xml:space="preserve">affirme une cause</w:t>
      </w:r>
      <w:r>
        <w:t xml:space="preserve"> </w:t>
      </w:r>
      <w:r>
        <w:t xml:space="preserve">— «</w:t>
      </w:r>
      <w:r>
        <w:t xml:space="preserve"> </w:t>
      </w:r>
      <w:r>
        <w:rPr>
          <w:b/>
        </w:rPr>
        <w:t xml:space="preserve">car</w:t>
      </w:r>
      <w:r>
        <w:t xml:space="preserve"> </w:t>
      </w:r>
      <w:r>
        <w:t xml:space="preserve">il refusait les réparations nécessaires » —</w:t>
      </w:r>
      <w:r>
        <w:t xml:space="preserve"> </w:t>
      </w:r>
      <w:r>
        <w:rPr>
          <w:b/>
        </w:rPr>
        <w:t xml:space="preserve">sous serment</w:t>
      </w:r>
      <w:r>
        <w:t xml:space="preserve"> </w:t>
      </w:r>
      <w:r>
        <w:t xml:space="preserve">(art. 106 C.p.c.). La bonne foi (art. 6-7 C.c.Q.) et la véracité de l’affidavit interdisent d’</w:t>
      </w:r>
      <w:r>
        <w:rPr>
          <w:b/>
        </w:rPr>
        <w:t xml:space="preserve">affirmer</w:t>
      </w:r>
      <w:r>
        <w:t xml:space="preserve"> </w:t>
      </w:r>
      <w:r>
        <w:t xml:space="preserve">une cause fausse/trompeuse : ayant</w:t>
      </w:r>
      <w:r>
        <w:t xml:space="preserve"> </w:t>
      </w:r>
      <w:r>
        <w:rPr>
          <w:b/>
        </w:rPr>
        <w:t xml:space="preserve">choisi</w:t>
      </w:r>
      <w:r>
        <w:t xml:space="preserve"> </w:t>
      </w:r>
      <w:r>
        <w:t xml:space="preserve">d’affirmer une cause, elle ne pouvait en affirmer une</w:t>
      </w:r>
      <w:r>
        <w:t xml:space="preserve"> </w:t>
      </w:r>
      <w:r>
        <w:rPr>
          <w:b/>
        </w:rPr>
        <w:t xml:space="preserve">qu’elle savait contredite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Donc — mener avec la fausseté de la cause affirmée ; l’omission = la PREUVE de mauvaise foi.</w:t>
      </w:r>
    </w:p>
    <w:p>
      <w:pPr>
        <w:pStyle w:val="Compact"/>
        <w:numPr>
          <w:numId w:val="1007"/>
          <w:ilvl w:val="1"/>
        </w:numPr>
      </w:pPr>
      <w:r>
        <w:rPr>
          <w:i/>
        </w:rPr>
        <w:t xml:space="preserve">La faute</w:t>
      </w:r>
      <w:r>
        <w:t xml:space="preserve"> </w:t>
      </w:r>
      <w:r>
        <w:t xml:space="preserve">: la chronologie A-C</w:t>
      </w:r>
      <w:r>
        <w:t xml:space="preserve"> </w:t>
      </w:r>
      <w:r>
        <w:rPr>
          <w:b/>
        </w:rPr>
        <w:t xml:space="preserve">contredit la cause affirmée</w:t>
      </w:r>
      <w:r>
        <w:t xml:space="preserve">. C’est le socle — une</w:t>
      </w:r>
      <w:r>
        <w:t xml:space="preserve"> </w:t>
      </w:r>
      <w:r>
        <w:rPr>
          <w:b/>
        </w:rPr>
        <w:t xml:space="preserve">contradiction directe</w:t>
      </w:r>
      <w:r>
        <w:t xml:space="preserve">, non une inférence.</w:t>
      </w:r>
    </w:p>
    <w:p>
      <w:pPr>
        <w:pStyle w:val="Compact"/>
        <w:numPr>
          <w:numId w:val="1007"/>
          <w:ilvl w:val="1"/>
        </w:numPr>
      </w:pPr>
      <w:r>
        <w:rPr>
          <w:i/>
        </w:rPr>
        <w:t xml:space="preserve">Le scienter</w:t>
      </w:r>
      <w:r>
        <w:t xml:space="preserve"> </w:t>
      </w:r>
      <w:r>
        <w:t xml:space="preserve">: l’omission du contexte connu (faits 11-13) — que la demanderesse</w:t>
      </w:r>
      <w:r>
        <w:t xml:space="preserve"> </w:t>
      </w:r>
      <w:r>
        <w:rPr>
          <w:b/>
        </w:rPr>
        <w:t xml:space="preserve">détenait</w:t>
      </w:r>
      <w:r>
        <w:t xml:space="preserve"> </w:t>
      </w:r>
      <w:r>
        <w:t xml:space="preserve">(destinataire de P-1, de la démarche d’évaluation</w:t>
      </w:r>
      <w:r>
        <w:t xml:space="preserve"> </w:t>
      </w:r>
      <w:r>
        <w:rPr>
          <w:b/>
        </w:rPr>
        <w:t xml:space="preserve">à des fins de partage</w:t>
      </w:r>
      <w:r>
        <w:t xml:space="preserve">, autrice des messages « peur/agressif ») —</w:t>
      </w:r>
      <w:r>
        <w:t xml:space="preserve"> </w:t>
      </w:r>
      <w:r>
        <w:rPr>
          <w:b/>
        </w:rPr>
        <w:t xml:space="preserve">établit que la cause affirmée était su fausse</w:t>
      </w:r>
      <w:r>
        <w:t xml:space="preserve"> </w:t>
      </w:r>
      <w:r>
        <w:t xml:space="preserve">(mauvaise foi). L’omission n’est</w:t>
      </w:r>
      <w:r>
        <w:t xml:space="preserve"> </w:t>
      </w:r>
      <w:r>
        <w:rPr>
          <w:b/>
        </w:rPr>
        <w:t xml:space="preserve">pas la faute autonome</w:t>
      </w:r>
      <w:r>
        <w:t xml:space="preserve"> </w:t>
      </w:r>
      <w:r>
        <w:t xml:space="preserve">; elle</w:t>
      </w:r>
      <w:r>
        <w:t xml:space="preserve"> </w:t>
      </w:r>
      <w:r>
        <w:rPr>
          <w:b/>
        </w:rPr>
        <w:t xml:space="preserve">prouve</w:t>
      </w:r>
      <w:r>
        <w:t xml:space="preserve"> </w:t>
      </w:r>
      <w:r>
        <w:t xml:space="preserve">que l’affirmation causale était délibérée.</w:t>
      </w:r>
    </w:p>
    <w:p>
      <w:pPr>
        <w:pStyle w:val="Compact"/>
        <w:numPr>
          <w:numId w:val="1007"/>
          <w:ilvl w:val="1"/>
        </w:numPr>
      </w:pPr>
      <w:r>
        <w:rPr>
          <w:i/>
        </w:rPr>
        <w:t xml:space="preserve">Fardeau (2805 → 2849)</w:t>
      </w:r>
      <w:r>
        <w:t xml:space="preserve"> </w:t>
      </w:r>
      <w:r>
        <w:t xml:space="preserve">: la</w:t>
      </w:r>
      <w:r>
        <w:t xml:space="preserve"> </w:t>
      </w:r>
      <w:r>
        <w:rPr>
          <w:b/>
        </w:rPr>
        <w:t xml:space="preserve">bonne foi est présumée</w:t>
      </w:r>
      <w:r>
        <w:t xml:space="preserve"> </w:t>
      </w:r>
      <w:r>
        <w:t xml:space="preserve">(art. 2805 C.c.Q.) —</w:t>
      </w:r>
      <w:r>
        <w:t xml:space="preserve"> </w:t>
      </w:r>
      <w:r>
        <w:rPr>
          <w:b/>
        </w:rPr>
        <w:t xml:space="preserve">c’est nous qui devons prouver la mauvaise foi</w:t>
      </w:r>
      <w:r>
        <w:t xml:space="preserve">, par des</w:t>
      </w:r>
      <w:r>
        <w:t xml:space="preserve"> </w:t>
      </w:r>
      <w:r>
        <w:rPr>
          <w:b/>
        </w:rPr>
        <w:t xml:space="preserve">présomptions de fait graves, précises et concordantes</w:t>
      </w:r>
      <w:r>
        <w:t xml:space="preserve"> </w:t>
      </w:r>
      <w:r>
        <w:t xml:space="preserve">(art. 2849) : faits 2-5, 7, 8 + la connaissance.</w:t>
      </w:r>
    </w:p>
    <w:p>
      <w:pPr>
        <w:pStyle w:val="Compact"/>
        <w:numPr>
          <w:numId w:val="1007"/>
          <w:ilvl w:val="1"/>
        </w:numPr>
      </w:pPr>
      <w:r>
        <w:rPr>
          <w:i/>
        </w:rPr>
        <w:t xml:space="preserve">À NE PAS plaider (spéculatif)</w:t>
      </w:r>
      <w:r>
        <w:t xml:space="preserve"> </w:t>
      </w:r>
      <w:r>
        <w:t xml:space="preserve">: le</w:t>
      </w:r>
      <w:r>
        <w:t xml:space="preserve"> </w:t>
      </w:r>
      <w:r>
        <w:rPr>
          <w:b/>
        </w:rPr>
        <w:t xml:space="preserve">motif interne</w:t>
      </w:r>
      <w:r>
        <w:t xml:space="preserve"> </w:t>
      </w:r>
      <w:r>
        <w:t xml:space="preserve">du défendeur (« il a vendu</w:t>
      </w:r>
      <w:r>
        <w:t xml:space="preserve"> </w:t>
      </w:r>
      <w:r>
        <w:rPr>
          <w:i/>
        </w:rPr>
        <w:t xml:space="preserve">parce qu’</w:t>
      </w:r>
      <w:r>
        <w:t xml:space="preserve">il anticipait une dépossession »).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⚠️ Chose jugée (art. 2848 — présomption absolue) — défense à anticiper.</w:t>
      </w:r>
      <w:r>
        <w:t xml:space="preserve"> </w:t>
      </w:r>
      <w:r>
        <w:t xml:space="preserve">L’adverse tentera d’opposer le jugement de 2016. Réponse (à valider par le procureur) : notre</w:t>
      </w:r>
      <w:r>
        <w:t xml:space="preserve"> </w:t>
      </w:r>
      <w:r>
        <w:rPr>
          <w:b/>
        </w:rPr>
        <w:t xml:space="preserve">cause</w:t>
      </w:r>
      <w:r>
        <w:t xml:space="preserve"> </w:t>
      </w:r>
      <w:r>
        <w:t xml:space="preserve">(responsabilité pour abus/diffamation) et notre</w:t>
      </w:r>
      <w:r>
        <w:t xml:space="preserve"> </w:t>
      </w:r>
      <w:r>
        <w:rPr>
          <w:b/>
        </w:rPr>
        <w:t xml:space="preserve">objet</w:t>
      </w:r>
      <w:r>
        <w:t xml:space="preserve"> </w:t>
      </w:r>
      <w:r>
        <w:t xml:space="preserve">(dommages)</w:t>
      </w:r>
      <w:r>
        <w:t xml:space="preserve"> </w:t>
      </w:r>
      <w:r>
        <w:rPr>
          <w:b/>
        </w:rPr>
        <w:t xml:space="preserve">diffèrent</w:t>
      </w:r>
      <w:r>
        <w:t xml:space="preserve"> </w:t>
      </w:r>
      <w:r>
        <w:t xml:space="preserve">de la garde/pension ; et le jugement de 2016,</w:t>
      </w:r>
      <w:r>
        <w:t xml:space="preserve"> </w:t>
      </w:r>
      <w:r>
        <w:rPr>
          <w:b/>
        </w:rPr>
        <w:t xml:space="preserve">rendu par défaut</w:t>
      </w:r>
      <w:r>
        <w:t xml:space="preserve">,</w:t>
      </w:r>
      <w:r>
        <w:t xml:space="preserve"> </w:t>
      </w:r>
      <w:r>
        <w:rPr>
          <w:b/>
        </w:rPr>
        <w:t xml:space="preserve">n’a pas adjugé la vérité de §10</w:t>
      </w:r>
      <w:r>
        <w:t xml:space="preserve"> </w:t>
      </w:r>
      <w:r>
        <w:t xml:space="preserve">(allégué jamais éprouvé). → 2848</w:t>
      </w:r>
      <w:r>
        <w:t xml:space="preserve"> </w:t>
      </w:r>
      <w:r>
        <w:rPr>
          <w:b/>
        </w:rPr>
        <w:t xml:space="preserve">ne barre pas</w:t>
      </w:r>
      <w:r>
        <w:t xml:space="preserve"> </w:t>
      </w:r>
      <w:r>
        <w:t xml:space="preserve">le recours.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Le sous-sol (D) = point défensif.</w:t>
      </w:r>
      <w:r>
        <w:t xml:space="preserve"> </w:t>
      </w:r>
      <w:r>
        <w:t xml:space="preserve">À n’invoquer que</w:t>
      </w:r>
      <w:r>
        <w:t xml:space="preserve"> </w:t>
      </w:r>
      <w:r>
        <w:rPr>
          <w:b/>
        </w:rPr>
        <w:t xml:space="preserve">si la demanderesse</w:t>
      </w:r>
      <w:r>
        <w:t xml:space="preserve"> </w:t>
      </w:r>
      <w:r>
        <w:t xml:space="preserve">met le sous-sol de l’avant : démolition (2012) =</w:t>
      </w:r>
      <w:r>
        <w:t xml:space="preserve"> </w:t>
      </w:r>
      <w:r>
        <w:rPr>
          <w:b/>
        </w:rPr>
        <w:t xml:space="preserve">décision conjointe</w:t>
      </w:r>
      <w:r>
        <w:t xml:space="preserve">, fonds d’assurance réalloués au chauffage.</w:t>
      </w:r>
      <w:r>
        <w:t xml:space="preserve"> </w:t>
      </w:r>
      <w:r>
        <w:rPr>
          <w:b/>
        </w:rPr>
        <w:t xml:space="preserve">Distinct de §9</w:t>
      </w:r>
      <w:r>
        <w:t xml:space="preserve"> </w:t>
      </w:r>
      <w:r>
        <w:t xml:space="preserve">(où le sous-sol détruit explique le couchage chez les parents).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Fait 8 (rénovations) — établi, pas</w:t>
      </w:r>
      <w:r>
        <w:rPr>
          <w:b/>
        </w:rPr>
        <w:t xml:space="preserve"> </w:t>
      </w:r>
      <w:r>
        <w:rPr>
          <w:rStyle w:val="VerbatimChar"/>
          <w:b/>
        </w:rPr>
        <w:t xml:space="preserve">[à sourcer]</w:t>
      </w:r>
      <w:r>
        <w:rPr>
          <w:b/>
        </w:rPr>
        <w:t xml:space="preserve">.</w:t>
      </w:r>
      <w:r>
        <w:t xml:space="preserve"> </w:t>
      </w:r>
      <w:r>
        <w:rPr>
          <w:b/>
        </w:rPr>
        <w:t xml:space="preserve">Il n’existe aucun permis de piscine</w:t>
      </w:r>
      <w:r>
        <w:t xml:space="preserve"> </w:t>
      </w:r>
      <w:r>
        <w:t xml:space="preserve">; le fait ne repose donc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sur un permis, mais sur la</w:t>
      </w:r>
      <w:r>
        <w:t xml:space="preserve"> </w:t>
      </w:r>
      <w:r>
        <w:rPr>
          <w:b/>
        </w:rPr>
        <w:t xml:space="preserve">connaissance directe du demandeur</w:t>
      </w:r>
      <w:r>
        <w:t xml:space="preserve"> </w:t>
      </w:r>
      <w:r>
        <w:t xml:space="preserve">et l’</w:t>
      </w:r>
      <w:r>
        <w:rPr>
          <w:b/>
        </w:rPr>
        <w:t xml:space="preserve">état des lieux</w:t>
      </w:r>
      <w:r>
        <w:t xml:space="preserve"> </w:t>
      </w:r>
      <w:r>
        <w:t xml:space="preserve">(photos « avant » détenues + propriété actuelle photographiable si contesté). Ne pas asseoir l’énoncé sur un document inexistant.</w:t>
      </w:r>
    </w:p>
    <w:p>
      <w:pPr>
        <w:pStyle w:val="Heading2"/>
      </w:pPr>
      <w:bookmarkStart w:id="33" w:name="pièces-citées"/>
      <w:r>
        <w:t xml:space="preserve">Pièces citées</w:t>
      </w:r>
      <w:bookmarkEnd w:id="33"/>
    </w:p>
    <w:p>
      <w:pPr>
        <w:pStyle w:val="FirstParagraph"/>
      </w:pPr>
      <w:r>
        <w:t xml:space="preserve">piece_document-1 · piece_pdf-1 (P-1) · B-2 (courriel LP → Me Pringle, 26 juin 2013) · PDFDocument id=11 (évaluation Louis-Philippe Robert) · PDFDocument id=60 (inondation) · Emails id=39, 137</w:t>
      </w:r>
    </w:p>
    <w:p>
      <w:pPr>
        <w:pStyle w:val="Heading2"/>
      </w:pPr>
      <w:bookmarkStart w:id="34" w:name="à-compléter"/>
      <w:r>
        <w:t xml:space="preserve">À compléter</w:t>
      </w:r>
      <w:bookmarkEnd w:id="34"/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Cotes P-</w:t>
      </w:r>
      <w:r>
        <w:t xml:space="preserve"> </w:t>
      </w:r>
      <w:r>
        <w:t xml:space="preserve">finales (dont créer la pièce B-2 — LP → Me Pringle, 26 juin 2013).</w:t>
      </w:r>
    </w:p>
    <w:p>
      <w:pPr>
        <w:pStyle w:val="Compact"/>
        <w:numPr>
          <w:numId w:val="1008"/>
          <w:ilvl w:val="0"/>
        </w:numPr>
      </w:pPr>
      <w:r>
        <w:t xml:space="preserve">Photos « avant/après » de la résidence (fait 8) — à verser si la nature élective des rénovations est contestée.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71315dca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7261bad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b3cbbdee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fbe019a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91a27d8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allegation_stmt66_residence_2014.md" TargetMode="External" /><Relationship Type="http://schemas.openxmlformats.org/officeDocument/2006/relationships/hyperlink" Id="rId24" Target="../document_de_faits.md" TargetMode="External" /><Relationship Type="http://schemas.openxmlformats.org/officeDocument/2006/relationships/hyperlink" Id="rId22" Target="../piece_document-1.md" TargetMode="External" /><Relationship Type="http://schemas.openxmlformats.org/officeDocument/2006/relationships/hyperlink" Id="rId31" Target="../piece_pdf-1.md" TargetMode="External" /><Relationship Type="http://schemas.openxmlformats.org/officeDocument/2006/relationships/hyperlink" Id="rId25" Target="../piece_pdf-6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../allegation_stmt66_residence_2014.md" TargetMode="External" /><Relationship Type="http://schemas.openxmlformats.org/officeDocument/2006/relationships/hyperlink" Id="rId24" Target="../document_de_faits.md" TargetMode="External" /><Relationship Type="http://schemas.openxmlformats.org/officeDocument/2006/relationships/hyperlink" Id="rId22" Target="../piece_document-1.md" TargetMode="External" /><Relationship Type="http://schemas.openxmlformats.org/officeDocument/2006/relationships/hyperlink" Id="rId31" Target="../piece_pdf-1.md" TargetMode="External" /><Relationship Type="http://schemas.openxmlformats.org/officeDocument/2006/relationships/hyperlink" Id="rId25" Target="../piece_pdf-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2026-07-09T15:21:04Z</dcterms:created>
  <dcterms:modified xsi:type="dcterms:W3CDTF">2026-07-09T15:21:04Z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