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2960bfbf9cd4819117148139814b42dc167d5b"/>
      <w:r>
        <w:t xml:space="preserve">PONTS CONSOLIDÉS — Requête du 19 novembre 2015</w:t>
      </w:r>
      <w:bookmarkEnd w:id="20"/>
    </w:p>
    <w:p>
      <w:pPr>
        <w:pStyle w:val="BlockText"/>
      </w:pPr>
      <w:r>
        <w:rPr>
          <w:b/>
        </w:rPr>
        <w:t xml:space="preserve">Fichier généré par concaténation.</w:t>
      </w:r>
      <w:r>
        <w:t xml:space="preserve"> </w:t>
      </w:r>
      <w:r>
        <w:t xml:space="preserve">Regroupe, en ordre de paragraphe, les 12 ponts relatifs à la Requête assermentée du 19 novembre 2015.</w:t>
      </w:r>
      <w:r>
        <w:t xml:space="preserve"> </w:t>
      </w:r>
      <w:r>
        <w:rPr>
          <w:b/>
        </w:rPr>
        <w:t xml:space="preserve">Ne pas éditer les sections de ponts ici</w:t>
      </w:r>
      <w:r>
        <w:t xml:space="preserve"> </w:t>
      </w:r>
      <w:r>
        <w:t xml:space="preserve">— chaque section est une copie de son fichier source dans</w:t>
      </w:r>
      <w:r>
        <w:t xml:space="preserve"> </w:t>
      </w:r>
      <w:r>
        <w:rPr>
          <w:rStyle w:val="VerbatimChar"/>
        </w:rPr>
        <w:t xml:space="preserve">legal/pont/</w:t>
      </w:r>
      <w:r>
        <w:t xml:space="preserve">; modifier le source, puis régénérer.</w:t>
      </w:r>
    </w:p>
    <w:p>
      <w:pPr>
        <w:pStyle w:val="BlockText"/>
      </w:pPr>
      <w:r>
        <w:t xml:space="preserve">⚠️</w:t>
      </w:r>
      <w:r>
        <w:t xml:space="preserve"> </w:t>
      </w:r>
      <w:r>
        <w:rPr>
          <w:b/>
        </w:rPr>
        <w:t xml:space="preserve">Exception :</w:t>
      </w:r>
      <w:r>
        <w:t xml:space="preserve"> </w:t>
      </w:r>
      <w:r>
        <w:t xml:space="preserve">une section auteure —</w:t>
      </w:r>
      <w:r>
        <w:t xml:space="preserve"> </w:t>
      </w:r>
      <w:r>
        <w:rPr>
          <w:rStyle w:val="VerbatimChar"/>
        </w:rPr>
        <w:t xml:space="preserve">MOYENS DE DROIT</w:t>
      </w:r>
      <w:r>
        <w:t xml:space="preserve"> </w:t>
      </w:r>
      <w:r>
        <w:t xml:space="preserve">— est ajoutée</w:t>
      </w:r>
      <w:r>
        <w:t xml:space="preserve"> </w:t>
      </w:r>
      <w:r>
        <w:rPr>
          <w:b/>
        </w:rPr>
        <w:t xml:space="preserve">à la fin</w:t>
      </w:r>
      <w:r>
        <w:t xml:space="preserve"> </w:t>
      </w:r>
      <w:r>
        <w:t xml:space="preserve">du fichier (balises</w:t>
      </w:r>
      <w:r>
        <w:t xml:space="preserve"> </w:t>
      </w:r>
      <w:r>
        <w:rPr>
          <w:rStyle w:val="VerbatimChar"/>
        </w:rPr>
        <w:t xml:space="preserve">SECTION RÉDIGÉE (NON CONCATÉNÉE)</w:t>
      </w:r>
      <w:r>
        <w:t xml:space="preserve">). Elle n’est copiée d’aucun source;</w:t>
      </w:r>
      <w:r>
        <w:t xml:space="preserve"> </w:t>
      </w:r>
      <w:r>
        <w:rPr>
          <w:b/>
        </w:rPr>
        <w:t xml:space="preserve">la préserver</w:t>
      </w:r>
      <w:r>
        <w:t xml:space="preserve"> </w:t>
      </w:r>
      <w:r>
        <w:t xml:space="preserve">en cas de régénération, ou l’extraire vers un fichier source dédié.</w:t>
      </w:r>
    </w:p>
    <w:p>
      <w:pPr>
        <w:pStyle w:val="FirstParagraph"/>
      </w:pPr>
      <w:r>
        <w:rPr>
          <w:b/>
        </w:rPr>
        <w:t xml:space="preserve">Ordre :</w:t>
      </w:r>
      <w:r>
        <w:t xml:space="preserve"> </w:t>
      </w:r>
      <w:r>
        <w:t xml:space="preserve">§4-5-6 · §7 · §9 · §10 · §14-17 · §18 · §20-21 · §23-24 · §28-29 · §30-31 · §56-57 · §59</w:t>
      </w:r>
    </w:p>
    <w:p>
      <w:r>
        <w:pict>
          <v:rect style="width:0;height:1.5pt" o:hralign="center" o:hrstd="t" o:hr="t"/>
        </w:pict>
      </w:r>
    </w:p>
    <w:p>
      <w:pPr>
        <w:pStyle w:val="Heading1"/>
      </w:pPr>
      <w:bookmarkStart w:id="21" w:name="X3e5f600c05501f205fa091fa8405a5ffdcba86d"/>
      <w:r>
        <w:t xml:space="preserve">Pont — §4, §5 et §6 de la Requête de novembre 2015</w:t>
      </w:r>
      <w:bookmarkEnd w:id="21"/>
    </w:p>
    <w:p>
      <w:pPr>
        <w:pStyle w:val="Heading2"/>
      </w:pPr>
      <w:bookmarkStart w:id="22" w:name="allégations-visées"/>
      <w:r>
        <w:t xml:space="preserve">1. Allégations visées</w:t>
      </w:r>
      <w:bookmarkEnd w:id="22"/>
    </w:p>
    <w:p>
      <w:pPr>
        <w:pStyle w:val="FirstParagraph"/>
      </w:pPr>
      <w:r>
        <w:t xml:space="preserve">La Requête du 19 novembre 2015 allègue, aux paragraphes 4, 5 et 6 :</w:t>
      </w:r>
    </w:p>
    <w:p>
      <w:pPr>
        <w:pStyle w:val="BlockText"/>
      </w:pPr>
      <w:r>
        <w:t xml:space="preserve">« 4. La continuation de la vie commune étant devenue impossible, le défendeur a quitté la résidence commune le 23 février 2015 pour se loger dans un appartement à proximité.</w:t>
      </w:r>
      <w:r>
        <w:t xml:space="preserve"> </w:t>
      </w:r>
      <w:r>
        <w:t xml:space="preserve">5. En effet, depuis la naissance d’Alexia, la relation entre les parties était très difficile.</w:t>
      </w:r>
      <w:r>
        <w:t xml:space="preserve"> </w:t>
      </w:r>
      <w:r>
        <w:t xml:space="preserve">6. En effet, le défendeur ne s’impliquait que minimalement dans les soins d’Alexia, laissant toute la responsabilité à la demanderesse, ce qui causait de grandes frictions dans le couple. »</w:t>
      </w:r>
    </w:p>
    <w:p>
      <w:pPr>
        <w:pStyle w:val="FirstParagraph"/>
      </w:pPr>
      <w:r>
        <w:t xml:space="preserve">Ces allégations forment une chaîne causale :</w:t>
      </w:r>
    </w:p>
    <w:p>
      <w:pPr>
        <w:pStyle w:val="Compact"/>
        <w:numPr>
          <w:numId w:val="1001"/>
          <w:ilvl w:val="0"/>
        </w:numPr>
      </w:pPr>
      <w:r>
        <w:t xml:space="preserve">le défendeur se serait impliqué seulement de façon minimale auprès d’Alexia ;</w:t>
      </w:r>
    </w:p>
    <w:p>
      <w:pPr>
        <w:pStyle w:val="Compact"/>
        <w:numPr>
          <w:numId w:val="1001"/>
          <w:ilvl w:val="0"/>
        </w:numPr>
      </w:pPr>
      <w:r>
        <w:t xml:space="preserve">cette situation aurait laissé la responsabilité parentale à la demanderesse ;</w:t>
      </w:r>
    </w:p>
    <w:p>
      <w:pPr>
        <w:pStyle w:val="Compact"/>
        <w:numPr>
          <w:numId w:val="1001"/>
          <w:ilvl w:val="0"/>
        </w:numPr>
      </w:pPr>
      <w:r>
        <w:t xml:space="preserve">cette situation aurait causé de grandes frictions depuis la naissance d’Alexia ;</w:t>
      </w:r>
    </w:p>
    <w:p>
      <w:pPr>
        <w:pStyle w:val="Compact"/>
        <w:numPr>
          <w:numId w:val="1001"/>
          <w:ilvl w:val="0"/>
        </w:numPr>
      </w:pPr>
      <w:r>
        <w:t xml:space="preserve">la vie commune serait devenue impossible ;</w:t>
      </w:r>
    </w:p>
    <w:p>
      <w:pPr>
        <w:pStyle w:val="Compact"/>
        <w:numPr>
          <w:numId w:val="1001"/>
          <w:ilvl w:val="0"/>
        </w:numPr>
      </w:pPr>
      <w:r>
        <w:t xml:space="preserve">le défendeur aurait quitté la résidence le 23 février 2015.</w:t>
      </w:r>
    </w:p>
    <w:p>
      <w:pPr>
        <w:pStyle w:val="FirstParagraph"/>
      </w:pPr>
      <w:r>
        <w:t xml:space="preserve">Le départ du 23 février 2015 n’est pas contesté. Ce qui est contesté est le cadrage causal et rétrospectif donné à ce départ.</w:t>
      </w:r>
    </w:p>
    <w:p>
      <w:pPr>
        <w:pStyle w:val="Heading2"/>
      </w:pPr>
      <w:bookmarkStart w:id="23" w:name="objectif-de-démonstration"/>
      <w:r>
        <w:t xml:space="preserve">2. Objectif de démonstration</w:t>
      </w:r>
      <w:bookmarkEnd w:id="23"/>
    </w:p>
    <w:p>
      <w:pPr>
        <w:pStyle w:val="FirstParagraph"/>
      </w:pPr>
      <w:r>
        <w:t xml:space="preserve">Ce bloc doit transformer les faits et l’analyse en une série de faits plaidables permettant d’établir :</w:t>
      </w:r>
    </w:p>
    <w:p>
      <w:pPr>
        <w:pStyle w:val="Compact"/>
        <w:numPr>
          <w:numId w:val="1002"/>
          <w:ilvl w:val="0"/>
        </w:numPr>
      </w:pPr>
      <w:r>
        <w:t xml:space="preserve">que le défendeur a assumé des soins, transports et activités auprès des enfants sur plusieurs années ;</w:t>
      </w:r>
    </w:p>
    <w:p>
      <w:pPr>
        <w:pStyle w:val="Compact"/>
        <w:numPr>
          <w:numId w:val="1002"/>
          <w:ilvl w:val="0"/>
        </w:numPr>
      </w:pPr>
      <w:r>
        <w:t xml:space="preserve">que la relation entre les parties comportait encore, dans les mois précédant le départ, de la coordination familiale, du soutien financier et des gestes d’affection ;</w:t>
      </w:r>
    </w:p>
    <w:p>
      <w:pPr>
        <w:pStyle w:val="Compact"/>
        <w:numPr>
          <w:numId w:val="1002"/>
          <w:ilvl w:val="0"/>
        </w:numPr>
      </w:pPr>
      <w:r>
        <w:t xml:space="preserve">que la demanderesse a elle-même nuancé, en janvier 2016, la qualification selon laquelle le défendeur n’était pas impliqué ;</w:t>
      </w:r>
    </w:p>
    <w:p>
      <w:pPr>
        <w:pStyle w:val="Compact"/>
        <w:numPr>
          <w:numId w:val="1002"/>
          <w:ilvl w:val="0"/>
        </w:numPr>
      </w:pPr>
      <w:r>
        <w:t xml:space="preserve">que le récit des paragraphes 4 à 6 excède les faits documentés.</w:t>
      </w:r>
    </w:p>
    <w:p>
      <w:pPr>
        <w:pStyle w:val="Compact"/>
        <w:numPr>
          <w:numId w:val="1002"/>
          <w:ilvl w:val="0"/>
        </w:numPr>
      </w:pPr>
      <w:r>
        <w:t xml:space="preserve">que P-1 corrobore cette preuve directe en traitant la présence paternelle comme une réalité qu’il fallait réduire avant qu’une routine exclusivement maternelle puisse être invoquée.</w:t>
      </w:r>
    </w:p>
    <w:p>
      <w:pPr>
        <w:pStyle w:val="FirstParagraph"/>
      </w:pPr>
      <w:r>
        <w:t xml:space="preserve">L’objectif n’est pas de soutenir que la relation était harmonieuse ou que le partage parental était égal. L’objectif est plus étroit : contester les qualificatifs « minimalement », « toute la responsabilité », « depuis la naissance » et « devenue impossible ».</w:t>
      </w:r>
    </w:p>
    <w:p>
      <w:pPr>
        <w:pStyle w:val="Heading2"/>
      </w:pPr>
      <w:bookmarkStart w:id="24" w:name="force-probatoire"/>
      <w:r>
        <w:t xml:space="preserve">3. Force probatoire</w:t>
      </w:r>
      <w:bookmarkEnd w:id="24"/>
    </w:p>
    <w:p>
      <w:pPr>
        <w:pStyle w:val="FirstParagraph"/>
      </w:pPr>
      <w:r>
        <w:rPr>
          <w:b/>
        </w:rPr>
        <w:t xml:space="preserve">Très forte</w:t>
      </w:r>
      <w:r>
        <w:t xml:space="preserve"> </w:t>
      </w:r>
      <w:r>
        <w:t xml:space="preserve">pour la réfutation de l’implication « minimale ».</w:t>
      </w:r>
    </w:p>
    <w:p>
      <w:pPr>
        <w:pStyle w:val="BodyText"/>
      </w:pPr>
      <w:r>
        <w:t xml:space="preserve">La force provient de la convergence de plusieurs catégories de sources :</w:t>
      </w:r>
    </w:p>
    <w:p>
      <w:pPr>
        <w:pStyle w:val="Compact"/>
        <w:numPr>
          <w:numId w:val="1003"/>
          <w:ilvl w:val="0"/>
        </w:numPr>
      </w:pPr>
      <w:r>
        <w:t xml:space="preserve">courriels contemporains à des tiers ou à l’employeur du défendeur ;</w:t>
      </w:r>
    </w:p>
    <w:p>
      <w:pPr>
        <w:pStyle w:val="Compact"/>
        <w:numPr>
          <w:numId w:val="1003"/>
          <w:ilvl w:val="0"/>
        </w:numPr>
      </w:pPr>
      <w:r>
        <w:t xml:space="preserve">événements photographiques horodatés ;</w:t>
      </w:r>
    </w:p>
    <w:p>
      <w:pPr>
        <w:pStyle w:val="Compact"/>
        <w:numPr>
          <w:numId w:val="1003"/>
          <w:ilvl w:val="0"/>
        </w:numPr>
      </w:pPr>
      <w:r>
        <w:t xml:space="preserve">échanges de messagerie entre les parties ;</w:t>
      </w:r>
    </w:p>
    <w:p>
      <w:pPr>
        <w:pStyle w:val="Compact"/>
        <w:numPr>
          <w:numId w:val="1003"/>
          <w:ilvl w:val="0"/>
        </w:numPr>
      </w:pPr>
      <w:r>
        <w:t xml:space="preserve">écrits de la demanderesse elle-même ;</w:t>
      </w:r>
    </w:p>
    <w:p>
      <w:pPr>
        <w:pStyle w:val="Compact"/>
        <w:numPr>
          <w:numId w:val="1003"/>
          <w:ilvl w:val="0"/>
        </w:numPr>
      </w:pPr>
      <w:r>
        <w:t xml:space="preserve">réponse écrite de la demanderesse du 11 janvier 2016.</w:t>
      </w:r>
    </w:p>
    <w:p>
      <w:pPr>
        <w:pStyle w:val="FirstParagraph"/>
      </w:pPr>
      <w:r>
        <w:t xml:space="preserve">P-1 ajoute une contre-preuve contemporaine de nature structurelle : le plan ne constate pas un père déjà absent ou minimalement impliqué ; il prévoit sa relocalisation, des accès sans coucher et l’installation subséquente d’une routine mère-enfants. Sa valeur est</w:t>
      </w:r>
      <w:r>
        <w:t xml:space="preserve"> </w:t>
      </w:r>
      <w:r>
        <w:rPr>
          <w:b/>
        </w:rPr>
        <w:t xml:space="preserve">corroborante</w:t>
      </w:r>
      <w:r>
        <w:t xml:space="preserve">, non substitutive : il ne prouve pas chacun des soins, mais il cadre difficilement avec l’image rétrospective d’une présence déjà minimale.</w:t>
      </w:r>
    </w:p>
    <w:p>
      <w:pPr>
        <w:pStyle w:val="BodyText"/>
      </w:pPr>
      <w:r>
        <w:rPr>
          <w:b/>
        </w:rPr>
        <w:t xml:space="preserve">Forte</w:t>
      </w:r>
      <w:r>
        <w:t xml:space="preserve"> </w:t>
      </w:r>
      <w:r>
        <w:t xml:space="preserve">pour la réfutation du cadrage « vie commune devenue impossible depuis la naissance ». Cette partie repose surtout sur des écrits contemporains de la demanderesse et des échanges entre les parties en 2014-2015.</w:t>
      </w:r>
    </w:p>
    <w:p>
      <w:pPr>
        <w:pStyle w:val="BodyText"/>
      </w:pPr>
      <w:r>
        <w:t xml:space="preserve">La prudence principale est de ne pas surplaider : le départ du 23 février 2015 est réel, l’impasse relationnelle existe, et l’objectif n’est pas de nier toute difficulté conjugale.</w:t>
      </w:r>
    </w:p>
    <w:p>
      <w:pPr>
        <w:pStyle w:val="Heading2"/>
      </w:pPr>
      <w:bookmarkStart w:id="25" w:name="faits-essentiels-plaidables"/>
      <w:r>
        <w:t xml:space="preserve">4. Faits essentiels plaidables</w:t>
      </w:r>
      <w:bookmarkEnd w:id="25"/>
    </w:p>
    <w:p>
      <w:pPr>
        <w:pStyle w:val="Heading3"/>
      </w:pPr>
      <w:bookmarkStart w:id="26" w:name="a.-ancrage-procédural"/>
      <w:r>
        <w:t xml:space="preserve">A. Ancrage procédural</w:t>
      </w:r>
      <w:bookmarkEnd w:id="26"/>
    </w:p>
    <w:p>
      <w:pPr>
        <w:numPr>
          <w:numId w:val="1004"/>
          <w:ilvl w:val="0"/>
        </w:numPr>
      </w:pPr>
      <w:r>
        <w:t xml:space="preserve">Le 19 novembre 2015, la demanderesse a allégué que la relation entre les parties était très difficile depuis la naissance d’Alexia, que le défendeur ne s’impliquait que minimalement dans les soins d’Alexia et que la vie commune était devenue impossible.</w:t>
      </w:r>
    </w:p>
    <w:p>
      <w:pPr>
        <w:numPr>
          <w:numId w:val="1004"/>
          <w:ilvl w:val="0"/>
        </w:numPr>
      </w:pPr>
      <w:r>
        <w:t xml:space="preserve">Le défendeur a quitté la résidence commune le 23 février 2015.</w:t>
      </w:r>
    </w:p>
    <w:p>
      <w:pPr>
        <w:pStyle w:val="Heading3"/>
      </w:pPr>
      <w:bookmarkStart w:id="27" w:name="b.-implication-parentale-documentée"/>
      <w:r>
        <w:t xml:space="preserve">B. Implication parentale documentée</w:t>
      </w:r>
      <w:bookmarkEnd w:id="27"/>
    </w:p>
    <w:p>
      <w:pPr>
        <w:numPr>
          <w:numId w:val="1005"/>
          <w:ilvl w:val="0"/>
        </w:numPr>
      </w:pPr>
      <w:r>
        <w:t xml:space="preserve">Dès janvier 2010, alors qu’Alexia avait moins de quatre mois, le défendeur écrivait à sa mère qu’Alexia était malade et qu’ils resteraient tranquilles à la maison.</w:t>
      </w:r>
    </w:p>
    <w:p>
      <w:pPr>
        <w:numPr>
          <w:numId w:val="1005"/>
          <w:ilvl w:val="0"/>
        </w:numPr>
      </w:pPr>
      <w:r>
        <w:t xml:space="preserve">En mai 2010, le défendeur communiquait à sa mère l’horaire des cours de natation d’Alexia.</w:t>
      </w:r>
    </w:p>
    <w:p>
      <w:pPr>
        <w:numPr>
          <w:numId w:val="1005"/>
          <w:ilvl w:val="0"/>
        </w:numPr>
      </w:pPr>
      <w:r>
        <w:t xml:space="preserve">En novembre 2010, le défendeur écrivait à sa mère que la demanderesse restait à la maison et qu’il prenait le mercredi pour s’occuper d’Alexia.</w:t>
      </w:r>
    </w:p>
    <w:p>
      <w:pPr>
        <w:numPr>
          <w:numId w:val="1005"/>
          <w:ilvl w:val="0"/>
        </w:numPr>
      </w:pPr>
      <w:r>
        <w:t xml:space="preserve">Entre mars 2011 et février 2016, le défendeur s’est absenté de son travail au moins vingt fois pour donner des soins aux enfants ou les accompagner à des rendez-vous médicaux.</w:t>
      </w:r>
    </w:p>
    <w:p>
      <w:pPr>
        <w:numPr>
          <w:numId w:val="1005"/>
          <w:ilvl w:val="0"/>
        </w:numPr>
      </w:pPr>
      <w:r>
        <w:t xml:space="preserve">Entre mars 2011 et septembre 2012, au moins treize de ces absences concernaient Alexia seule.</w:t>
      </w:r>
    </w:p>
    <w:p>
      <w:pPr>
        <w:numPr>
          <w:numId w:val="1005"/>
          <w:ilvl w:val="0"/>
        </w:numPr>
      </w:pPr>
      <w:r>
        <w:t xml:space="preserve">Le 3 mai 2011, le défendeur a contesté un diagnostic médical concernant Alexia, et un second médecin a confirmé sa position.</w:t>
      </w:r>
    </w:p>
    <w:p>
      <w:pPr>
        <w:numPr>
          <w:numId w:val="1005"/>
          <w:ilvl w:val="0"/>
        </w:numPr>
      </w:pPr>
      <w:r>
        <w:t xml:space="preserve">Le 7 mai 2011, le défendeur était dans la piscine lors du cours de natation d’Alexia au YMCA.</w:t>
      </w:r>
    </w:p>
    <w:p>
      <w:pPr>
        <w:numPr>
          <w:numId w:val="1005"/>
          <w:ilvl w:val="0"/>
        </w:numPr>
      </w:pPr>
      <w:r>
        <w:t xml:space="preserve">Les 11 décembre 2011 et 29 janvier 2012, le défendeur était présent aux cours d’AcroGym d’Alexia.</w:t>
      </w:r>
    </w:p>
    <w:p>
      <w:pPr>
        <w:numPr>
          <w:numId w:val="1005"/>
          <w:ilvl w:val="0"/>
        </w:numPr>
      </w:pPr>
      <w:r>
        <w:t xml:space="preserve">Le 24 novembre 2011, le défendeur écrivait à la demanderesse au sujet de la garderie : « vas tu la chercher ou j’y vais? »</w:t>
      </w:r>
    </w:p>
    <w:p>
      <w:pPr>
        <w:numPr>
          <w:numId w:val="1005"/>
          <w:ilvl w:val="0"/>
        </w:numPr>
      </w:pPr>
      <w:r>
        <w:t xml:space="preserve">Les 18 et 19 octobre 2012, le défendeur a accompagné Alexia à pied à sa maternelle le matin.</w:t>
      </w:r>
    </w:p>
    <w:p>
      <w:pPr>
        <w:numPr>
          <w:numId w:val="1005"/>
          <w:ilvl w:val="0"/>
        </w:numPr>
      </w:pPr>
      <w:r>
        <w:t xml:space="preserve">Le 6 mars 2013, le défendeur écrivait qu’il déposerait Alexia à la garderie le matin.</w:t>
      </w:r>
    </w:p>
    <w:p>
      <w:pPr>
        <w:numPr>
          <w:numId w:val="1005"/>
          <w:ilvl w:val="0"/>
        </w:numPr>
      </w:pPr>
      <w:r>
        <w:t xml:space="preserve">Les 28 mai et 24 août 2013, le défendeur était présent au match et à la remise des médailles de soccer d’Alexia.</w:t>
      </w:r>
    </w:p>
    <w:p>
      <w:pPr>
        <w:numPr>
          <w:numId w:val="1005"/>
          <w:ilvl w:val="0"/>
        </w:numPr>
      </w:pPr>
      <w:r>
        <w:t xml:space="preserve">Entre juin 2013 et mars 2014, le défendeur a emmené Alexia faire de l’escalade à onze reprises.</w:t>
      </w:r>
    </w:p>
    <w:p>
      <w:pPr>
        <w:numPr>
          <w:numId w:val="1005"/>
          <w:ilvl w:val="0"/>
        </w:numPr>
      </w:pPr>
      <w:r>
        <w:t xml:space="preserve">Le 14 août 2013, le défendeur était en voyage à Cape Cod avec Nicolas.</w:t>
      </w:r>
    </w:p>
    <w:p>
      <w:pPr>
        <w:numPr>
          <w:numId w:val="1005"/>
          <w:ilvl w:val="0"/>
        </w:numPr>
      </w:pPr>
      <w:r>
        <w:t xml:space="preserve">Le 17 septembre 2014, le défendeur est allé chercher Nicolas à la garderie.</w:t>
      </w:r>
    </w:p>
    <w:p>
      <w:pPr>
        <w:numPr>
          <w:numId w:val="1005"/>
          <w:ilvl w:val="0"/>
        </w:numPr>
      </w:pPr>
      <w:r>
        <w:t xml:space="preserve">Le 23 octobre 2014, les parties ont échangé l’inventaire détaillé et les coûts des activités des enfants.</w:t>
      </w:r>
    </w:p>
    <w:p>
      <w:pPr>
        <w:numPr>
          <w:numId w:val="1005"/>
          <w:ilvl w:val="0"/>
        </w:numPr>
      </w:pPr>
      <w:r>
        <w:t xml:space="preserve">Entre 2009 et 2015, au moins cent quatre-vingt-dix occasions où le défendeur est seul avec l’un ou l’autre des enfants sont documentées par plus de mille cent photographies horodatées.</w:t>
      </w:r>
    </w:p>
    <w:p>
      <w:pPr>
        <w:pStyle w:val="Heading3"/>
      </w:pPr>
      <w:bookmarkStart w:id="28" w:name="X0d6023b113df88f2766c80c117e9ced4db9204c"/>
      <w:r>
        <w:t xml:space="preserve">C. Soirs de danse et prise en charge par le défendeur</w:t>
      </w:r>
      <w:bookmarkEnd w:id="28"/>
    </w:p>
    <w:p>
      <w:pPr>
        <w:numPr>
          <w:numId w:val="1006"/>
          <w:ilvl w:val="0"/>
        </w:numPr>
      </w:pPr>
      <w:r>
        <w:t xml:space="preserve">Dans une biographie qu’elle a publiée, la demanderesse indique avoir suivi des cours de danse de 1999 à 2016, enseigné dès 2010 et été gestionnaire d’événements de danse de 2013 à 2018.</w:t>
      </w:r>
    </w:p>
    <w:p>
      <w:pPr>
        <w:numPr>
          <w:numId w:val="1006"/>
          <w:ilvl w:val="0"/>
        </w:numPr>
      </w:pPr>
      <w:r>
        <w:t xml:space="preserve">Les 9 et 16 février 2011, le défendeur assurait la routine du soir d’Alexia pendant que la demanderesse était à ses cours de danse.</w:t>
      </w:r>
    </w:p>
    <w:p>
      <w:pPr>
        <w:numPr>
          <w:numId w:val="1006"/>
          <w:ilvl w:val="0"/>
        </w:numPr>
      </w:pPr>
      <w:r>
        <w:t xml:space="preserve">Les 27 janvier et 3 mars 2014, le défendeur était à la maison avec Alexia et Nicolas pendant que la demanderesse était à ses cours de danse.</w:t>
      </w:r>
    </w:p>
    <w:p>
      <w:pPr>
        <w:numPr>
          <w:numId w:val="1006"/>
          <w:ilvl w:val="0"/>
        </w:numPr>
      </w:pPr>
      <w:r>
        <w:t xml:space="preserve">Le 16 septembre 2016, la demanderesse a écrit au défendeur qu’elle disposait d’une aide familiale « pour leurs cours de natation et pour mes soirs de danse ».</w:t>
      </w:r>
    </w:p>
    <w:p>
      <w:pPr>
        <w:pStyle w:val="Heading3"/>
      </w:pPr>
      <w:bookmarkStart w:id="29" w:name="X0b815d4ff0cd659232dd35e6e2728f65807bf8d"/>
      <w:r>
        <w:t xml:space="preserve">D. Relation et coordination familiale avant le départ</w:t>
      </w:r>
      <w:bookmarkEnd w:id="29"/>
    </w:p>
    <w:p>
      <w:pPr>
        <w:numPr>
          <w:numId w:val="1007"/>
          <w:ilvl w:val="0"/>
        </w:numPr>
      </w:pPr>
      <w:r>
        <w:t xml:space="preserve">En août 2014, la demanderesse a reçu du défendeur un prêt de 9 000 $.</w:t>
      </w:r>
    </w:p>
    <w:p>
      <w:pPr>
        <w:numPr>
          <w:numId w:val="1007"/>
          <w:ilvl w:val="0"/>
        </w:numPr>
      </w:pPr>
      <w:r>
        <w:t xml:space="preserve">Ce prêt était remboursable par crédit de loyer de 750 $ par mois.</w:t>
      </w:r>
    </w:p>
    <w:p>
      <w:pPr>
        <w:numPr>
          <w:numId w:val="1007"/>
          <w:ilvl w:val="0"/>
        </w:numPr>
      </w:pPr>
      <w:r>
        <w:t xml:space="preserve">Le 3 novembre 2014, la demanderesse a demandé au défendeur de lui prêter 1 000 $ supplémentaires.</w:t>
      </w:r>
    </w:p>
    <w:p>
      <w:pPr>
        <w:numPr>
          <w:numId w:val="1007"/>
          <w:ilvl w:val="0"/>
        </w:numPr>
      </w:pPr>
      <w:r>
        <w:t xml:space="preserve">Le 4 novembre 2014, la demanderesse a écrit au défendeur que le temps consacré à eux quatre était important.</w:t>
      </w:r>
    </w:p>
    <w:p>
      <w:pPr>
        <w:numPr>
          <w:numId w:val="1007"/>
          <w:ilvl w:val="0"/>
        </w:numPr>
      </w:pPr>
      <w:r>
        <w:t xml:space="preserve">Le 28 novembre 2014, les parties ont coordonné l’achat de l’habit de neige de Nicolas.</w:t>
      </w:r>
    </w:p>
    <w:p>
      <w:pPr>
        <w:numPr>
          <w:numId w:val="1007"/>
          <w:ilvl w:val="0"/>
        </w:numPr>
      </w:pPr>
      <w:r>
        <w:t xml:space="preserve">Le 3 décembre 2014, le défendeur s’est organisé pour se rendre à une urgence médicale de Nicolas.</w:t>
      </w:r>
    </w:p>
    <w:p>
      <w:pPr>
        <w:numPr>
          <w:numId w:val="1007"/>
          <w:ilvl w:val="0"/>
        </w:numPr>
      </w:pPr>
      <w:r>
        <w:t xml:space="preserve">Le 16 décembre 2014, le défendeur a administré des antibiotiques à Nicolas et a géré sa fièvre.</w:t>
      </w:r>
    </w:p>
    <w:p>
      <w:pPr>
        <w:numPr>
          <w:numId w:val="1007"/>
          <w:ilvl w:val="0"/>
        </w:numPr>
      </w:pPr>
      <w:r>
        <w:t xml:space="preserve">Le 14 janvier 2015, la demanderesse a confié au défendeur que sa mère avait plusieurs métastases au foie.</w:t>
      </w:r>
    </w:p>
    <w:p>
      <w:pPr>
        <w:numPr>
          <w:numId w:val="1007"/>
          <w:ilvl w:val="0"/>
        </w:numPr>
      </w:pPr>
      <w:r>
        <w:t xml:space="preserve">Le 14 janvier 2015, le défendeur a répondu à cette confidence en exprimant sa sympathie.</w:t>
      </w:r>
    </w:p>
    <w:p>
      <w:pPr>
        <w:numPr>
          <w:numId w:val="1007"/>
          <w:ilvl w:val="0"/>
        </w:numPr>
      </w:pPr>
      <w:r>
        <w:t xml:space="preserve">Le 2 février 2015, à la suite de l’annonce de son départ prochain, le défendeur a offert à la demanderesse de financer un matelas et des électroménagers.</w:t>
      </w:r>
    </w:p>
    <w:p>
      <w:pPr>
        <w:numPr>
          <w:numId w:val="1007"/>
          <w:ilvl w:val="0"/>
        </w:numPr>
      </w:pPr>
      <w:r>
        <w:t xml:space="preserve">Le 3 février 2015, le défendeur a offert à la demanderesse un soutien de proximité après son départ.</w:t>
      </w:r>
    </w:p>
    <w:p>
      <w:pPr>
        <w:numPr>
          <w:numId w:val="1007"/>
          <w:ilvl w:val="0"/>
        </w:numPr>
      </w:pPr>
      <w:r>
        <w:t xml:space="preserve">Le 3 février 2015, la demanderesse a écrit au défendeur qu’il avait décidé de partir vite.</w:t>
      </w:r>
    </w:p>
    <w:p>
      <w:pPr>
        <w:numPr>
          <w:numId w:val="1007"/>
          <w:ilvl w:val="0"/>
        </w:numPr>
      </w:pPr>
      <w:r>
        <w:t xml:space="preserve">Le 3 février 2015, la demanderesse a écrit au défendeur qu’il ne lui en avait pas parlé.</w:t>
      </w:r>
    </w:p>
    <w:p>
      <w:pPr>
        <w:numPr>
          <w:numId w:val="1007"/>
          <w:ilvl w:val="0"/>
        </w:numPr>
      </w:pPr>
      <w:r>
        <w:t xml:space="preserve">Le 13 février 2015, les parties ont planifié une tradition familiale mensuelle, incluant une sortie à la cabane à sucre prévue pour mars.</w:t>
      </w:r>
    </w:p>
    <w:p>
      <w:pPr>
        <w:pStyle w:val="Heading3"/>
      </w:pPr>
      <w:bookmarkStart w:id="30" w:name="X65eca7b7b0a1e5f7ac03e7656e5fa925521fc5a"/>
      <w:r>
        <w:t xml:space="preserve">E. Déclarations contemporaines postérieures au départ</w:t>
      </w:r>
      <w:bookmarkEnd w:id="30"/>
    </w:p>
    <w:p>
      <w:pPr>
        <w:numPr>
          <w:numId w:val="1008"/>
          <w:ilvl w:val="0"/>
        </w:numPr>
      </w:pPr>
      <w:r>
        <w:t xml:space="preserve">Le 27 février 2015, la demanderesse a écrit au défendeur qu’ils étaient conjoints de fait jusqu’à la rupture de février 2015.</w:t>
      </w:r>
    </w:p>
    <w:p>
      <w:pPr>
        <w:numPr>
          <w:numId w:val="1008"/>
          <w:ilvl w:val="0"/>
        </w:numPr>
      </w:pPr>
      <w:r>
        <w:t xml:space="preserve">Le 27 février 2015, la demanderesse a écrit au défendeur qu’ils ne faisaient pas chambre à part et qu’ils avaient des activités communes.</w:t>
      </w:r>
    </w:p>
    <w:p>
      <w:pPr>
        <w:numPr>
          <w:numId w:val="1008"/>
          <w:ilvl w:val="0"/>
        </w:numPr>
      </w:pPr>
      <w:r>
        <w:t xml:space="preserve">Le 27 février 2015, la demanderesse a écrit au défendeur qu’elle ne le considérait pas comme son colocataire.</w:t>
      </w:r>
    </w:p>
    <w:p>
      <w:pPr>
        <w:numPr>
          <w:numId w:val="1008"/>
          <w:ilvl w:val="0"/>
        </w:numPr>
      </w:pPr>
      <w:r>
        <w:t xml:space="preserve">Le 27 février 2015, la demanderesse a écrit au défendeur qu’elle l’avait embrassé à quelques reprises.</w:t>
      </w:r>
    </w:p>
    <w:p>
      <w:pPr>
        <w:numPr>
          <w:numId w:val="1008"/>
          <w:ilvl w:val="0"/>
        </w:numPr>
      </w:pPr>
      <w:r>
        <w:t xml:space="preserve">Le 27 février 2015, la demanderesse a écrit au défendeur qu’elle espérait qu’ils reviennent de cette impasse.</w:t>
      </w:r>
    </w:p>
    <w:p>
      <w:pPr>
        <w:pStyle w:val="Heading3"/>
      </w:pPr>
      <w:bookmarkStart w:id="31" w:name="f.-réponse-de-janvier-2016"/>
      <w:r>
        <w:t xml:space="preserve">F. Réponse de janvier 2016</w:t>
      </w:r>
      <w:bookmarkEnd w:id="31"/>
    </w:p>
    <w:p>
      <w:pPr>
        <w:numPr>
          <w:numId w:val="1009"/>
          <w:ilvl w:val="0"/>
        </w:numPr>
      </w:pPr>
      <w:r>
        <w:t xml:space="preserve">Le 11 janvier 2016, le défendeur a écrit à la demanderesse que sa requête disait qu’il avait été un père qui n’était pas impliqué avec Alexia quand il était à la maison.</w:t>
      </w:r>
    </w:p>
    <w:p>
      <w:pPr>
        <w:numPr>
          <w:numId w:val="1009"/>
          <w:ilvl w:val="0"/>
        </w:numPr>
      </w:pPr>
      <w:r>
        <w:t xml:space="preserve">Le même jour, la demanderesse a répondu qu’elle avait demandé à son avocate d’enlever cette partie, car elle ne voulait pas que cela soit écrit comme cela.</w:t>
      </w:r>
    </w:p>
    <w:p>
      <w:pPr>
        <w:numPr>
          <w:numId w:val="1009"/>
          <w:ilvl w:val="0"/>
        </w:numPr>
      </w:pPr>
      <w:r>
        <w:t xml:space="preserve">Dans la même réponse, la demanderesse a ajouté que son avocate lui avait seulement demandé si le défendeur s’occupait d’Alexia 50 % du temps.</w:t>
      </w:r>
    </w:p>
    <w:p>
      <w:pPr>
        <w:pStyle w:val="Heading3"/>
      </w:pPr>
      <w:bookmarkStart w:id="32" w:name="X0f4dbf757ddda41d43482e177d4ac8db17af5e7"/>
      <w:r>
        <w:t xml:space="preserve">G. Contre-preuve contemporaine tirée de P-1</w:t>
      </w:r>
      <w:bookmarkEnd w:id="32"/>
    </w:p>
    <w:p>
      <w:pPr>
        <w:numPr>
          <w:numId w:val="1010"/>
          <w:ilvl w:val="0"/>
        </w:numPr>
      </w:pPr>
      <w:r>
        <w:t xml:space="preserve">Le 11 juin 2013, P-1 proposait d’obtenir la garde exclusive urgente, de relocaliser le défendeur et de limiter ses contacts à des droits d’accès sans coucher.</w:t>
      </w:r>
    </w:p>
    <w:p>
      <w:pPr>
        <w:numPr>
          <w:numId w:val="1010"/>
          <w:ilvl w:val="0"/>
        </w:numPr>
      </w:pPr>
      <w:r>
        <w:t xml:space="preserve">P-1 prévoyait que, pendant la procédure, les enfants demeureraient avec la demanderesse, qu’une routine mère-enfants s’installerait et que les juges hésiteraient ensuite à la modifier.</w:t>
      </w:r>
    </w:p>
    <w:p>
      <w:pPr>
        <w:numPr>
          <w:numId w:val="1010"/>
          <w:ilvl w:val="0"/>
        </w:numPr>
      </w:pPr>
      <w:r>
        <w:t xml:space="preserve">Le mécanisme projeté agissait donc directement sur la présence du père afin de la réduire et de faire de cette réduction la nouvelle référence de stabilité.</w:t>
      </w:r>
    </w:p>
    <w:p>
      <w:pPr>
        <w:pStyle w:val="Heading2"/>
      </w:pPr>
      <w:bookmarkStart w:id="33" w:name="inférences-réservées-aux-moyens"/>
      <w:r>
        <w:t xml:space="preserve">5. Inférences réservées aux moyens</w:t>
      </w:r>
      <w:bookmarkEnd w:id="33"/>
    </w:p>
    <w:p>
      <w:pPr>
        <w:numPr>
          <w:numId w:val="1011"/>
          <w:ilvl w:val="0"/>
        </w:numPr>
      </w:pPr>
      <w:r>
        <w:t xml:space="preserve">Les faits d’implication parentale contredisent la qualification d’un père « minimalement » impliqué laissant « toute la responsabilité » à la demanderesse.</w:t>
      </w:r>
    </w:p>
    <w:p>
      <w:pPr>
        <w:numPr>
          <w:numId w:val="1011"/>
          <w:ilvl w:val="0"/>
        </w:numPr>
      </w:pPr>
      <w:r>
        <w:t xml:space="preserve">La réponse du 11 janvier 2016 permet de soutenir que la demanderesse distinguait elle-même l’absence d’un partage 50/50 d’une absence d’implication.</w:t>
      </w:r>
    </w:p>
    <w:p>
      <w:pPr>
        <w:numPr>
          <w:numId w:val="1011"/>
          <w:ilvl w:val="0"/>
        </w:numPr>
      </w:pPr>
      <w:r>
        <w:rPr>
          <w:b/>
        </w:rPr>
        <w:t xml:space="preserve">Contre-preuve contemporaine commune.</w:t>
      </w:r>
      <w:r>
        <w:t xml:space="preserve"> </w:t>
      </w:r>
      <w:r>
        <w:t xml:space="preserve">P-1 ne quantifie pas le partage parental, mais il traite la présence du père comme une réalité à réduire avant de pouvoir invoquer une routine maternelle exclusive. Cette prémisse contemporaine corrobore les faits directs et contredit structurellement l’image ultérieure d’un père déjà minimalement impliqué laissant toute la responsabilité à la demanderesse.</w:t>
      </w:r>
    </w:p>
    <w:p>
      <w:pPr>
        <w:numPr>
          <w:numId w:val="1011"/>
          <w:ilvl w:val="0"/>
        </w:numPr>
      </w:pPr>
      <w:r>
        <w:rPr>
          <w:b/>
        </w:rPr>
        <w:t xml:space="preserve">Portée sur la connaissance.</w:t>
      </w:r>
      <w:r>
        <w:t xml:space="preserve"> </w:t>
      </w:r>
      <w:r>
        <w:t xml:space="preserve">Si le désengagement historique allégué en 2015 avait caractérisé la famille, il aurait été disponible en 2013. P-1 ne l’invoque pas ; il propose plutôt de produire prospectivement une présence réduite. Cette absence n’établit pas seule la fausseté du §6, mais elle renforce la connaissance une fois la fausseté établie par les faits directs et par la réponse du 11 janvier 2016.</w:t>
      </w:r>
    </w:p>
    <w:p>
      <w:pPr>
        <w:numPr>
          <w:numId w:val="1011"/>
          <w:ilvl w:val="0"/>
        </w:numPr>
      </w:pPr>
      <w:r>
        <w:t xml:space="preserve">Les échanges de 2014-2015 permettent de soutenir que le récit d’une relation « très difficile depuis la naissance » et d’une vie commune devenue impossible doit être nuancé par la coordination familiale, le soutien financier et les gestes d’affection documentés.</w:t>
      </w:r>
    </w:p>
    <w:p>
      <w:pPr>
        <w:numPr>
          <w:numId w:val="1011"/>
          <w:ilvl w:val="0"/>
        </w:numPr>
      </w:pPr>
      <w:r>
        <w:t xml:space="preserve">Les courriels du 27 février 2015 permettent de soutenir que la demanderesse tenait un discours différent selon le contexte, notamment fiscal et judiciaire.</w:t>
      </w:r>
    </w:p>
    <w:p>
      <w:pPr>
        <w:numPr>
          <w:numId w:val="1011"/>
          <w:ilvl w:val="0"/>
        </w:numPr>
      </w:pPr>
      <w:r>
        <w:t xml:space="preserve">La qualification de faute, d’abus procédural, de connaissance de l’inexactitude ou de construction rhétorique doit être réservée aux moyens de droit.</w:t>
      </w:r>
    </w:p>
    <w:p>
      <w:pPr>
        <w:pStyle w:val="Heading2"/>
      </w:pPr>
      <w:bookmarkStart w:id="34" w:name="pièces-nécessaires"/>
      <w:r>
        <w:t xml:space="preserve">6. Pièces nécessaires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Pièce ou 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t xml:space="preserve">Requête du 19 novembre 2015 ;</w:t>
            </w:r>
            <w:r>
              <w:t xml:space="preserve"> </w:t>
            </w:r>
            <w:r>
              <w:rPr>
                <w:rStyle w:val="VerbatimChar"/>
              </w:rPr>
              <w:t xml:space="preserve">piece_document-1.md</w:t>
            </w:r>
          </w:p>
        </w:tc>
        <w:tc>
          <w:p>
            <w:pPr>
              <w:pStyle w:val="Compact"/>
              <w:jc w:val="left"/>
            </w:pPr>
            <w:r>
              <w:t xml:space="preserve">à coter</w:t>
            </w:r>
          </w:p>
        </w:tc>
      </w:tr>
      <w:tr>
        <w:tc>
          <w:p>
            <w:pPr>
              <w:pStyle w:val="Compact"/>
              <w:jc w:val="left"/>
            </w:pPr>
            <w:r>
              <w:t xml:space="preserve">2</w:t>
            </w:r>
          </w:p>
        </w:tc>
        <w:tc>
          <w:p>
            <w:pPr>
              <w:pStyle w:val="Compact"/>
              <w:jc w:val="left"/>
            </w:pPr>
            <w:r>
              <w:t xml:space="preserve">Requête du 19 novembre 2015, §4 ; fait non contesté</w:t>
            </w:r>
          </w:p>
        </w:tc>
        <w:tc>
          <w:p>
            <w:pPr>
              <w:pStyle w:val="Compact"/>
              <w:jc w:val="left"/>
            </w:pPr>
            <w:r>
              <w:t xml:space="preserve">admis / à coter au besoin</w:t>
            </w:r>
          </w:p>
        </w:tc>
      </w:tr>
      <w:tr>
        <w:tc>
          <w:p>
            <w:pPr>
              <w:pStyle w:val="Compact"/>
              <w:jc w:val="left"/>
            </w:pPr>
            <w:r>
              <w:t xml:space="preserve">3</w:t>
            </w:r>
          </w:p>
        </w:tc>
        <w:tc>
          <w:p>
            <w:pPr>
              <w:pStyle w:val="Compact"/>
              <w:jc w:val="left"/>
            </w:pPr>
            <w:r>
              <w:t xml:space="preserve">Email id=590</w:t>
            </w:r>
          </w:p>
        </w:tc>
        <w:tc>
          <w:p>
            <w:pPr>
              <w:pStyle w:val="Compact"/>
              <w:jc w:val="left"/>
            </w:pPr>
            <w:r>
              <w:t xml:space="preserve">à coter</w:t>
            </w:r>
          </w:p>
        </w:tc>
      </w:tr>
      <w:tr>
        <w:tc>
          <w:p>
            <w:pPr>
              <w:pStyle w:val="Compact"/>
              <w:jc w:val="left"/>
            </w:pPr>
            <w:r>
              <w:t xml:space="preserve">4</w:t>
            </w:r>
          </w:p>
        </w:tc>
        <w:tc>
          <w:p>
            <w:pPr>
              <w:pStyle w:val="Compact"/>
              <w:jc w:val="left"/>
            </w:pPr>
            <w:r>
              <w:t xml:space="preserve">Email id=91</w:t>
            </w:r>
          </w:p>
        </w:tc>
        <w:tc>
          <w:p>
            <w:pPr>
              <w:pStyle w:val="Compact"/>
              <w:jc w:val="left"/>
            </w:pPr>
            <w:r>
              <w:t xml:space="preserve">à coter</w:t>
            </w:r>
          </w:p>
        </w:tc>
      </w:tr>
      <w:tr>
        <w:tc>
          <w:p>
            <w:pPr>
              <w:pStyle w:val="Compact"/>
              <w:jc w:val="left"/>
            </w:pPr>
            <w:r>
              <w:t xml:space="preserve">5</w:t>
            </w:r>
          </w:p>
        </w:tc>
        <w:tc>
          <w:p>
            <w:pPr>
              <w:pStyle w:val="Compact"/>
              <w:jc w:val="left"/>
            </w:pPr>
            <w:r>
              <w:t xml:space="preserve">Email id=603</w:t>
            </w:r>
          </w:p>
        </w:tc>
        <w:tc>
          <w:p>
            <w:pPr>
              <w:pStyle w:val="Compact"/>
              <w:jc w:val="left"/>
            </w:pPr>
            <w:r>
              <w:t xml:space="preserve">à coter</w:t>
            </w:r>
          </w:p>
        </w:tc>
      </w:tr>
      <w:tr>
        <w:tc>
          <w:p>
            <w:pPr>
              <w:pStyle w:val="Compact"/>
              <w:jc w:val="left"/>
            </w:pPr>
            <w:r>
              <w:t xml:space="preserve">6-8</w:t>
            </w:r>
          </w:p>
        </w:tc>
        <w:tc>
          <w:p>
            <w:pPr>
              <w:pStyle w:val="Compact"/>
              <w:jc w:val="left"/>
            </w:pPr>
            <w:r>
              <w:t xml:space="preserve">Emails id=42, 45, 47, 51, 53/488, 55, 56, 59, 61, 64, 69, 118 ; axe absences travail</w:t>
            </w:r>
          </w:p>
        </w:tc>
        <w:tc>
          <w:p>
            <w:pPr>
              <w:pStyle w:val="Compact"/>
              <w:jc w:val="left"/>
            </w:pPr>
            <w:r>
              <w:t xml:space="preserve">à coter / en liasse</w:t>
            </w:r>
          </w:p>
        </w:tc>
      </w:tr>
      <w:tr>
        <w:tc>
          <w:p>
            <w:pPr>
              <w:pStyle w:val="Compact"/>
              <w:jc w:val="left"/>
            </w:pPr>
            <w:r>
              <w:t xml:space="preserve">9</w:t>
            </w:r>
          </w:p>
        </w:tc>
        <w:tc>
          <w:p>
            <w:pPr>
              <w:pStyle w:val="Compact"/>
              <w:jc w:val="left"/>
            </w:pPr>
            <w:r>
              <w:t xml:space="preserve">Event id=62</w:t>
            </w:r>
          </w:p>
        </w:tc>
        <w:tc>
          <w:p>
            <w:pPr>
              <w:pStyle w:val="Compact"/>
              <w:jc w:val="left"/>
            </w:pPr>
            <w:r>
              <w:t xml:space="preserve">à coter</w:t>
            </w:r>
          </w:p>
        </w:tc>
      </w:tr>
      <w:tr>
        <w:tc>
          <w:p>
            <w:pPr>
              <w:pStyle w:val="Compact"/>
              <w:jc w:val="left"/>
            </w:pPr>
            <w:r>
              <w:t xml:space="preserve">10</w:t>
            </w:r>
          </w:p>
        </w:tc>
        <w:tc>
          <w:p>
            <w:pPr>
              <w:pStyle w:val="Compact"/>
              <w:jc w:val="left"/>
            </w:pPr>
            <w:r>
              <w:t xml:space="preserve">Events id=136, 150</w:t>
            </w:r>
          </w:p>
        </w:tc>
        <w:tc>
          <w:p>
            <w:pPr>
              <w:pStyle w:val="Compact"/>
              <w:jc w:val="left"/>
            </w:pPr>
            <w:r>
              <w:t xml:space="preserve">à coter</w:t>
            </w:r>
          </w:p>
        </w:tc>
      </w:tr>
      <w:tr>
        <w:tc>
          <w:p>
            <w:pPr>
              <w:pStyle w:val="Compact"/>
              <w:jc w:val="left"/>
            </w:pPr>
            <w:r>
              <w:t xml:space="preserve">11</w:t>
            </w:r>
          </w:p>
        </w:tc>
        <w:tc>
          <w:p>
            <w:pPr>
              <w:pStyle w:val="Compact"/>
              <w:jc w:val="left"/>
            </w:pPr>
            <w:r>
              <w:t xml:space="preserve">Email id=54</w:t>
            </w:r>
          </w:p>
        </w:tc>
        <w:tc>
          <w:p>
            <w:pPr>
              <w:pStyle w:val="Compact"/>
              <w:jc w:val="left"/>
            </w:pPr>
            <w:r>
              <w:t xml:space="preserve">à coter</w:t>
            </w:r>
          </w:p>
        </w:tc>
      </w:tr>
      <w:tr>
        <w:tc>
          <w:p>
            <w:pPr>
              <w:pStyle w:val="Compact"/>
              <w:jc w:val="left"/>
            </w:pPr>
            <w:r>
              <w:t xml:space="preserve">12</w:t>
            </w:r>
          </w:p>
        </w:tc>
        <w:tc>
          <w:p>
            <w:pPr>
              <w:pStyle w:val="Compact"/>
              <w:jc w:val="left"/>
            </w:pPr>
            <w:r>
              <w:t xml:space="preserve">Events id=213, 214</w:t>
            </w:r>
          </w:p>
        </w:tc>
        <w:tc>
          <w:p>
            <w:pPr>
              <w:pStyle w:val="Compact"/>
              <w:jc w:val="left"/>
            </w:pPr>
            <w:r>
              <w:t xml:space="preserve">à coter</w:t>
            </w:r>
          </w:p>
        </w:tc>
      </w:tr>
      <w:tr>
        <w:tc>
          <w:p>
            <w:pPr>
              <w:pStyle w:val="Compact"/>
              <w:jc w:val="left"/>
            </w:pPr>
            <w:r>
              <w:t xml:space="preserve">13</w:t>
            </w:r>
          </w:p>
        </w:tc>
        <w:tc>
          <w:p>
            <w:pPr>
              <w:pStyle w:val="Compact"/>
              <w:jc w:val="left"/>
            </w:pPr>
            <w:r>
              <w:t xml:space="preserve">Email id=369</w:t>
            </w:r>
          </w:p>
        </w:tc>
        <w:tc>
          <w:p>
            <w:pPr>
              <w:pStyle w:val="Compact"/>
              <w:jc w:val="left"/>
            </w:pPr>
            <w:r>
              <w:t xml:space="preserve">à coter</w:t>
            </w:r>
          </w:p>
        </w:tc>
      </w:tr>
      <w:tr>
        <w:tc>
          <w:p>
            <w:pPr>
              <w:pStyle w:val="Compact"/>
              <w:jc w:val="left"/>
            </w:pPr>
            <w:r>
              <w:t xml:space="preserve">14</w:t>
            </w:r>
          </w:p>
        </w:tc>
        <w:tc>
          <w:p>
            <w:pPr>
              <w:pStyle w:val="Compact"/>
              <w:jc w:val="left"/>
            </w:pPr>
            <w:r>
              <w:t xml:space="preserve">Events id=239, 263</w:t>
            </w:r>
          </w:p>
        </w:tc>
        <w:tc>
          <w:p>
            <w:pPr>
              <w:pStyle w:val="Compact"/>
              <w:jc w:val="left"/>
            </w:pPr>
            <w:r>
              <w:t xml:space="preserve">à coter</w:t>
            </w:r>
          </w:p>
        </w:tc>
      </w:tr>
      <w:tr>
        <w:tc>
          <w:p>
            <w:pPr>
              <w:pStyle w:val="Compact"/>
              <w:jc w:val="left"/>
            </w:pPr>
            <w:r>
              <w:t xml:space="preserve">15</w:t>
            </w:r>
          </w:p>
        </w:tc>
        <w:tc>
          <w:p>
            <w:pPr>
              <w:pStyle w:val="Compact"/>
              <w:jc w:val="left"/>
            </w:pPr>
            <w:r>
              <w:t xml:space="preserve">Events id=316 à 326</w:t>
            </w:r>
          </w:p>
        </w:tc>
        <w:tc>
          <w:p>
            <w:pPr>
              <w:pStyle w:val="Compact"/>
              <w:jc w:val="left"/>
            </w:pPr>
            <w:r>
              <w:t xml:space="preserve">à coter / en liasse</w:t>
            </w:r>
          </w:p>
        </w:tc>
      </w:tr>
      <w:tr>
        <w:tc>
          <w:p>
            <w:pPr>
              <w:pStyle w:val="Compact"/>
              <w:jc w:val="left"/>
            </w:pPr>
            <w:r>
              <w:t xml:space="preserve">16</w:t>
            </w:r>
          </w:p>
        </w:tc>
        <w:tc>
          <w:p>
            <w:pPr>
              <w:pStyle w:val="Compact"/>
              <w:jc w:val="left"/>
            </w:pPr>
            <w:r>
              <w:t xml:space="preserve">Event id=259</w:t>
            </w:r>
          </w:p>
        </w:tc>
        <w:tc>
          <w:p>
            <w:pPr>
              <w:pStyle w:val="Compact"/>
              <w:jc w:val="left"/>
            </w:pPr>
            <w:r>
              <w:t xml:space="preserve">à coter</w:t>
            </w:r>
          </w:p>
        </w:tc>
      </w:tr>
      <w:tr>
        <w:tc>
          <w:p>
            <w:pPr>
              <w:pStyle w:val="Compact"/>
              <w:jc w:val="left"/>
            </w:pPr>
            <w:r>
              <w:t xml:space="preserve">17</w:t>
            </w:r>
          </w:p>
        </w:tc>
        <w:tc>
          <w:p>
            <w:pPr>
              <w:pStyle w:val="Compact"/>
              <w:jc w:val="left"/>
            </w:pPr>
            <w:r>
              <w:t xml:space="preserve">Email id=29</w:t>
            </w:r>
          </w:p>
        </w:tc>
        <w:tc>
          <w:p>
            <w:pPr>
              <w:pStyle w:val="Compact"/>
              <w:jc w:val="left"/>
            </w:pPr>
            <w:r>
              <w:t xml:space="preserve">à coter</w:t>
            </w:r>
          </w:p>
        </w:tc>
      </w:tr>
      <w:tr>
        <w:tc>
          <w:p>
            <w:pPr>
              <w:pStyle w:val="Compact"/>
              <w:jc w:val="left"/>
            </w:pPr>
            <w:r>
              <w:t xml:space="preserve">18</w:t>
            </w:r>
          </w:p>
        </w:tc>
        <w:tc>
          <w:p>
            <w:pPr>
              <w:pStyle w:val="Compact"/>
              <w:jc w:val="left"/>
            </w:pPr>
            <w:r>
              <w:t xml:space="preserve">ChatMessages id=111 à 146</w:t>
            </w:r>
          </w:p>
        </w:tc>
        <w:tc>
          <w:p>
            <w:pPr>
              <w:pStyle w:val="Compact"/>
              <w:jc w:val="left"/>
            </w:pPr>
            <w:r>
              <w:t xml:space="preserve">à coter / en liasse</w:t>
            </w:r>
          </w:p>
        </w:tc>
      </w:tr>
      <w:tr>
        <w:tc>
          <w:p>
            <w:pPr>
              <w:pStyle w:val="Compact"/>
              <w:jc w:val="left"/>
            </w:pPr>
            <w:r>
              <w:t xml:space="preserve">19</w:t>
            </w:r>
          </w:p>
        </w:tc>
        <w:tc>
          <w:p>
            <w:pPr>
              <w:pStyle w:val="Compact"/>
              <w:jc w:val="left"/>
            </w:pPr>
            <w:r>
              <w:rPr>
                <w:rStyle w:val="VerbatimChar"/>
              </w:rPr>
              <w:t xml:space="preserve">piece_tableau_recap_evenements.md</w:t>
            </w:r>
          </w:p>
        </w:tc>
        <w:tc>
          <w:p>
            <w:pPr>
              <w:pStyle w:val="Compact"/>
              <w:jc w:val="left"/>
            </w:pPr>
            <w:r>
              <w:t xml:space="preserve">à coter / en liasse</w:t>
            </w:r>
          </w:p>
        </w:tc>
      </w:tr>
      <w:tr>
        <w:tc>
          <w:p>
            <w:pPr>
              <w:pStyle w:val="Compact"/>
              <w:jc w:val="left"/>
            </w:pPr>
            <w:r>
              <w:t xml:space="preserve">20</w:t>
            </w:r>
          </w:p>
        </w:tc>
        <w:tc>
          <w:p>
            <w:pPr>
              <w:pStyle w:val="Compact"/>
              <w:jc w:val="left"/>
            </w:pPr>
            <w:r>
              <w:t xml:space="preserve">PDFDocument id=59</w:t>
            </w:r>
          </w:p>
        </w:tc>
        <w:tc>
          <w:p>
            <w:pPr>
              <w:pStyle w:val="Compact"/>
              <w:jc w:val="left"/>
            </w:pPr>
            <w:r>
              <w:t xml:space="preserve">à coter</w:t>
            </w:r>
          </w:p>
        </w:tc>
      </w:tr>
      <w:tr>
        <w:tc>
          <w:p>
            <w:pPr>
              <w:pStyle w:val="Compact"/>
              <w:jc w:val="left"/>
            </w:pPr>
            <w:r>
              <w:t xml:space="preserve">21</w:t>
            </w:r>
          </w:p>
        </w:tc>
        <w:tc>
          <w:p>
            <w:pPr>
              <w:pStyle w:val="Compact"/>
              <w:jc w:val="left"/>
            </w:pPr>
            <w:r>
              <w:t xml:space="preserve">Events id=46, 52</w:t>
            </w:r>
          </w:p>
        </w:tc>
        <w:tc>
          <w:p>
            <w:pPr>
              <w:pStyle w:val="Compact"/>
              <w:jc w:val="left"/>
            </w:pPr>
            <w:r>
              <w:t xml:space="preserve">à coter</w:t>
            </w:r>
          </w:p>
        </w:tc>
      </w:tr>
      <w:tr>
        <w:tc>
          <w:p>
            <w:pPr>
              <w:pStyle w:val="Compact"/>
              <w:jc w:val="left"/>
            </w:pPr>
            <w:r>
              <w:t xml:space="preserve">22</w:t>
            </w:r>
          </w:p>
        </w:tc>
        <w:tc>
          <w:p>
            <w:pPr>
              <w:pStyle w:val="Compact"/>
              <w:jc w:val="left"/>
            </w:pPr>
            <w:r>
              <w:t xml:space="preserve">Events id=274, 278</w:t>
            </w:r>
          </w:p>
        </w:tc>
        <w:tc>
          <w:p>
            <w:pPr>
              <w:pStyle w:val="Compact"/>
              <w:jc w:val="left"/>
            </w:pPr>
            <w:r>
              <w:t xml:space="preserve">à coter</w:t>
            </w:r>
          </w:p>
        </w:tc>
      </w:tr>
      <w:tr>
        <w:tc>
          <w:p>
            <w:pPr>
              <w:pStyle w:val="Compact"/>
              <w:jc w:val="left"/>
            </w:pPr>
            <w:r>
              <w:t xml:space="preserve">23</w:t>
            </w:r>
          </w:p>
        </w:tc>
        <w:tc>
          <w:p>
            <w:pPr>
              <w:pStyle w:val="Compact"/>
              <w:jc w:val="left"/>
            </w:pPr>
            <w:r>
              <w:t xml:space="preserve">Email id=305</w:t>
            </w:r>
          </w:p>
        </w:tc>
        <w:tc>
          <w:p>
            <w:pPr>
              <w:pStyle w:val="Compact"/>
              <w:jc w:val="left"/>
            </w:pPr>
            <w:r>
              <w:t xml:space="preserve">à coter</w:t>
            </w:r>
          </w:p>
        </w:tc>
      </w:tr>
      <w:tr>
        <w:tc>
          <w:p>
            <w:pPr>
              <w:pStyle w:val="Compact"/>
              <w:jc w:val="left"/>
            </w:pPr>
            <w:r>
              <w:t xml:space="preserve">24</w:t>
            </w:r>
          </w:p>
        </w:tc>
        <w:tc>
          <w:p>
            <w:pPr>
              <w:pStyle w:val="Compact"/>
              <w:jc w:val="left"/>
            </w:pPr>
            <w:r>
              <w:rPr>
                <w:rStyle w:val="VerbatimChar"/>
              </w:rPr>
              <w:t xml:space="preserve">piece_chatsequence-9</w:t>
            </w:r>
          </w:p>
        </w:tc>
        <w:tc>
          <w:p>
            <w:pPr>
              <w:pStyle w:val="Compact"/>
              <w:jc w:val="left"/>
            </w:pPr>
            <w:r>
              <w:t xml:space="preserve">à coter</w:t>
            </w:r>
          </w:p>
        </w:tc>
      </w:tr>
      <w:tr>
        <w:tc>
          <w:p>
            <w:pPr>
              <w:pStyle w:val="Compact"/>
              <w:jc w:val="left"/>
            </w:pPr>
            <w:r>
              <w:t xml:space="preserve">25</w:t>
            </w:r>
          </w:p>
        </w:tc>
        <w:tc>
          <w:p>
            <w:pPr>
              <w:pStyle w:val="Compact"/>
              <w:jc w:val="left"/>
            </w:pPr>
            <w:r>
              <w:rPr>
                <w:rStyle w:val="VerbatimChar"/>
              </w:rPr>
              <w:t xml:space="preserve">piece_chatsequence-5</w:t>
            </w:r>
            <w:r>
              <w:t xml:space="preserve">,</w:t>
            </w:r>
            <w:r>
              <w:t xml:space="preserve"> </w:t>
            </w:r>
            <w:r>
              <w:rPr>
                <w:rStyle w:val="VerbatimChar"/>
              </w:rPr>
              <w:t xml:space="preserve">piece_chatsequence-9</w:t>
            </w:r>
          </w:p>
        </w:tc>
        <w:tc>
          <w:p>
            <w:pPr>
              <w:pStyle w:val="Compact"/>
              <w:jc w:val="left"/>
            </w:pPr>
            <w:r>
              <w:t xml:space="preserve">à coter</w:t>
            </w:r>
          </w:p>
        </w:tc>
      </w:tr>
      <w:tr>
        <w:tc>
          <w:p>
            <w:pPr>
              <w:pStyle w:val="Compact"/>
              <w:jc w:val="left"/>
            </w:pPr>
            <w:r>
              <w:t xml:space="preserve">26</w:t>
            </w:r>
          </w:p>
        </w:tc>
        <w:tc>
          <w:p>
            <w:pPr>
              <w:pStyle w:val="Compact"/>
              <w:jc w:val="left"/>
            </w:pPr>
            <w:r>
              <w:rPr>
                <w:rStyle w:val="VerbatimChar"/>
              </w:rPr>
              <w:t xml:space="preserve">piece_chatsequence-10</w:t>
            </w:r>
          </w:p>
        </w:tc>
        <w:tc>
          <w:p>
            <w:pPr>
              <w:pStyle w:val="Compact"/>
              <w:jc w:val="left"/>
            </w:pPr>
            <w:r>
              <w:t xml:space="preserve">à coter</w:t>
            </w:r>
          </w:p>
        </w:tc>
      </w:tr>
      <w:tr>
        <w:tc>
          <w:p>
            <w:pPr>
              <w:pStyle w:val="Compact"/>
              <w:jc w:val="left"/>
            </w:pPr>
            <w:r>
              <w:t xml:space="preserve">27</w:t>
            </w:r>
          </w:p>
        </w:tc>
        <w:tc>
          <w:p>
            <w:pPr>
              <w:pStyle w:val="Compact"/>
              <w:jc w:val="left"/>
            </w:pPr>
            <w:r>
              <w:rPr>
                <w:rStyle w:val="VerbatimChar"/>
              </w:rPr>
              <w:t xml:space="preserve">piece_chatsequence-8</w:t>
            </w:r>
          </w:p>
        </w:tc>
        <w:tc>
          <w:p>
            <w:pPr>
              <w:pStyle w:val="Compact"/>
              <w:jc w:val="left"/>
            </w:pPr>
            <w:r>
              <w:t xml:space="preserve">à coter</w:t>
            </w:r>
          </w:p>
        </w:tc>
      </w:tr>
      <w:tr>
        <w:tc>
          <w:p>
            <w:pPr>
              <w:pStyle w:val="Compact"/>
              <w:jc w:val="left"/>
            </w:pPr>
            <w:r>
              <w:t xml:space="preserve">28-32</w:t>
            </w:r>
          </w:p>
        </w:tc>
        <w:tc>
          <w:p>
            <w:pPr>
              <w:pStyle w:val="Compact"/>
              <w:jc w:val="left"/>
            </w:pPr>
            <w:r>
              <w:rPr>
                <w:rStyle w:val="VerbatimChar"/>
              </w:rPr>
              <w:t xml:space="preserve">piece_chatsequence-3</w:t>
            </w:r>
          </w:p>
        </w:tc>
        <w:tc>
          <w:p>
            <w:pPr>
              <w:pStyle w:val="Compact"/>
              <w:jc w:val="left"/>
            </w:pPr>
            <w:r>
              <w:t xml:space="preserve">à coter</w:t>
            </w:r>
          </w:p>
        </w:tc>
      </w:tr>
      <w:tr>
        <w:tc>
          <w:p>
            <w:pPr>
              <w:pStyle w:val="Compact"/>
              <w:jc w:val="left"/>
            </w:pPr>
            <w:r>
              <w:t xml:space="preserve">33-36</w:t>
            </w:r>
          </w:p>
        </w:tc>
        <w:tc>
          <w:p>
            <w:pPr>
              <w:pStyle w:val="Compact"/>
              <w:jc w:val="left"/>
            </w:pPr>
            <w:r>
              <w:rPr>
                <w:rStyle w:val="VerbatimChar"/>
              </w:rPr>
              <w:t xml:space="preserve">piece_chatsequence-3</w:t>
            </w:r>
            <w:r>
              <w:t xml:space="preserve">,</w:t>
            </w:r>
            <w:r>
              <w:t xml:space="preserve"> </w:t>
            </w:r>
            <w:r>
              <w:rPr>
                <w:rStyle w:val="VerbatimChar"/>
              </w:rPr>
              <w:t xml:space="preserve">piece_chatsequence-4</w:t>
            </w:r>
          </w:p>
        </w:tc>
        <w:tc>
          <w:p>
            <w:pPr>
              <w:pStyle w:val="Compact"/>
              <w:jc w:val="left"/>
            </w:pPr>
            <w:r>
              <w:t xml:space="preserve">à coter</w:t>
            </w:r>
          </w:p>
        </w:tc>
      </w:tr>
      <w:tr>
        <w:tc>
          <w:p>
            <w:pPr>
              <w:pStyle w:val="Compact"/>
              <w:jc w:val="left"/>
            </w:pPr>
            <w:r>
              <w:t xml:space="preserve">37</w:t>
            </w:r>
          </w:p>
        </w:tc>
        <w:tc>
          <w:p>
            <w:pPr>
              <w:pStyle w:val="Compact"/>
              <w:jc w:val="left"/>
            </w:pPr>
            <w:r>
              <w:rPr>
                <w:rStyle w:val="VerbatimChar"/>
              </w:rPr>
              <w:t xml:space="preserve">piece_chatsequence-11</w:t>
            </w:r>
          </w:p>
        </w:tc>
        <w:tc>
          <w:p>
            <w:pPr>
              <w:pStyle w:val="Compact"/>
              <w:jc w:val="left"/>
            </w:pPr>
            <w:r>
              <w:t xml:space="preserve">à coter</w:t>
            </w:r>
          </w:p>
        </w:tc>
      </w:tr>
      <w:tr>
        <w:tc>
          <w:p>
            <w:pPr>
              <w:pStyle w:val="Compact"/>
              <w:jc w:val="left"/>
            </w:pPr>
            <w:r>
              <w:t xml:space="preserve">38-42</w:t>
            </w:r>
          </w:p>
        </w:tc>
        <w:tc>
          <w:p>
            <w:pPr>
              <w:pStyle w:val="Compact"/>
              <w:jc w:val="left"/>
            </w:pPr>
            <w:r>
              <w:rPr>
                <w:rStyle w:val="VerbatimChar"/>
              </w:rPr>
              <w:t xml:space="preserve">piece_thread-18_27fev2015</w:t>
            </w:r>
            <w:r>
              <w:t xml:space="preserve"> </w:t>
            </w:r>
            <w:r>
              <w:t xml:space="preserve">; Emails id=22, 167, 171</w:t>
            </w:r>
          </w:p>
        </w:tc>
        <w:tc>
          <w:p>
            <w:pPr>
              <w:pStyle w:val="Compact"/>
              <w:jc w:val="left"/>
            </w:pPr>
            <w:r>
              <w:t xml:space="preserve">à coter</w:t>
            </w:r>
          </w:p>
        </w:tc>
      </w:tr>
      <w:tr>
        <w:tc>
          <w:p>
            <w:pPr>
              <w:pStyle w:val="Compact"/>
              <w:jc w:val="left"/>
            </w:pPr>
            <w:r>
              <w:t xml:space="preserve">43-45</w:t>
            </w:r>
          </w:p>
        </w:tc>
        <w:tc>
          <w:p>
            <w:pPr>
              <w:pStyle w:val="Compact"/>
              <w:jc w:val="left"/>
            </w:pPr>
            <w:r>
              <w:rPr>
                <w:rStyle w:val="VerbatimChar"/>
              </w:rPr>
              <w:t xml:space="preserve">piece_thread-12_email-16.md</w:t>
            </w:r>
            <w:r>
              <w:t xml:space="preserve"> </w:t>
            </w:r>
            <w:r>
              <w:t xml:space="preserve">; Email id=16</w:t>
            </w:r>
          </w:p>
        </w:tc>
        <w:tc>
          <w:p>
            <w:pPr>
              <w:pStyle w:val="Compact"/>
              <w:jc w:val="left"/>
            </w:pPr>
            <w:r>
              <w:t xml:space="preserve">à coter</w:t>
            </w:r>
          </w:p>
        </w:tc>
      </w:tr>
      <w:tr>
        <w:tc>
          <w:p>
            <w:pPr>
              <w:pStyle w:val="Compact"/>
              <w:jc w:val="left"/>
            </w:pPr>
            <w:r>
              <w:t xml:space="preserve">46-48</w:t>
            </w:r>
          </w:p>
        </w:tc>
        <w:tc>
          <w:p>
            <w:pPr>
              <w:pStyle w:val="Compact"/>
              <w:jc w:val="left"/>
            </w:pPr>
            <w:r>
              <w:rPr>
                <w:rStyle w:val="VerbatimChar"/>
              </w:rPr>
              <w:t xml:space="preserve">piece_pdf-1.md</w:t>
            </w:r>
            <w:r>
              <w:t xml:space="preserve"> </w:t>
            </w:r>
            <w:r>
              <w:t xml:space="preserve">;</w:t>
            </w:r>
            <w:r>
              <w:t xml:space="preserve"> </w:t>
            </w:r>
            <w:hyperlink r:id="rId35">
              <w:r>
                <w:rPr>
                  <w:rStyle w:val="Hyperlink"/>
                </w:rPr>
                <w:t xml:space="preserve">axe présence quotidienne</w:t>
              </w:r>
            </w:hyperlink>
            <w:r>
              <w:t xml:space="preserve">, section « Contre-preuve contemporaine transversale »</w:t>
            </w:r>
          </w:p>
        </w:tc>
        <w:tc>
          <w:p>
            <w:pPr>
              <w:pStyle w:val="Compact"/>
              <w:jc w:val="left"/>
            </w:pPr>
            <w:r>
              <w:t xml:space="preserve">disponible ; recevabilité de P-1 à faire trancher</w:t>
            </w:r>
          </w:p>
        </w:tc>
      </w:tr>
    </w:tbl>
    <w:p>
      <w:pPr>
        <w:pStyle w:val="Heading2"/>
      </w:pPr>
      <w:bookmarkStart w:id="36" w:name="prudences-de-rédaction"/>
      <w:r>
        <w:t xml:space="preserve">7. Prudences de rédaction</w:t>
      </w:r>
      <w:bookmarkEnd w:id="36"/>
    </w:p>
    <w:p>
      <w:pPr>
        <w:numPr>
          <w:numId w:val="1012"/>
          <w:ilvl w:val="0"/>
        </w:numPr>
      </w:pPr>
      <w:r>
        <w:t xml:space="preserve">Concéder le départ du 23 février 2015.</w:t>
      </w:r>
    </w:p>
    <w:p>
      <w:pPr>
        <w:numPr>
          <w:numId w:val="1012"/>
          <w:ilvl w:val="0"/>
        </w:numPr>
      </w:pPr>
      <w:r>
        <w:t xml:space="preserve">Concéder l’existence d’une impasse et de difficultés conjugales.</w:t>
      </w:r>
    </w:p>
    <w:p>
      <w:pPr>
        <w:numPr>
          <w:numId w:val="1012"/>
          <w:ilvl w:val="0"/>
        </w:numPr>
      </w:pPr>
      <w:r>
        <w:t xml:space="preserve">Ne pas soutenir que la relation était parfaite ou harmonieuse.</w:t>
      </w:r>
    </w:p>
    <w:p>
      <w:pPr>
        <w:numPr>
          <w:numId w:val="1012"/>
          <w:ilvl w:val="0"/>
        </w:numPr>
      </w:pPr>
      <w:r>
        <w:t xml:space="preserve">Ne pas soutenir que le défendeur assumait 50 % du temps parental.</w:t>
      </w:r>
    </w:p>
    <w:p>
      <w:pPr>
        <w:numPr>
          <w:numId w:val="1012"/>
          <w:ilvl w:val="0"/>
        </w:numPr>
      </w:pPr>
      <w:r>
        <w:t xml:space="preserve">Ne pas transformer les courriels du 27 février 2015 en preuve absolue de la qualité de la relation ; ils sont utiles surtout parce qu’ils contredisent le cadrage judiciaire et proviennent de la demanderesse.</w:t>
      </w:r>
    </w:p>
    <w:p>
      <w:pPr>
        <w:numPr>
          <w:numId w:val="1012"/>
          <w:ilvl w:val="0"/>
        </w:numPr>
      </w:pPr>
      <w:r>
        <w:t xml:space="preserve">Ne pas utiliser les contacts avec la famille paternelle pour reprocher à la demanderesse son retrait après l’infidélité du défendeur ; ce retrait doit être traité comme une conséquence d’une faute concédée.</w:t>
      </w:r>
    </w:p>
    <w:p>
      <w:pPr>
        <w:numPr>
          <w:numId w:val="1012"/>
          <w:ilvl w:val="0"/>
        </w:numPr>
      </w:pPr>
      <w:r>
        <w:t xml:space="preserve">Limiter la portée de la réponse du 11 janvier 2016 au paragraphe 6 et à l’implication auprès d’Alexia.</w:t>
      </w:r>
    </w:p>
    <w:p>
      <w:pPr>
        <w:numPr>
          <w:numId w:val="1012"/>
          <w:ilvl w:val="0"/>
        </w:numPr>
      </w:pPr>
      <w:r>
        <w:rPr>
          <w:b/>
        </w:rPr>
        <w:t xml:space="preserve">P-1 demeure corroborante et conditionnelle</w:t>
      </w:r>
      <w:r>
        <w:t xml:space="preserve"> </w:t>
      </w:r>
      <w:r>
        <w:t xml:space="preserve">: sa recevabilité doit être tranchée. Si elle est exclue, la réfutation du §6 demeure portée par les soins, activités, communications et par la réponse du 11 janvier 2016 ; seule la contre-preuve contemporaine relative au mécanisme de réduction disparaît.</w:t>
      </w:r>
    </w:p>
    <w:p>
      <w:pPr>
        <w:numPr>
          <w:numId w:val="1012"/>
          <w:ilvl w:val="0"/>
        </w:numPr>
      </w:pPr>
      <w:r>
        <w:t xml:space="preserve">Remplacer les références internes par les cotes finales seulement lorsque le bordereau des pièces sera stabilisé.</w:t>
      </w:r>
    </w:p>
    <w:p>
      <w:pPr>
        <w:pStyle w:val="Heading2"/>
      </w:pPr>
      <w:bookmarkStart w:id="37" w:name="Xdc50d5bdab795e05ed657b279449ca8eb9683c8"/>
      <w:r>
        <w:t xml:space="preserve">8. Usage proposé dans la demande introductive</w:t>
      </w:r>
      <w:bookmarkEnd w:id="37"/>
    </w:p>
    <w:p>
      <w:pPr>
        <w:pStyle w:val="FirstParagraph"/>
      </w:pPr>
      <w:r>
        <w:t xml:space="preserve">Le fait 1 sert d’ancrage procédural.</w:t>
      </w:r>
    </w:p>
    <w:p>
      <w:pPr>
        <w:pStyle w:val="BodyText"/>
      </w:pPr>
      <w:r>
        <w:t xml:space="preserve">Les faits 2 et 35-37 permettent de reconnaître le départ et l’existence d’une séparation récente.</w:t>
      </w:r>
    </w:p>
    <w:p>
      <w:pPr>
        <w:pStyle w:val="BodyText"/>
      </w:pPr>
      <w:r>
        <w:t xml:space="preserve">Les faits 3 à 23 alimentent la section sur l’implication parentale du défendeur.</w:t>
      </w:r>
    </w:p>
    <w:p>
      <w:pPr>
        <w:pStyle w:val="BodyText"/>
      </w:pPr>
      <w:r>
        <w:t xml:space="preserve">Les faits 24 à 42 alimentent la section sur la relation et la coordination familiale avant et immédiatement après le départ.</w:t>
      </w:r>
    </w:p>
    <w:p>
      <w:pPr>
        <w:pStyle w:val="BodyText"/>
      </w:pPr>
      <w:r>
        <w:t xml:space="preserve">Les faits 43 à 45 alimentent la section sur la connaissance de la demanderesse et la qualification excessive de l’implication « minimale ».</w:t>
      </w:r>
    </w:p>
    <w:p>
      <w:pPr>
        <w:pStyle w:val="BodyText"/>
      </w:pPr>
      <w:r>
        <w:t xml:space="preserve">Les faits 46 à 48 constituent le moyen transversal tiré de P-1. Ils doivent suivre la preuve directe, non la remplacer : ils montrent que la présence paternelle était traitée en 2013 comme une réalité à réduire, ce qui corrobore la réfutation de l’implication prétendument « minimale ».</w:t>
      </w:r>
    </w:p>
    <w:p>
      <w:pPr>
        <w:pStyle w:val="BodyText"/>
      </w:pPr>
      <w:r>
        <w:t xml:space="preserve">Les inférences de faute procédurale doivent être réservées aux moyens.</w:t>
      </w:r>
    </w:p>
    <w:p>
      <w:pPr>
        <w:pStyle w:val="Heading2"/>
      </w:pPr>
      <w:bookmarkStart w:id="38" w:name="version-procédurale-distillée"/>
      <w:r>
        <w:t xml:space="preserve">9. Version procédurale distillée</w:t>
      </w:r>
      <w:bookmarkEnd w:id="38"/>
    </w:p>
    <w:p>
      <w:pPr>
        <w:pStyle w:val="BlockText"/>
      </w:pPr>
      <w:r>
        <w:t xml:space="preserve">Les références internes ci-dessous servent au travail de rédaction. Elles ne sont pas des cotes finales et devront être remplacées par les cotes de pièces lorsque l’ensemble du dossier sera stabilisé.</w:t>
      </w:r>
    </w:p>
    <w:p>
      <w:pPr>
        <w:pStyle w:val="Heading3"/>
      </w:pPr>
      <w:bookmarkStart w:id="39" w:name="version-courte"/>
      <w:r>
        <w:t xml:space="preserve">Version courte</w:t>
      </w:r>
      <w:bookmarkEnd w:id="39"/>
    </w:p>
    <w:p>
      <w:pPr>
        <w:pStyle w:val="FirstParagraph"/>
      </w:pPr>
      <w:r>
        <w:t xml:space="preserve">Contrairement aux allégations voulant que le défendeur se soit impliqué seulement de façon minimale auprès d’Alexia, laissant toute la responsabilité à la demanderesse et rendant la vie commune impossible depuis la naissance de l’enfant, le défendeur a assumé des soins, transports et activités auprès des enfants sur plusieurs années. Les échanges contemporains des parties démontrent également que la séparation de février 2015 s’inscrivait dans une relation encore marquée par de la coordination familiale, du soutien financier et des gestes d’affection.</w:t>
      </w:r>
    </w:p>
    <w:p>
      <w:pPr>
        <w:pStyle w:val="Heading3"/>
      </w:pPr>
      <w:bookmarkStart w:id="40" w:name="paragraphes-proposés"/>
      <w:r>
        <w:t xml:space="preserve">Paragraphes proposés</w:t>
      </w:r>
      <w:bookmarkEnd w:id="40"/>
    </w:p>
    <w:p>
      <w:pPr>
        <w:numPr>
          <w:numId w:val="1013"/>
          <w:ilvl w:val="0"/>
        </w:numPr>
      </w:pPr>
      <w:r>
        <w:t xml:space="preserve">Le 19 novembre 2015, la demanderesse a allégué que la relation entre les parties était très difficile depuis la naissance d’Alexia, que le défendeur ne s’impliquait que minimalement dans les soins d’Alexia et que la vie commune était devenue impossible (</w:t>
      </w:r>
      <w:r>
        <w:rPr>
          <w:rStyle w:val="VerbatimChar"/>
        </w:rPr>
        <w:t xml:space="preserve">piece_document-1.md</w:t>
      </w:r>
      <w:r>
        <w:t xml:space="preserve">).</w:t>
      </w:r>
    </w:p>
    <w:p>
      <w:pPr>
        <w:numPr>
          <w:numId w:val="1013"/>
          <w:ilvl w:val="0"/>
        </w:numPr>
      </w:pPr>
      <w:r>
        <w:t xml:space="preserve">Le défendeur a quitté la résidence commune le 23 février 2015, ce qui n’est pas contesté.</w:t>
      </w:r>
    </w:p>
    <w:p>
      <w:pPr>
        <w:numPr>
          <w:numId w:val="1013"/>
          <w:ilvl w:val="0"/>
        </w:numPr>
      </w:pPr>
      <w:r>
        <w:t xml:space="preserve">Dès 2010, le défendeur s’occupait d’Alexia, notamment lorsqu’elle était malade, lorsqu’il prenait certaines journées de soins et lorsqu’il communiquait l’horaire de ses activités à sa famille (Emails id=590, 603, 91).</w:t>
      </w:r>
    </w:p>
    <w:p>
      <w:pPr>
        <w:numPr>
          <w:numId w:val="1013"/>
          <w:ilvl w:val="0"/>
        </w:numPr>
      </w:pPr>
      <w:r>
        <w:t xml:space="preserve">Entre mars 2011 et décembre 2014, le défendeur s’est absenté de son travail à plusieurs reprises pour donner des soins aux enfants ou les accompagner à des rendez-vous médicaux, dont plusieurs absences visant Alexia seule (Emails id=42, 45, 47, 51, 53/488, 55, 56, 59, 61, 64, 69, 118).</w:t>
      </w:r>
    </w:p>
    <w:p>
      <w:pPr>
        <w:numPr>
          <w:numId w:val="1013"/>
          <w:ilvl w:val="0"/>
        </w:numPr>
      </w:pPr>
      <w:r>
        <w:t xml:space="preserve">Le défendeur a accompagné Alexia à des activités structurées, notamment la natation, l’AcroGym et le soccer (Events id=62, 136, 150, 239, 263).</w:t>
      </w:r>
    </w:p>
    <w:p>
      <w:pPr>
        <w:numPr>
          <w:numId w:val="1013"/>
          <w:ilvl w:val="0"/>
        </w:numPr>
      </w:pPr>
      <w:r>
        <w:t xml:space="preserve">Entre juin 2013 et mars 2014, le défendeur a emmené Alexia faire de l’escalade à onze reprises (Events id=316 à 326).</w:t>
      </w:r>
    </w:p>
    <w:p>
      <w:pPr>
        <w:numPr>
          <w:numId w:val="1013"/>
          <w:ilvl w:val="0"/>
        </w:numPr>
      </w:pPr>
      <w:r>
        <w:t xml:space="preserve">Pendant certaines soirées où la demanderesse était à ses cours de danse, le défendeur assumait la routine du soir et demeurait à la maison avec les enfants (Events id=46, 52, 274, 278 ; PDFDocument id=59).</w:t>
      </w:r>
    </w:p>
    <w:p>
      <w:pPr>
        <w:numPr>
          <w:numId w:val="1013"/>
          <w:ilvl w:val="0"/>
        </w:numPr>
      </w:pPr>
      <w:r>
        <w:t xml:space="preserve">Le défendeur a participé à la coordination quotidienne de la garderie et de l’école des enfants (Email id=54 ; Events id=213, 214 ; Emails id=369, 29).</w:t>
      </w:r>
    </w:p>
    <w:p>
      <w:pPr>
        <w:numPr>
          <w:numId w:val="1013"/>
          <w:ilvl w:val="0"/>
        </w:numPr>
      </w:pPr>
      <w:r>
        <w:t xml:space="preserve">En août 2014, la demanderesse a reçu du défendeur un prêt de 9 000 $, remboursable par crédit de loyer mensuel (</w:t>
      </w:r>
      <w:r>
        <w:rPr>
          <w:rStyle w:val="VerbatimChar"/>
        </w:rPr>
        <w:t xml:space="preserve">piece_chatsequence-9</w:t>
      </w:r>
      <w:r>
        <w:t xml:space="preserve">,</w:t>
      </w:r>
      <w:r>
        <w:t xml:space="preserve"> </w:t>
      </w:r>
      <w:r>
        <w:rPr>
          <w:rStyle w:val="VerbatimChar"/>
        </w:rPr>
        <w:t xml:space="preserve">piece_chatsequence-5</w:t>
      </w:r>
      <w:r>
        <w:t xml:space="preserve">).</w:t>
      </w:r>
    </w:p>
    <w:p>
      <w:pPr>
        <w:numPr>
          <w:numId w:val="1013"/>
          <w:ilvl w:val="0"/>
        </w:numPr>
      </w:pPr>
      <w:r>
        <w:t xml:space="preserve">En novembre et décembre 2014, les parties se coordonnaient encore pour les besoins des enfants, notamment l’achat de l’habit de neige de Nicolas, une urgence médicale de Nicolas et l’administration de médicaments (</w:t>
      </w:r>
      <w:r>
        <w:rPr>
          <w:rStyle w:val="VerbatimChar"/>
        </w:rPr>
        <w:t xml:space="preserve">piece_chatsequence-3</w:t>
      </w:r>
      <w:r>
        <w:t xml:space="preserve">).</w:t>
      </w:r>
    </w:p>
    <w:p>
      <w:pPr>
        <w:numPr>
          <w:numId w:val="1013"/>
          <w:ilvl w:val="0"/>
        </w:numPr>
      </w:pPr>
      <w:r>
        <w:t xml:space="preserve">Le 2 février 2015, à la suite de l’annonce de son départ prochain, le défendeur a offert à la demanderesse de financer un matelas et des électroménagers (</w:t>
      </w:r>
      <w:r>
        <w:rPr>
          <w:rStyle w:val="VerbatimChar"/>
        </w:rPr>
        <w:t xml:space="preserve">piece_chatsequence-3</w:t>
      </w:r>
      <w:r>
        <w:t xml:space="preserve">).</w:t>
      </w:r>
    </w:p>
    <w:p>
      <w:pPr>
        <w:numPr>
          <w:numId w:val="1013"/>
          <w:ilvl w:val="0"/>
        </w:numPr>
      </w:pPr>
      <w:r>
        <w:t xml:space="preserve">Le 13 février 2015, les parties ont planifié une tradition familiale mensuelle, incluant une sortie à la cabane à sucre prévue pour mars (</w:t>
      </w:r>
      <w:r>
        <w:rPr>
          <w:rStyle w:val="VerbatimChar"/>
        </w:rPr>
        <w:t xml:space="preserve">piece_chatsequence-11</w:t>
      </w:r>
      <w:r>
        <w:t xml:space="preserve">).</w:t>
      </w:r>
    </w:p>
    <w:p>
      <w:pPr>
        <w:numPr>
          <w:numId w:val="1013"/>
          <w:ilvl w:val="0"/>
        </w:numPr>
      </w:pPr>
      <w:r>
        <w:t xml:space="preserve">Le 27 février 2015, la demanderesse a écrit au défendeur qu’ils étaient conjoints de fait jusqu’à la rupture de février 2015, qu’ils ne faisaient pas chambre à part, qu’ils avaient des activités communes, qu’elle ne le considérait pas comme un colocataire, qu’elle l’avait embrassé à quelques reprises et qu’elle espérait qu’ils reviennent de cette impasse (</w:t>
      </w:r>
      <w:r>
        <w:rPr>
          <w:rStyle w:val="VerbatimChar"/>
        </w:rPr>
        <w:t xml:space="preserve">piece_thread-18_27fev2015</w:t>
      </w:r>
      <w:r>
        <w:t xml:space="preserve"> </w:t>
      </w:r>
      <w:r>
        <w:t xml:space="preserve">; Emails id=22, 167, 171).</w:t>
      </w:r>
    </w:p>
    <w:p>
      <w:pPr>
        <w:numPr>
          <w:numId w:val="1013"/>
          <w:ilvl w:val="0"/>
        </w:numPr>
      </w:pPr>
      <w:r>
        <w:t xml:space="preserve">Le 11 janvier 2016, le défendeur a interpellé la demanderesse au sujet de l’allégation voulant qu’il n’ait pas été impliqué auprès d’Alexia lorsqu’il était à la maison (Email id=16).</w:t>
      </w:r>
    </w:p>
    <w:p>
      <w:pPr>
        <w:numPr>
          <w:numId w:val="1013"/>
          <w:ilvl w:val="0"/>
        </w:numPr>
      </w:pPr>
      <w:r>
        <w:t xml:space="preserve">Le même jour, la demanderesse a répondu qu’elle avait demandé à son avocate d’enlever cette partie, car elle ne voulait pas que cela soit écrit comme cela, ajoutant que la question posée portait sur le fait de savoir si le défendeur s’en occupait 50 % du temps (Email id=16).</w:t>
      </w:r>
    </w:p>
    <w:p>
      <w:pPr>
        <w:numPr>
          <w:numId w:val="1013"/>
          <w:ilvl w:val="0"/>
        </w:numPr>
      </w:pPr>
      <w:r>
        <w:t xml:space="preserve">P-1, rédigé en juin 2013, ne décrivait pas un père déjà absent : il proposait de le relocaliser, de limiter ses contacts à des accès sans coucher, de laisser cette réduction devenir une routine mère-enfants, puis d’invoquer la stabilité de cette routine devant le Tribunal (</w:t>
      </w:r>
      <w:r>
        <w:rPr>
          <w:rStyle w:val="VerbatimChar"/>
        </w:rPr>
        <w:t xml:space="preserve">piece_pdf-1.md</w:t>
      </w:r>
      <w:r>
        <w:t xml:space="preserve">).</w:t>
      </w:r>
    </w:p>
    <w:p>
      <w:pPr>
        <w:numPr>
          <w:numId w:val="1013"/>
          <w:ilvl w:val="0"/>
        </w:numPr>
      </w:pPr>
      <w:r>
        <w:t xml:space="preserve">P-1 ne démontre pas à lui seul une répartition égale des responsabilités, mais il corrobore les faits directs : le plan traitait la présence paternelle comme une réalité à réduire, ce qui est difficilement conciliable avec la représentation ultérieure d’un père déjà minimalement impliqué laissant toute la responsabilité à la demanderesse.</w:t>
      </w:r>
    </w:p>
    <w:p>
      <w:pPr>
        <w:pStyle w:val="Heading3"/>
      </w:pPr>
      <w:bookmarkStart w:id="41" w:name="portée-à-réserver-aux-moyens"/>
      <w:r>
        <w:t xml:space="preserve">Portée à réserver aux moyens</w:t>
      </w:r>
      <w:bookmarkEnd w:id="41"/>
    </w:p>
    <w:p>
      <w:pPr>
        <w:pStyle w:val="FirstParagraph"/>
      </w:pPr>
      <w:r>
        <w:t xml:space="preserve">Ces faits permettent de soutenir que les paragraphes 4 à 6 remplacent une réalité nuancée par une qualification plus lourde : une implication parentale réelle devient une implication « minimale », une séparation récente devient l’aboutissement d’une relation « très difficile » depuis la naissance d’Alexia, et une impasse conjugale devient une impossibilité structurelle de vie commune. Cette qualification appartient aux moyens et ne devrait pas être plaidée comme un fait autonome.</w:t>
      </w:r>
    </w:p>
    <w:p>
      <w:r>
        <w:pict>
          <v:rect style="width:0;height:1.5pt" o:hralign="center" o:hrstd="t" o:hr="t"/>
        </w:pict>
      </w:r>
    </w:p>
    <w:p>
      <w:pPr>
        <w:pStyle w:val="Heading1"/>
      </w:pPr>
      <w:bookmarkStart w:id="42" w:name="pont-7-de-la-requête-de-novembre-2015"/>
      <w:r>
        <w:t xml:space="preserve">Pont — §7 de la Requête de novembre 2015</w:t>
      </w:r>
      <w:bookmarkEnd w:id="42"/>
    </w:p>
    <w:p>
      <w:pPr>
        <w:pStyle w:val="Heading2"/>
      </w:pPr>
      <w:bookmarkStart w:id="43" w:name="allégation-visée"/>
      <w:r>
        <w:t xml:space="preserve">1. Allégation visée</w:t>
      </w:r>
      <w:bookmarkEnd w:id="43"/>
    </w:p>
    <w:p>
      <w:pPr>
        <w:pStyle w:val="FirstParagraph"/>
      </w:pPr>
      <w:r>
        <w:t xml:space="preserve">La Requête du 19 novembre 2015 allègue, au paragraphe 7 :</w:t>
      </w:r>
    </w:p>
    <w:p>
      <w:pPr>
        <w:pStyle w:val="BlockText"/>
      </w:pPr>
      <w:r>
        <w:t xml:space="preserve">« En 2011, suite à une infidélité du défendeur, les parties ont vécu séparées pendant un (1) an et ont été en thérapie, à ce moment il est ressorti que le défendeur avait de la difficulté à assumer son rôle de père et s’investir. »</w:t>
      </w:r>
    </w:p>
    <w:p>
      <w:pPr>
        <w:pStyle w:val="FirstParagraph"/>
      </w:pPr>
      <w:r>
        <w:t xml:space="preserve">Quatre sous-allégations, de statut distinct :</w:t>
      </w:r>
      <w:r>
        <w:t xml:space="preserve"> </w:t>
      </w:r>
      <w:r>
        <w:t xml:space="preserve">-</w:t>
      </w:r>
      <w:r>
        <w:t xml:space="preserve"> </w:t>
      </w:r>
      <w:r>
        <w:rPr>
          <w:b/>
        </w:rPr>
        <w:t xml:space="preserve">(A)</w:t>
      </w:r>
      <w:r>
        <w:t xml:space="preserve"> </w:t>
      </w:r>
      <w:r>
        <w:t xml:space="preserve">l’infidélité de 2011 —</w:t>
      </w:r>
      <w:r>
        <w:t xml:space="preserve"> </w:t>
      </w:r>
      <w:r>
        <w:rPr>
          <w:b/>
        </w:rPr>
        <w:t xml:space="preserve">admise</w:t>
      </w:r>
      <w:r>
        <w:t xml:space="preserve"> </w:t>
      </w:r>
      <w:r>
        <w:t xml:space="preserve">;</w:t>
      </w:r>
      <w:r>
        <w:t xml:space="preserve"> </w:t>
      </w:r>
      <w:r>
        <w:t xml:space="preserve">-</w:t>
      </w:r>
      <w:r>
        <w:t xml:space="preserve"> </w:t>
      </w:r>
      <w:r>
        <w:rPr>
          <w:b/>
        </w:rPr>
        <w:t xml:space="preserve">(B)</w:t>
      </w:r>
      <w:r>
        <w:t xml:space="preserve"> </w:t>
      </w:r>
      <w:r>
        <w:t xml:space="preserve">une séparation « d’un (1) an » —</w:t>
      </w:r>
      <w:r>
        <w:t xml:space="preserve"> </w:t>
      </w:r>
      <w:r>
        <w:rPr>
          <w:b/>
        </w:rPr>
        <w:t xml:space="preserve">contredite</w:t>
      </w:r>
      <w:r>
        <w:t xml:space="preserve"> </w:t>
      </w:r>
      <w:r>
        <w:t xml:space="preserve">(résidence distincte d’environ quatre mois) ;</w:t>
      </w:r>
      <w:r>
        <w:t xml:space="preserve"> </w:t>
      </w:r>
      <w:r>
        <w:t xml:space="preserve">-</w:t>
      </w:r>
      <w:r>
        <w:t xml:space="preserve"> </w:t>
      </w:r>
      <w:r>
        <w:rPr>
          <w:b/>
        </w:rPr>
        <w:t xml:space="preserve">(C)</w:t>
      </w:r>
      <w:r>
        <w:t xml:space="preserve"> </w:t>
      </w:r>
      <w:r>
        <w:t xml:space="preserve">une thérapie de couple —</w:t>
      </w:r>
      <w:r>
        <w:t xml:space="preserve"> </w:t>
      </w:r>
      <w:r>
        <w:rPr>
          <w:b/>
        </w:rPr>
        <w:t xml:space="preserve">admise</w:t>
      </w:r>
      <w:r>
        <w:t xml:space="preserve"> </w:t>
      </w:r>
      <w:r>
        <w:t xml:space="preserve">;</w:t>
      </w:r>
      <w:r>
        <w:t xml:space="preserve"> </w:t>
      </w:r>
      <w:r>
        <w:t xml:space="preserve">-</w:t>
      </w:r>
      <w:r>
        <w:t xml:space="preserve"> </w:t>
      </w:r>
      <w:r>
        <w:rPr>
          <w:b/>
        </w:rPr>
        <w:t xml:space="preserve">(D)</w:t>
      </w:r>
      <w:r>
        <w:t xml:space="preserve"> </w:t>
      </w:r>
      <w:r>
        <w:t xml:space="preserve">un constat, attribué au moment de la thérapie, selon lequel le défendeur « avait de la difficulté à assumer son rôle de père » —</w:t>
      </w:r>
      <w:r>
        <w:t xml:space="preserve"> </w:t>
      </w:r>
      <w:r>
        <w:rPr>
          <w:b/>
        </w:rPr>
        <w:t xml:space="preserve">non étayé par aucune pièce et contredit par la conduite documentée de la période même</w:t>
      </w:r>
      <w:r>
        <w:t xml:space="preserve">.</w:t>
      </w:r>
    </w:p>
    <w:p>
      <w:pPr>
        <w:pStyle w:val="Heading2"/>
      </w:pPr>
      <w:bookmarkStart w:id="44" w:name="objectif-de-démonstration-1"/>
      <w:r>
        <w:t xml:space="preserve">2. Objectif de démonstration</w:t>
      </w:r>
      <w:bookmarkEnd w:id="44"/>
    </w:p>
    <w:p>
      <w:pPr>
        <w:pStyle w:val="FirstParagraph"/>
      </w:pPr>
      <w:r>
        <w:t xml:space="preserve">Concéder franchement (A) et (C), contredire (B) par un document objectif de tiers, et établir que le constat (D) n’est</w:t>
      </w:r>
      <w:r>
        <w:t xml:space="preserve"> </w:t>
      </w:r>
      <w:r>
        <w:rPr>
          <w:b/>
        </w:rPr>
        <w:t xml:space="preserve">appuyé par aucune pièce</w:t>
      </w:r>
      <w:r>
        <w:t xml:space="preserve"> </w:t>
      </w:r>
      <w:r>
        <w:t xml:space="preserve">et</w:t>
      </w:r>
      <w:r>
        <w:t xml:space="preserve"> </w:t>
      </w:r>
      <w:r>
        <w:rPr>
          <w:b/>
        </w:rPr>
        <w:t xml:space="preserve">contredit par la conduite documentée</w:t>
      </w:r>
      <w:r>
        <w:t xml:space="preserve"> </w:t>
      </w:r>
      <w:r>
        <w:t xml:space="preserve">de la période visée.</w:t>
      </w:r>
    </w:p>
    <w:p>
      <w:pPr>
        <w:pStyle w:val="BodyText"/>
      </w:pPr>
      <w:r>
        <w:t xml:space="preserve">L’objectif au stade des faits est</w:t>
      </w:r>
      <w:r>
        <w:t xml:space="preserve"> </w:t>
      </w:r>
      <w:r>
        <w:rPr>
          <w:b/>
        </w:rPr>
        <w:t xml:space="preserve">strictement factuel</w:t>
      </w:r>
      <w:r>
        <w:t xml:space="preserve"> </w:t>
      </w:r>
      <w:r>
        <w:t xml:space="preserve">: il n’est pas de plaider que ce constat est juridiquement insuffisant, ni qu’il n’a jamais été mobilisé comme preuve — ces deux volets, plus forts encore, appartiennent aux</w:t>
      </w:r>
      <w:r>
        <w:t xml:space="preserve"> </w:t>
      </w:r>
      <w:r>
        <w:rPr>
          <w:b/>
        </w:rPr>
        <w:t xml:space="preserve">moyens</w:t>
      </w:r>
      <w:r>
        <w:t xml:space="preserve">. Il est de montrer que, sur la période même, la preuve documentaire va en sens inverse, et qu’aucun rapport de professionnel n’est produit.</w:t>
      </w:r>
    </w:p>
    <w:p>
      <w:pPr>
        <w:pStyle w:val="Heading2"/>
      </w:pPr>
      <w:bookmarkStart w:id="45" w:name="force-probatoire-1"/>
      <w:r>
        <w:t xml:space="preserve">3. Force probatoire</w:t>
      </w:r>
      <w:bookmarkEnd w:id="45"/>
    </w:p>
    <w:p>
      <w:pPr>
        <w:pStyle w:val="Compact"/>
        <w:numPr>
          <w:numId w:val="1014"/>
          <w:ilvl w:val="0"/>
        </w:numPr>
      </w:pPr>
      <w:r>
        <w:rPr>
          <w:b/>
        </w:rPr>
        <w:t xml:space="preserve">Très forte</w:t>
      </w:r>
      <w:r>
        <w:t xml:space="preserve"> </w:t>
      </w:r>
      <w:r>
        <w:t xml:space="preserve">pour (B) : la durée « d’un an » est contredite par un</w:t>
      </w:r>
      <w:r>
        <w:t xml:space="preserve"> </w:t>
      </w:r>
      <w:r>
        <w:rPr>
          <w:b/>
        </w:rPr>
        <w:t xml:space="preserve">relevé Hydro-Québec</w:t>
      </w:r>
      <w:r>
        <w:t xml:space="preserve"> </w:t>
      </w:r>
      <w:r>
        <w:t xml:space="preserve">— document objectif d’un tiers institutionnel, indépendant de toute version des parties (résidence distincte du 1er février au 29 mai 2011, soit ≈ 4 mois), corroboré par une reprise de vie commune documentée dès l’été 2011.</w:t>
      </w:r>
    </w:p>
    <w:p>
      <w:pPr>
        <w:pStyle w:val="Compact"/>
        <w:numPr>
          <w:numId w:val="1014"/>
          <w:ilvl w:val="0"/>
        </w:numPr>
      </w:pPr>
      <w:r>
        <w:rPr>
          <w:b/>
        </w:rPr>
        <w:t xml:space="preserve">Forte</w:t>
      </w:r>
      <w:r>
        <w:t xml:space="preserve"> </w:t>
      </w:r>
      <w:r>
        <w:t xml:space="preserve">pour (D) : sur la période, la conduite paternelle est densément documentée (routine du soir, soins médicaux, congés pour enfant malade), et la Requête ne produit</w:t>
      </w:r>
      <w:r>
        <w:t xml:space="preserve"> </w:t>
      </w:r>
      <w:r>
        <w:rPr>
          <w:b/>
        </w:rPr>
        <w:t xml:space="preserve">aucune</w:t>
      </w:r>
      <w:r>
        <w:t xml:space="preserve"> </w:t>
      </w:r>
      <w:r>
        <w:t xml:space="preserve">pièce contemporaine au soutien du constat ; l’inexistence d’appui documentaire est</w:t>
      </w:r>
      <w:r>
        <w:t xml:space="preserve"> </w:t>
      </w:r>
      <w:r>
        <w:rPr>
          <w:b/>
        </w:rPr>
        <w:t xml:space="preserve">vérifiable au dossier</w:t>
      </w:r>
      <w:r>
        <w:t xml:space="preserve">.</w:t>
      </w:r>
    </w:p>
    <w:p>
      <w:pPr>
        <w:pStyle w:val="FirstParagraph"/>
      </w:pPr>
      <w:r>
        <w:t xml:space="preserve">Prudence principale :</w:t>
      </w:r>
      <w:r>
        <w:t xml:space="preserve"> </w:t>
      </w:r>
      <w:r>
        <w:rPr>
          <w:b/>
        </w:rPr>
        <w:t xml:space="preserve">concéder pleinement l’infidélité</w:t>
      </w:r>
      <w:r>
        <w:t xml:space="preserve"> </w:t>
      </w:r>
      <w:r>
        <w:t xml:space="preserve">(ne pas la minimiser ni la recontextualiser) et la thérapie ; ne pas prétendre à un partage parental égal.</w:t>
      </w:r>
    </w:p>
    <w:p>
      <w:pPr>
        <w:pStyle w:val="Heading2"/>
      </w:pPr>
      <w:bookmarkStart w:id="46" w:name="faits-essentiels-plaidables-1"/>
      <w:r>
        <w:t xml:space="preserve">4. Faits essentiels plaidables</w:t>
      </w:r>
      <w:bookmarkEnd w:id="46"/>
    </w:p>
    <w:p>
      <w:pPr>
        <w:pStyle w:val="Heading3"/>
      </w:pPr>
      <w:bookmarkStart w:id="47" w:name="a.-faits-admis"/>
      <w:r>
        <w:t xml:space="preserve">A. Faits admis</w:t>
      </w:r>
      <w:bookmarkEnd w:id="47"/>
    </w:p>
    <w:p>
      <w:pPr>
        <w:pStyle w:val="Compact"/>
        <w:numPr>
          <w:numId w:val="1015"/>
          <w:ilvl w:val="0"/>
        </w:numPr>
      </w:pPr>
      <w:r>
        <w:t xml:space="preserve">Le ou vers le 20 novembre 2010, le défendeur a commis une infidélité, qu’il a admise à la demanderesse quelques jours plus tard.</w:t>
      </w:r>
    </w:p>
    <w:p>
      <w:pPr>
        <w:pStyle w:val="Compact"/>
        <w:numPr>
          <w:numId w:val="1015"/>
          <w:ilvl w:val="0"/>
        </w:numPr>
      </w:pPr>
      <w:r>
        <w:t xml:space="preserve">Le 6 février 2011, le défendeur a quitté la résidence familiale.</w:t>
      </w:r>
    </w:p>
    <w:p>
      <w:pPr>
        <w:pStyle w:val="Compact"/>
        <w:numPr>
          <w:numId w:val="1015"/>
          <w:ilvl w:val="0"/>
        </w:numPr>
      </w:pPr>
      <w:r>
        <w:t xml:space="preserve">De février 2011 à janvier 2012, les parties ont suivi une thérapie de couple, documentée par des factures mensuelles consécutives.</w:t>
      </w:r>
    </w:p>
    <w:p>
      <w:pPr>
        <w:pStyle w:val="Heading3"/>
      </w:pPr>
      <w:bookmarkStart w:id="48" w:name="b.-la-durée-de-la-séparation"/>
      <w:r>
        <w:t xml:space="preserve">B. La durée de la séparation</w:t>
      </w:r>
      <w:bookmarkEnd w:id="48"/>
    </w:p>
    <w:p>
      <w:pPr>
        <w:pStyle w:val="Compact"/>
        <w:numPr>
          <w:numId w:val="1016"/>
          <w:ilvl w:val="0"/>
        </w:numPr>
      </w:pPr>
      <w:r>
        <w:t xml:space="preserve">Du 1er février au 29 mai 2011, le défendeur a été responsable du compte d’électricité d’un logement distinct situé au 311, rue Riverside, à Saint-Lambert, à environ 1,6 km de la résidence familiale.</w:t>
      </w:r>
    </w:p>
    <w:p>
      <w:pPr>
        <w:pStyle w:val="Compact"/>
        <w:numPr>
          <w:numId w:val="1016"/>
          <w:ilvl w:val="0"/>
        </w:numPr>
      </w:pPr>
      <w:r>
        <w:t xml:space="preserve">Durant cette même période, le défendeur est demeuré responsable du compte d’électricité de la résidence familiale du 245, avenue Macaulay.</w:t>
      </w:r>
    </w:p>
    <w:p>
      <w:pPr>
        <w:pStyle w:val="Compact"/>
        <w:numPr>
          <w:numId w:val="1016"/>
          <w:ilvl w:val="0"/>
        </w:numPr>
      </w:pPr>
      <w:r>
        <w:t xml:space="preserve">Le 12 septembre 2011, une amie écrivait au défendeur : « Le retour avec Élise va bien? ».</w:t>
      </w:r>
    </w:p>
    <w:p>
      <w:pPr>
        <w:pStyle w:val="Compact"/>
        <w:numPr>
          <w:numId w:val="1016"/>
          <w:ilvl w:val="0"/>
        </w:numPr>
      </w:pPr>
      <w:r>
        <w:t xml:space="preserve">Du 27 septembre au 3 octobre 2011, le défendeur, la demanderesse, Alexia et les parents de la demanderesse étaient ensemble en voyage à Cuba.</w:t>
      </w:r>
    </w:p>
    <w:p>
      <w:pPr>
        <w:pStyle w:val="Heading3"/>
      </w:pPr>
      <w:bookmarkStart w:id="49" w:name="c.-la-thérapie"/>
      <w:r>
        <w:t xml:space="preserve">C. La thérapie</w:t>
      </w:r>
      <w:bookmarkEnd w:id="49"/>
    </w:p>
    <w:p>
      <w:pPr>
        <w:pStyle w:val="Compact"/>
        <w:numPr>
          <w:numId w:val="1017"/>
          <w:ilvl w:val="0"/>
        </w:numPr>
      </w:pPr>
      <w:r>
        <w:t xml:space="preserve">La thérapie de couple s’est poursuivie après la fin de l’occupation du logement distinct, le 29 mai 2011, et jusqu’en janvier 2012.</w:t>
      </w:r>
    </w:p>
    <w:p>
      <w:pPr>
        <w:pStyle w:val="Heading3"/>
      </w:pPr>
      <w:bookmarkStart w:id="50" w:name="X99088907f9b3624570af510c28929350aec818b"/>
      <w:r>
        <w:t xml:space="preserve">D. La conduite paternelle pendant la période visée</w:t>
      </w:r>
      <w:bookmarkEnd w:id="50"/>
    </w:p>
    <w:p>
      <w:pPr>
        <w:pStyle w:val="Compact"/>
        <w:numPr>
          <w:numId w:val="1018"/>
          <w:ilvl w:val="0"/>
        </w:numPr>
      </w:pPr>
      <w:r>
        <w:t xml:space="preserve">Les 9 et 16 février 2011, le défendeur a assuré la routine du soir d’Alexia pendant que la demanderesse était à ses cours de danse.</w:t>
      </w:r>
    </w:p>
    <w:p>
      <w:pPr>
        <w:pStyle w:val="Compact"/>
        <w:numPr>
          <w:numId w:val="1018"/>
          <w:ilvl w:val="0"/>
        </w:numPr>
      </w:pPr>
      <w:r>
        <w:t xml:space="preserve">Les 8 et 15 mars 2011, le défendeur était à la résidence familiale pour s’occuper d’Alexia pendant les cours de danse de la demanderesse.</w:t>
      </w:r>
    </w:p>
    <w:p>
      <w:pPr>
        <w:pStyle w:val="Compact"/>
        <w:numPr>
          <w:numId w:val="1018"/>
          <w:ilvl w:val="0"/>
        </w:numPr>
      </w:pPr>
      <w:r>
        <w:t xml:space="preserve">Les 2 et 25 mai 2011, le défendeur s’est absenté de son travail pour accompagner Alexia chez le médecin, dont une fois pour ses vaccins.</w:t>
      </w:r>
    </w:p>
    <w:p>
      <w:pPr>
        <w:pStyle w:val="Compact"/>
        <w:numPr>
          <w:numId w:val="1018"/>
          <w:ilvl w:val="0"/>
        </w:numPr>
      </w:pPr>
      <w:r>
        <w:t xml:space="preserve">Le 6 juillet 2011, le défendeur s’est absenté de son travail parce qu’Alexia était malade, à la suite d’une discussion avec la demanderesse.</w:t>
      </w:r>
    </w:p>
    <w:p>
      <w:pPr>
        <w:pStyle w:val="Compact"/>
        <w:numPr>
          <w:numId w:val="1018"/>
          <w:ilvl w:val="0"/>
        </w:numPr>
      </w:pPr>
      <w:r>
        <w:t xml:space="preserve">Entre février 2011 et février 2012, le défendeur s’est absenté de son travail à au moins dix reprises pour s’occuper d’Alexia, par courriels adressés à ses supérieurs à la Banque Nationale du Canada.</w:t>
      </w:r>
    </w:p>
    <w:p>
      <w:pPr>
        <w:pStyle w:val="Compact"/>
        <w:numPr>
          <w:numId w:val="1018"/>
          <w:ilvl w:val="0"/>
        </w:numPr>
      </w:pPr>
      <w:r>
        <w:t xml:space="preserve">Entre février 2011 et février 2012, le défendeur est documenté avec Alexia dans au moins vingt-quatre événements horodatés.</w:t>
      </w:r>
    </w:p>
    <w:p>
      <w:pPr>
        <w:pStyle w:val="Compact"/>
        <w:numPr>
          <w:numId w:val="1018"/>
          <w:ilvl w:val="0"/>
        </w:numPr>
      </w:pPr>
      <w:r>
        <w:t xml:space="preserve">Le 12 septembre 2011, le défendeur écrivait à une amie : « Hyper occupé, autant au travail, qu’avec Alexia le soir et la fin de semaine », ce à quoi cette amie répondait : « C’est bien que tu passes beaucoup de temps avec ta fille, bon papa ».</w:t>
      </w:r>
    </w:p>
    <w:p>
      <w:pPr>
        <w:pStyle w:val="Heading3"/>
      </w:pPr>
      <w:bookmarkStart w:id="51" w:name="X5ebadbc091f514ec31b8827af498f629de6f92d"/>
      <w:r>
        <w:t xml:space="preserve">E. L’absence d’appui documentaire au constat</w:t>
      </w:r>
      <w:bookmarkEnd w:id="51"/>
    </w:p>
    <w:p>
      <w:pPr>
        <w:pStyle w:val="Compact"/>
        <w:numPr>
          <w:numId w:val="1019"/>
          <w:ilvl w:val="0"/>
        </w:numPr>
      </w:pPr>
      <w:r>
        <w:t xml:space="preserve">La Requête du 19 novembre 2015 ne cite aucune pièce contemporaine — rapport de professionnel, évaluation ou courriel d’époque — au soutien de l’énoncé selon lequel le défendeur « avait de la difficulté à assumer son rôle de père ».</w:t>
      </w:r>
    </w:p>
    <w:p>
      <w:pPr>
        <w:pStyle w:val="Compact"/>
        <w:numPr>
          <w:numId w:val="1019"/>
          <w:ilvl w:val="0"/>
        </w:numPr>
      </w:pPr>
      <w:r>
        <w:t xml:space="preserve">Aucun rapport écrit du psychologue ayant accompagné les parties n’est produit au soutien de la Requête.</w:t>
      </w:r>
    </w:p>
    <w:p>
      <w:pPr>
        <w:pStyle w:val="Compact"/>
        <w:numPr>
          <w:numId w:val="1019"/>
          <w:ilvl w:val="0"/>
        </w:numPr>
      </w:pPr>
      <w:r>
        <w:t xml:space="preserve">Le courriel de Me Marie-Josée Ayoub du 11 juin 2013 ne mentionne aucune difficulté du défendeur à assumer son rôle de père.</w:t>
      </w:r>
    </w:p>
    <w:p>
      <w:pPr>
        <w:pStyle w:val="Heading3"/>
      </w:pPr>
      <w:bookmarkStart w:id="52" w:name="f.-les-déclarations-de-la-demanderesse"/>
      <w:r>
        <w:t xml:space="preserve">F. Les déclarations de la demanderesse</w:t>
      </w:r>
      <w:bookmarkEnd w:id="52"/>
    </w:p>
    <w:p>
      <w:pPr>
        <w:pStyle w:val="Compact"/>
        <w:numPr>
          <w:numId w:val="1020"/>
          <w:ilvl w:val="0"/>
        </w:numPr>
      </w:pPr>
      <w:r>
        <w:t xml:space="preserve">Le 11 janvier 2016, trois jours avant l’audition, la demanderesse a écrit au défendeur qu’elle avait demandé à son avocate de retirer le passage alléguant qu’il n’était pas impliqué, et que la question posée portait sur un partage « à 50 % du temps ».</w:t>
      </w:r>
    </w:p>
    <w:p>
      <w:pPr>
        <w:pStyle w:val="Compact"/>
        <w:numPr>
          <w:numId w:val="1020"/>
          <w:ilvl w:val="0"/>
        </w:numPr>
      </w:pPr>
      <w:r>
        <w:t xml:space="preserve">Le 16 septembre 2016, la demanderesse écrivait au défendeur : « Je ne t’ai jamais traité d’incapable je t’ai parlé de leur lien d’attachement ».</w:t>
      </w:r>
    </w:p>
    <w:p>
      <w:pPr>
        <w:pStyle w:val="Heading2"/>
      </w:pPr>
      <w:bookmarkStart w:id="53" w:name="inférences-réservées-aux-moyens-1"/>
      <w:r>
        <w:t xml:space="preserve">5. Inférences réservées aux moyens</w:t>
      </w:r>
      <w:bookmarkEnd w:id="53"/>
    </w:p>
    <w:p>
      <w:pPr>
        <w:pStyle w:val="Compact"/>
        <w:numPr>
          <w:numId w:val="1021"/>
          <w:ilvl w:val="0"/>
        </w:numPr>
      </w:pPr>
      <w:r>
        <w:t xml:space="preserve">La durée « d’un an » est contredite par un document objectif de tiers ; l’écart (≈ 4 mois de résidence distincte, reprise documentée à l’été 2011) permet de soutenir l’inexactitude de cette durée.</w:t>
      </w:r>
    </w:p>
    <w:p>
      <w:pPr>
        <w:pStyle w:val="Compact"/>
        <w:numPr>
          <w:numId w:val="1021"/>
          <w:ilvl w:val="0"/>
        </w:numPr>
      </w:pPr>
      <w:r>
        <w:t xml:space="preserve">La conduite documentée sur la période (routine du soir, soins médicaux, congés répétés, présence hebdomadaire) permet de soutenir que le constat de « difficulté à assumer son rôle de père » ne correspond pas à la réalité observable.</w:t>
      </w:r>
    </w:p>
    <w:p>
      <w:pPr>
        <w:pStyle w:val="Compact"/>
        <w:numPr>
          <w:numId w:val="1021"/>
          <w:ilvl w:val="0"/>
        </w:numPr>
      </w:pPr>
      <w:r>
        <w:t xml:space="preserve">L’absence de tout appui documentaire, et notamment de tout rapport du professionnel auquel le constat est attribué, permet de soutenir que ce constat n’est pas établi.</w:t>
      </w:r>
    </w:p>
    <w:p>
      <w:pPr>
        <w:pStyle w:val="Compact"/>
        <w:numPr>
          <w:numId w:val="1021"/>
          <w:ilvl w:val="0"/>
        </w:numPr>
      </w:pPr>
      <w:r>
        <w:t xml:space="preserve">Le fait que ce constat ne soit jamais mobilisé comme preuve dans les actes subséquents — ni dans le plan du 11 juin 2013, ni dans la lettre du 27 avril 2015 —, alors qu’il constituerait, s’il existait, une preuve indépendante et testable, permet de soutenir qu’il n’a jamais été traité comme une preuve réelle.</w:t>
      </w:r>
    </w:p>
    <w:p>
      <w:pPr>
        <w:pStyle w:val="Compact"/>
        <w:numPr>
          <w:numId w:val="1021"/>
          <w:ilvl w:val="0"/>
        </w:numPr>
      </w:pPr>
      <w:r>
        <w:t xml:space="preserve">L’attribution d’une conclusion clinique à un professionnel sans production de son rapport, et la question de savoir si une « difficulté à s’investir », même établie, suffit à fonder une garde exclusive, sont des</w:t>
      </w:r>
      <w:r>
        <w:t xml:space="preserve"> </w:t>
      </w:r>
      <w:r>
        <w:rPr>
          <w:b/>
        </w:rPr>
        <w:t xml:space="preserve">questions de droit</w:t>
      </w:r>
      <w:r>
        <w:t xml:space="preserve"> </w:t>
      </w:r>
      <w:r>
        <w:t xml:space="preserve">réservées aux moyens.</w:t>
      </w:r>
    </w:p>
    <w:p>
      <w:pPr>
        <w:pStyle w:val="Compact"/>
        <w:numPr>
          <w:numId w:val="1021"/>
          <w:ilvl w:val="0"/>
        </w:numPr>
      </w:pPr>
      <w:r>
        <w:t xml:space="preserve">La qualification de faute, de connaissance de l’inexactitude ou d’abus doit être réservée aux moyens.</w:t>
      </w:r>
    </w:p>
    <w:p>
      <w:pPr>
        <w:pStyle w:val="Heading2"/>
      </w:pPr>
      <w:bookmarkStart w:id="54" w:name="pièces-nécessaires-1"/>
      <w:r>
        <w:t xml:space="preserve">6. Pièces nécessaires</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Pièce ou 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t xml:space="preserve">Emails id=84, 85</w:t>
            </w:r>
          </w:p>
        </w:tc>
        <w:tc>
          <w:p>
            <w:pPr>
              <w:pStyle w:val="Compact"/>
              <w:jc w:val="left"/>
            </w:pPr>
            <w:r>
              <w:t xml:space="preserve">admis / à coter</w:t>
            </w:r>
          </w:p>
        </w:tc>
      </w:tr>
      <w:tr>
        <w:tc>
          <w:p>
            <w:pPr>
              <w:pStyle w:val="Compact"/>
              <w:jc w:val="left"/>
            </w:pPr>
            <w:r>
              <w:t xml:space="preserve">2</w:t>
            </w:r>
          </w:p>
        </w:tc>
        <w:tc>
          <w:p>
            <w:pPr>
              <w:pStyle w:val="Compact"/>
              <w:jc w:val="left"/>
            </w:pPr>
            <w:r>
              <w:t xml:space="preserve">Email id=106 ; situation admise</w:t>
            </w:r>
          </w:p>
        </w:tc>
        <w:tc>
          <w:p>
            <w:pPr>
              <w:pStyle w:val="Compact"/>
              <w:jc w:val="left"/>
            </w:pPr>
            <w:r>
              <w:t xml:space="preserve">à coter</w:t>
            </w:r>
          </w:p>
        </w:tc>
      </w:tr>
      <w:tr>
        <w:tc>
          <w:p>
            <w:pPr>
              <w:pStyle w:val="Compact"/>
              <w:jc w:val="left"/>
            </w:pPr>
            <w:r>
              <w:t xml:space="preserve">3, 8</w:t>
            </w:r>
          </w:p>
        </w:tc>
        <w:tc>
          <w:p>
            <w:pPr>
              <w:pStyle w:val="Compact"/>
              <w:jc w:val="left"/>
            </w:pPr>
            <w:r>
              <w:t xml:space="preserve">Factures Pistorio ; PDFDocuments id=45 à 58</w:t>
            </w:r>
          </w:p>
        </w:tc>
        <w:tc>
          <w:p>
            <w:pPr>
              <w:pStyle w:val="Compact"/>
              <w:jc w:val="left"/>
            </w:pPr>
            <w:r>
              <w:t xml:space="preserve">à coter / en liasse</w:t>
            </w:r>
          </w:p>
        </w:tc>
      </w:tr>
      <w:tr>
        <w:tc>
          <w:p>
            <w:pPr>
              <w:pStyle w:val="Compact"/>
              <w:jc w:val="left"/>
            </w:pPr>
            <w:r>
              <w:t xml:space="preserve">4, 5</w:t>
            </w:r>
          </w:p>
        </w:tc>
        <w:tc>
          <w:p>
            <w:pPr>
              <w:pStyle w:val="Compact"/>
              <w:jc w:val="left"/>
            </w:pPr>
            <w:r>
              <w:t xml:space="preserve">Relevé Hydro-Québec ;</w:t>
            </w:r>
            <w:r>
              <w:t xml:space="preserve"> </w:t>
            </w:r>
            <w:r>
              <w:rPr>
                <w:rStyle w:val="VerbatimChar"/>
              </w:rPr>
              <w:t xml:space="preserve">piece_pdf-35.md</w:t>
            </w:r>
            <w:r>
              <w:t xml:space="preserve"> </w:t>
            </w:r>
            <w:r>
              <w:t xml:space="preserve">; PhotoDocuments id=1, 2</w:t>
            </w:r>
          </w:p>
        </w:tc>
        <w:tc>
          <w:p>
            <w:pPr>
              <w:pStyle w:val="Compact"/>
              <w:jc w:val="left"/>
            </w:pPr>
            <w:r>
              <w:t xml:space="preserve">à coter</w:t>
            </w:r>
          </w:p>
        </w:tc>
      </w:tr>
      <w:tr>
        <w:tc>
          <w:p>
            <w:pPr>
              <w:pStyle w:val="Compact"/>
              <w:jc w:val="left"/>
            </w:pPr>
            <w:r>
              <w:t xml:space="preserve">6</w:t>
            </w:r>
          </w:p>
        </w:tc>
        <w:tc>
          <w:p>
            <w:pPr>
              <w:pStyle w:val="Compact"/>
              <w:jc w:val="left"/>
            </w:pPr>
            <w:r>
              <w:t xml:space="preserve">Email id=383</w:t>
            </w:r>
          </w:p>
        </w:tc>
        <w:tc>
          <w:p>
            <w:pPr>
              <w:pStyle w:val="Compact"/>
              <w:jc w:val="left"/>
            </w:pPr>
            <w:r>
              <w:t xml:space="preserve">à coter</w:t>
            </w:r>
          </w:p>
        </w:tc>
      </w:tr>
      <w:tr>
        <w:tc>
          <w:p>
            <w:pPr>
              <w:pStyle w:val="Compact"/>
              <w:jc w:val="left"/>
            </w:pPr>
            <w:r>
              <w:t xml:space="preserve">7</w:t>
            </w:r>
          </w:p>
        </w:tc>
        <w:tc>
          <w:p>
            <w:pPr>
              <w:pStyle w:val="Compact"/>
              <w:jc w:val="left"/>
            </w:pPr>
            <w:r>
              <w:t xml:space="preserve">Events id=113 à 125</w:t>
            </w:r>
          </w:p>
        </w:tc>
        <w:tc>
          <w:p>
            <w:pPr>
              <w:pStyle w:val="Compact"/>
              <w:jc w:val="left"/>
            </w:pPr>
            <w:r>
              <w:t xml:space="preserve">à coter / en liasse</w:t>
            </w:r>
          </w:p>
        </w:tc>
      </w:tr>
      <w:tr>
        <w:tc>
          <w:p>
            <w:pPr>
              <w:pStyle w:val="Compact"/>
              <w:jc w:val="left"/>
            </w:pPr>
            <w:r>
              <w:t xml:space="preserve">9</w:t>
            </w:r>
          </w:p>
        </w:tc>
        <w:tc>
          <w:p>
            <w:pPr>
              <w:pStyle w:val="Compact"/>
              <w:jc w:val="left"/>
            </w:pPr>
            <w:r>
              <w:t xml:space="preserve">Events id=46, 52</w:t>
            </w:r>
          </w:p>
        </w:tc>
        <w:tc>
          <w:p>
            <w:pPr>
              <w:pStyle w:val="Compact"/>
              <w:jc w:val="left"/>
            </w:pPr>
            <w:r>
              <w:t xml:space="preserve">à coter</w:t>
            </w:r>
          </w:p>
        </w:tc>
      </w:tr>
      <w:tr>
        <w:tc>
          <w:p>
            <w:pPr>
              <w:pStyle w:val="Compact"/>
              <w:jc w:val="left"/>
            </w:pPr>
            <w:r>
              <w:t xml:space="preserve">10</w:t>
            </w:r>
          </w:p>
        </w:tc>
        <w:tc>
          <w:p>
            <w:pPr>
              <w:pStyle w:val="Compact"/>
              <w:jc w:val="left"/>
            </w:pPr>
            <w:r>
              <w:t xml:space="preserve">Emails id=67, 114, 66, 116</w:t>
            </w:r>
          </w:p>
        </w:tc>
        <w:tc>
          <w:p>
            <w:pPr>
              <w:pStyle w:val="Compact"/>
              <w:jc w:val="left"/>
            </w:pPr>
            <w:r>
              <w:t xml:space="preserve">à coter</w:t>
            </w:r>
          </w:p>
        </w:tc>
      </w:tr>
      <w:tr>
        <w:tc>
          <w:p>
            <w:pPr>
              <w:pStyle w:val="Compact"/>
              <w:jc w:val="left"/>
            </w:pPr>
            <w:r>
              <w:t xml:space="preserve">11</w:t>
            </w:r>
          </w:p>
        </w:tc>
        <w:tc>
          <w:p>
            <w:pPr>
              <w:pStyle w:val="Compact"/>
              <w:jc w:val="left"/>
            </w:pPr>
            <w:r>
              <w:t xml:space="preserve">Emails id=64, 61</w:t>
            </w:r>
          </w:p>
        </w:tc>
        <w:tc>
          <w:p>
            <w:pPr>
              <w:pStyle w:val="Compact"/>
              <w:jc w:val="left"/>
            </w:pPr>
            <w:r>
              <w:t xml:space="preserve">à coter</w:t>
            </w:r>
          </w:p>
        </w:tc>
      </w:tr>
      <w:tr>
        <w:tc>
          <w:p>
            <w:pPr>
              <w:pStyle w:val="Compact"/>
              <w:jc w:val="left"/>
            </w:pPr>
            <w:r>
              <w:t xml:space="preserve">12</w:t>
            </w:r>
          </w:p>
        </w:tc>
        <w:tc>
          <w:p>
            <w:pPr>
              <w:pStyle w:val="Compact"/>
              <w:jc w:val="left"/>
            </w:pPr>
            <w:r>
              <w:t xml:space="preserve">Emails id=59, 58</w:t>
            </w:r>
          </w:p>
        </w:tc>
        <w:tc>
          <w:p>
            <w:pPr>
              <w:pStyle w:val="Compact"/>
              <w:jc w:val="left"/>
            </w:pPr>
            <w:r>
              <w:t xml:space="preserve">à coter</w:t>
            </w:r>
          </w:p>
        </w:tc>
      </w:tr>
      <w:tr>
        <w:tc>
          <w:p>
            <w:pPr>
              <w:pStyle w:val="Compact"/>
              <w:jc w:val="left"/>
            </w:pPr>
            <w:r>
              <w:t xml:space="preserve">13</w:t>
            </w:r>
          </w:p>
        </w:tc>
        <w:tc>
          <w:p>
            <w:pPr>
              <w:pStyle w:val="Compact"/>
              <w:jc w:val="left"/>
            </w:pPr>
            <w:r>
              <w:t xml:space="preserve">Courriels employeur BNC (Emails id=51, 53, 55, 56, 59, 61, 64, 68, 69, 118) ; axe absences travail</w:t>
            </w:r>
          </w:p>
        </w:tc>
        <w:tc>
          <w:p>
            <w:pPr>
              <w:pStyle w:val="Compact"/>
              <w:jc w:val="left"/>
            </w:pPr>
            <w:r>
              <w:t xml:space="preserve">à coter / en liasse</w:t>
            </w:r>
          </w:p>
        </w:tc>
      </w:tr>
      <w:tr>
        <w:tc>
          <w:p>
            <w:pPr>
              <w:pStyle w:val="Compact"/>
              <w:jc w:val="left"/>
            </w:pPr>
            <w:r>
              <w:t xml:space="preserve">14</w:t>
            </w:r>
          </w:p>
        </w:tc>
        <w:tc>
          <w:p>
            <w:pPr>
              <w:pStyle w:val="Compact"/>
              <w:jc w:val="left"/>
            </w:pPr>
            <w:r>
              <w:rPr>
                <w:rStyle w:val="VerbatimChar"/>
              </w:rPr>
              <w:t xml:space="preserve">piece_tableau_recap_evenements.md</w:t>
            </w:r>
          </w:p>
        </w:tc>
        <w:tc>
          <w:p>
            <w:pPr>
              <w:pStyle w:val="Compact"/>
              <w:jc w:val="left"/>
            </w:pPr>
            <w:r>
              <w:t xml:space="preserve">à coter / en liasse</w:t>
            </w:r>
          </w:p>
        </w:tc>
      </w:tr>
      <w:tr>
        <w:tc>
          <w:p>
            <w:pPr>
              <w:pStyle w:val="Compact"/>
              <w:jc w:val="left"/>
            </w:pPr>
            <w:r>
              <w:t xml:space="preserve">15</w:t>
            </w:r>
          </w:p>
        </w:tc>
        <w:tc>
          <w:p>
            <w:pPr>
              <w:pStyle w:val="Compact"/>
              <w:jc w:val="left"/>
            </w:pPr>
            <w:r>
              <w:t xml:space="preserve">Emails id=382, 383</w:t>
            </w:r>
          </w:p>
        </w:tc>
        <w:tc>
          <w:p>
            <w:pPr>
              <w:pStyle w:val="Compact"/>
              <w:jc w:val="left"/>
            </w:pPr>
            <w:r>
              <w:t xml:space="preserve">à coter</w:t>
            </w:r>
          </w:p>
        </w:tc>
      </w:tr>
      <w:tr>
        <w:tc>
          <w:p>
            <w:pPr>
              <w:pStyle w:val="Compact"/>
              <w:jc w:val="left"/>
            </w:pPr>
            <w:r>
              <w:t xml:space="preserve">16, 17</w:t>
            </w:r>
          </w:p>
        </w:tc>
        <w:tc>
          <w:p>
            <w:pPr>
              <w:pStyle w:val="Compact"/>
              <w:jc w:val="left"/>
            </w:pPr>
            <w:r>
              <w:t xml:space="preserve">Requête ;</w:t>
            </w:r>
            <w:r>
              <w:t xml:space="preserve"> </w:t>
            </w:r>
            <w:r>
              <w:rPr>
                <w:rStyle w:val="VerbatimChar"/>
              </w:rPr>
              <w:t xml:space="preserve">piece_document-1.md</w:t>
            </w:r>
            <w:r>
              <w:t xml:space="preserve"> </w:t>
            </w:r>
            <w:r>
              <w:t xml:space="preserve">(absence de pièce citée)</w:t>
            </w:r>
          </w:p>
        </w:tc>
        <w:tc>
          <w:p>
            <w:pPr>
              <w:pStyle w:val="Compact"/>
              <w:jc w:val="left"/>
            </w:pPr>
            <w:r>
              <w:t xml:space="preserve">à coter</w:t>
            </w:r>
          </w:p>
        </w:tc>
      </w:tr>
      <w:tr>
        <w:tc>
          <w:p>
            <w:pPr>
              <w:pStyle w:val="Compact"/>
              <w:jc w:val="left"/>
            </w:pPr>
            <w:r>
              <w:t xml:space="preserve">18</w:t>
            </w:r>
          </w:p>
        </w:tc>
        <w:tc>
          <w:p>
            <w:pPr>
              <w:pStyle w:val="Compact"/>
              <w:jc w:val="left"/>
            </w:pPr>
            <w:r>
              <w:t xml:space="preserve">Courriel du 11 juin 2013 ;</w:t>
            </w:r>
            <w:r>
              <w:t xml:space="preserve"> </w:t>
            </w:r>
            <w:r>
              <w:rPr>
                <w:rStyle w:val="VerbatimChar"/>
              </w:rPr>
              <w:t xml:space="preserve">piece_pdf-1.md</w:t>
            </w:r>
          </w:p>
        </w:tc>
        <w:tc>
          <w:p>
            <w:pPr>
              <w:pStyle w:val="Compact"/>
              <w:jc w:val="left"/>
            </w:pPr>
            <w:r>
              <w:t xml:space="preserve">à coter</w:t>
            </w:r>
          </w:p>
        </w:tc>
      </w:tr>
      <w:tr>
        <w:tc>
          <w:p>
            <w:pPr>
              <w:pStyle w:val="Compact"/>
              <w:jc w:val="left"/>
            </w:pPr>
            <w:r>
              <w:t xml:space="preserve">19</w:t>
            </w:r>
          </w:p>
        </w:tc>
        <w:tc>
          <w:p>
            <w:pPr>
              <w:pStyle w:val="Compact"/>
              <w:jc w:val="left"/>
            </w:pPr>
            <w:r>
              <w:t xml:space="preserve">Courriel du 11 janvier 2016 ;</w:t>
            </w:r>
            <w:r>
              <w:t xml:space="preserve"> </w:t>
            </w:r>
            <w:r>
              <w:rPr>
                <w:rStyle w:val="VerbatimChar"/>
              </w:rPr>
              <w:t xml:space="preserve">piece_thread-12_email-16.md</w:t>
            </w:r>
          </w:p>
        </w:tc>
        <w:tc>
          <w:p>
            <w:pPr>
              <w:pStyle w:val="Compact"/>
              <w:jc w:val="left"/>
            </w:pPr>
            <w:r>
              <w:t xml:space="preserve">à coter</w:t>
            </w:r>
          </w:p>
        </w:tc>
      </w:tr>
      <w:tr>
        <w:tc>
          <w:p>
            <w:pPr>
              <w:pStyle w:val="Compact"/>
              <w:jc w:val="left"/>
            </w:pPr>
            <w:r>
              <w:t xml:space="preserve">20</w:t>
            </w:r>
          </w:p>
        </w:tc>
        <w:tc>
          <w:p>
            <w:pPr>
              <w:pStyle w:val="Compact"/>
              <w:jc w:val="left"/>
            </w:pPr>
            <w:r>
              <w:t xml:space="preserve">Courriel du 16 septembre 2016 ; Email id=6</w:t>
            </w:r>
          </w:p>
        </w:tc>
        <w:tc>
          <w:p>
            <w:pPr>
              <w:pStyle w:val="Compact"/>
              <w:jc w:val="left"/>
            </w:pPr>
            <w:r>
              <w:t xml:space="preserve">à coter</w:t>
            </w:r>
          </w:p>
        </w:tc>
      </w:tr>
    </w:tbl>
    <w:p>
      <w:pPr>
        <w:pStyle w:val="Heading2"/>
      </w:pPr>
      <w:bookmarkStart w:id="55" w:name="prudences-de-rédaction-1"/>
      <w:r>
        <w:t xml:space="preserve">7. Prudences de rédaction</w:t>
      </w:r>
      <w:bookmarkEnd w:id="55"/>
    </w:p>
    <w:p>
      <w:pPr>
        <w:pStyle w:val="Compact"/>
        <w:numPr>
          <w:numId w:val="1022"/>
          <w:ilvl w:val="0"/>
        </w:numPr>
      </w:pPr>
      <w:r>
        <w:rPr>
          <w:b/>
        </w:rPr>
        <w:t xml:space="preserve">Concéder pleinement l’infidélité</w:t>
      </w:r>
      <w:r>
        <w:t xml:space="preserve"> </w:t>
      </w:r>
      <w:r>
        <w:t xml:space="preserve">(faits 1-2) : c’est une faute concédée du défendeur ; ne pas la minimiser, la recontextualiser ni la relier à la capacité parentale (ce lien est un moyen, non un fait).</w:t>
      </w:r>
    </w:p>
    <w:p>
      <w:pPr>
        <w:pStyle w:val="Compact"/>
        <w:numPr>
          <w:numId w:val="1022"/>
          <w:ilvl w:val="0"/>
        </w:numPr>
      </w:pPr>
      <w:r>
        <w:rPr>
          <w:b/>
        </w:rPr>
        <w:t xml:space="preserve">Concéder la thérapie</w:t>
      </w:r>
      <w:r>
        <w:t xml:space="preserve"> </w:t>
      </w:r>
      <w:r>
        <w:t xml:space="preserve">(fait 3).</w:t>
      </w:r>
    </w:p>
    <w:p>
      <w:pPr>
        <w:pStyle w:val="Compact"/>
        <w:numPr>
          <w:numId w:val="1022"/>
          <w:ilvl w:val="0"/>
        </w:numPr>
      </w:pPr>
      <w:r>
        <w:t xml:space="preserve">Ne pas plaider une date de « fin » de séparation plus précise que ce que portent les pièces : la démonstration est que la séparation n’a</w:t>
      </w:r>
      <w:r>
        <w:t xml:space="preserve"> </w:t>
      </w:r>
      <w:r>
        <w:rPr>
          <w:b/>
        </w:rPr>
        <w:t xml:space="preserve">pas</w:t>
      </w:r>
      <w:r>
        <w:t xml:space="preserve"> </w:t>
      </w:r>
      <w:r>
        <w:t xml:space="preserve">duré un an, non qu’elle a pris fin tel jour.</w:t>
      </w:r>
    </w:p>
    <w:p>
      <w:pPr>
        <w:pStyle w:val="Compact"/>
        <w:numPr>
          <w:numId w:val="1022"/>
          <w:ilvl w:val="0"/>
        </w:numPr>
      </w:pPr>
      <w:r>
        <w:t xml:space="preserve">Présenter la conduite de la période comme établissant la</w:t>
      </w:r>
      <w:r>
        <w:t xml:space="preserve"> </w:t>
      </w:r>
      <w:r>
        <w:rPr>
          <w:b/>
        </w:rPr>
        <w:t xml:space="preserve">présence et les soins dans chaque instance documentée</w:t>
      </w:r>
      <w:r>
        <w:t xml:space="preserve"> </w:t>
      </w:r>
      <w:r>
        <w:t xml:space="preserve">— non un partage égal (≈ 40-46 % concédé).</w:t>
      </w:r>
    </w:p>
    <w:p>
      <w:pPr>
        <w:pStyle w:val="Compact"/>
        <w:numPr>
          <w:numId w:val="1022"/>
          <w:ilvl w:val="0"/>
        </w:numPr>
      </w:pPr>
      <w:r>
        <w:t xml:space="preserve">Traiter l’absence de rapport du professionnel comme un</w:t>
      </w:r>
      <w:r>
        <w:t xml:space="preserve"> </w:t>
      </w:r>
      <w:r>
        <w:rPr>
          <w:b/>
        </w:rPr>
        <w:t xml:space="preserve">fait</w:t>
      </w:r>
      <w:r>
        <w:t xml:space="preserve"> </w:t>
      </w:r>
      <w:r>
        <w:t xml:space="preserve">(aucune pièce produite) ; la qualification d’ouï-dire et l’insuffisance juridique sont des</w:t>
      </w:r>
      <w:r>
        <w:t xml:space="preserve"> </w:t>
      </w:r>
      <w:r>
        <w:rPr>
          <w:b/>
        </w:rPr>
        <w:t xml:space="preserve">moyens</w:t>
      </w:r>
      <w:r>
        <w:t xml:space="preserve">.</w:t>
      </w:r>
    </w:p>
    <w:p>
      <w:pPr>
        <w:pStyle w:val="Compact"/>
        <w:numPr>
          <w:numId w:val="1022"/>
          <w:ilvl w:val="0"/>
        </w:numPr>
      </w:pPr>
      <w:r>
        <w:t xml:space="preserve">Utiliser le courriel du 11 janvier 2016 comme</w:t>
      </w:r>
      <w:r>
        <w:t xml:space="preserve"> </w:t>
      </w:r>
      <w:r>
        <w:rPr>
          <w:b/>
        </w:rPr>
        <w:t xml:space="preserve">admission confirmative</w:t>
      </w:r>
      <w:r>
        <w:t xml:space="preserve"> </w:t>
      </w:r>
      <w:r>
        <w:t xml:space="preserve">(limitée au retrait de l’allégation de désengagement et à la question du « 50 % »), non comme preuve absolue.</w:t>
      </w:r>
    </w:p>
    <w:p>
      <w:pPr>
        <w:pStyle w:val="Compact"/>
        <w:numPr>
          <w:numId w:val="1022"/>
          <w:ilvl w:val="0"/>
        </w:numPr>
      </w:pPr>
      <w:r>
        <w:t xml:space="preserve">Remplacer les références internes par les cotes finales lorsque le bordereau sera stabilisé.</w:t>
      </w:r>
    </w:p>
    <w:p>
      <w:pPr>
        <w:pStyle w:val="Heading2"/>
      </w:pPr>
      <w:bookmarkStart w:id="56" w:name="Xbb8894a6ba69e4657264b9bb8bf0d0fd7fd703b"/>
      <w:r>
        <w:t xml:space="preserve">8. Usage proposé dans la demande introductive</w:t>
      </w:r>
      <w:bookmarkEnd w:id="56"/>
    </w:p>
    <w:p>
      <w:pPr>
        <w:pStyle w:val="FirstParagraph"/>
      </w:pPr>
      <w:r>
        <w:t xml:space="preserve">Les faits 1 à 3 servent de</w:t>
      </w:r>
      <w:r>
        <w:t xml:space="preserve"> </w:t>
      </w:r>
      <w:r>
        <w:rPr>
          <w:b/>
        </w:rPr>
        <w:t xml:space="preserve">concessions cadrantes</w:t>
      </w:r>
      <w:r>
        <w:t xml:space="preserve"> </w:t>
      </w:r>
      <w:r>
        <w:t xml:space="preserve">(infidélité, départ, thérapie). Les faits 4 à 7 établissent la</w:t>
      </w:r>
      <w:r>
        <w:t xml:space="preserve"> </w:t>
      </w:r>
      <w:r>
        <w:rPr>
          <w:b/>
        </w:rPr>
        <w:t xml:space="preserve">durée réelle</w:t>
      </w:r>
      <w:r>
        <w:t xml:space="preserve"> </w:t>
      </w:r>
      <w:r>
        <w:t xml:space="preserve">de la séparation (≈ 4 mois) et la reprise. Le fait 8 situe la thérapie dans la démarche de réconciliation. Les faits 9 à 15 établissent la</w:t>
      </w:r>
      <w:r>
        <w:t xml:space="preserve"> </w:t>
      </w:r>
      <w:r>
        <w:rPr>
          <w:b/>
        </w:rPr>
        <w:t xml:space="preserve">conduite paternelle de la période même</w:t>
      </w:r>
      <w:r>
        <w:t xml:space="preserve">. Les faits 16 à 18 établissent l’</w:t>
      </w:r>
      <w:r>
        <w:rPr>
          <w:b/>
        </w:rPr>
        <w:t xml:space="preserve">absence d’appui documentaire</w:t>
      </w:r>
      <w:r>
        <w:t xml:space="preserve"> </w:t>
      </w:r>
      <w:r>
        <w:t xml:space="preserve">au constat. Les faits 19 et 20 apportent les</w:t>
      </w:r>
      <w:r>
        <w:t xml:space="preserve"> </w:t>
      </w:r>
      <w:r>
        <w:rPr>
          <w:b/>
        </w:rPr>
        <w:t xml:space="preserve">déclarations de la demanderesse</w:t>
      </w:r>
      <w:r>
        <w:t xml:space="preserve">. L’insuffisance juridique du constat et sa non-mobilisation comme preuve sont réservées aux moyens.</w:t>
      </w:r>
    </w:p>
    <w:p>
      <w:pPr>
        <w:pStyle w:val="Heading2"/>
      </w:pPr>
      <w:bookmarkStart w:id="57" w:name="version-procédurale-distillée-1"/>
      <w:r>
        <w:t xml:space="preserve">9. Version procédurale distillée</w:t>
      </w:r>
      <w:bookmarkEnd w:id="57"/>
    </w:p>
    <w:p>
      <w:pPr>
        <w:pStyle w:val="BlockText"/>
      </w:pPr>
      <w:r>
        <w:t xml:space="preserve">Les références internes ci-dessous seront remplacées par les cotes de pièces lorsque le bordereau sera stabilisé.</w:t>
      </w:r>
    </w:p>
    <w:p>
      <w:pPr>
        <w:pStyle w:val="Heading3"/>
      </w:pPr>
      <w:bookmarkStart w:id="58" w:name="version-courte-1"/>
      <w:r>
        <w:t xml:space="preserve">Version courte</w:t>
      </w:r>
      <w:bookmarkEnd w:id="58"/>
    </w:p>
    <w:p>
      <w:pPr>
        <w:pStyle w:val="FirstParagraph"/>
      </w:pPr>
      <w:r>
        <w:t xml:space="preserve">Le défendeur concède l’infidélité de 2010 et la thérapie de couple qui a suivi. En revanche, la séparation n’a pas duré un an : un relevé d’un tiers institutionnel situe la résidence distincte à environ quatre mois, la vie commune reprenant dès l’été 2011. Quant au constat voulant que le défendeur « avait de la difficulté à assumer son rôle de père », il n’est appuyé par aucune pièce et est contredit par la conduite documentée de la période même — routine du soir, soins médicaux et congés répétés pour un enfant malade.</w:t>
      </w:r>
    </w:p>
    <w:p>
      <w:pPr>
        <w:pStyle w:val="Heading3"/>
      </w:pPr>
      <w:bookmarkStart w:id="59" w:name="paragraphes-proposés-1"/>
      <w:r>
        <w:t xml:space="preserve">Paragraphes proposés</w:t>
      </w:r>
      <w:bookmarkEnd w:id="59"/>
    </w:p>
    <w:p>
      <w:pPr>
        <w:pStyle w:val="Compact"/>
        <w:numPr>
          <w:numId w:val="1023"/>
          <w:ilvl w:val="0"/>
        </w:numPr>
      </w:pPr>
      <w:r>
        <w:t xml:space="preserve">Le défendeur admet l’infidélité survenue en 2010 et le départ de la résidence familiale le 6 février 2011 (Emails id=84, 85, 106).</w:t>
      </w:r>
    </w:p>
    <w:p>
      <w:pPr>
        <w:pStyle w:val="Compact"/>
        <w:numPr>
          <w:numId w:val="1023"/>
          <w:ilvl w:val="0"/>
        </w:numPr>
      </w:pPr>
      <w:r>
        <w:t xml:space="preserve">De février 2011 à janvier 2012, les parties ont suivi une thérapie de couple, documentée par des factures mensuelles consécutives (PDFDocuments id=45 à 58, en liasse).</w:t>
      </w:r>
    </w:p>
    <w:p>
      <w:pPr>
        <w:pStyle w:val="Compact"/>
        <w:numPr>
          <w:numId w:val="1023"/>
          <w:ilvl w:val="0"/>
        </w:numPr>
      </w:pPr>
      <w:r>
        <w:t xml:space="preserve">Contrairement à l’allégation d’une séparation « d’un (1) an », le défendeur a occupé un logement distinct, à environ 1,6 km de la résidence familiale, du 1er février au 29 mai 2011 seulement, tel qu’il appert d’un relevé d’électricité, tout en demeurant responsable du compte de la résidence familiale (</w:t>
      </w:r>
      <w:r>
        <w:rPr>
          <w:rStyle w:val="VerbatimChar"/>
        </w:rPr>
        <w:t xml:space="preserve">piece_pdf-35.md</w:t>
      </w:r>
      <w:r>
        <w:t xml:space="preserve"> </w:t>
      </w:r>
      <w:r>
        <w:t xml:space="preserve">; PhotoDocuments id=1, 2).</w:t>
      </w:r>
    </w:p>
    <w:p>
      <w:pPr>
        <w:pStyle w:val="Compact"/>
        <w:numPr>
          <w:numId w:val="1023"/>
          <w:ilvl w:val="0"/>
        </w:numPr>
      </w:pPr>
      <w:r>
        <w:t xml:space="preserve">La reprise de la vie commune est documentée dès l’été 2011, notamment par un voyage familial à Cuba du 27 septembre au 3 octobre 2011 (Events id=113 à 125).</w:t>
      </w:r>
    </w:p>
    <w:p>
      <w:pPr>
        <w:pStyle w:val="Compact"/>
        <w:numPr>
          <w:numId w:val="1023"/>
          <w:ilvl w:val="0"/>
        </w:numPr>
      </w:pPr>
      <w:r>
        <w:t xml:space="preserve">La thérapie de couple s’est poursuivie après la fin de cette résidence distincte, jusqu’en janvier 2012 (PDFDocuments id=45 à 58).</w:t>
      </w:r>
    </w:p>
    <w:p>
      <w:pPr>
        <w:pStyle w:val="Compact"/>
        <w:numPr>
          <w:numId w:val="1023"/>
          <w:ilvl w:val="0"/>
        </w:numPr>
      </w:pPr>
      <w:r>
        <w:t xml:space="preserve">Pendant la période visée par le paragraphe 7, le défendeur assurait la routine du soir d’Alexia les soirs où la demanderesse était à ses cours de danse (Events id=46, 52).</w:t>
      </w:r>
    </w:p>
    <w:p>
      <w:pPr>
        <w:pStyle w:val="Compact"/>
        <w:numPr>
          <w:numId w:val="1023"/>
          <w:ilvl w:val="0"/>
        </w:numPr>
      </w:pPr>
      <w:r>
        <w:t xml:space="preserve">Au cours de cette même période, le défendeur s’est absenté de son travail à au moins dix reprises pour s’occuper d’Alexia ou l’accompagner à des rendez-vous médicaux, par courriels adressés à ses supérieurs à la Banque Nationale du Canada (Emails id=51, 53, 55, 56, 59, 61, 64, 68, 69, 118, en liasse).</w:t>
      </w:r>
    </w:p>
    <w:p>
      <w:pPr>
        <w:pStyle w:val="Compact"/>
        <w:numPr>
          <w:numId w:val="1023"/>
          <w:ilvl w:val="0"/>
        </w:numPr>
      </w:pPr>
      <w:r>
        <w:t xml:space="preserve">Le 12 septembre 2011, le défendeur écrivait à une amie être « Hyper occupé, autant au travail, qu’avec Alexia le soir et la fin de semaine », cette amie lui répondant : « bon papa » (Emails id=382, 383).</w:t>
      </w:r>
    </w:p>
    <w:p>
      <w:pPr>
        <w:pStyle w:val="Compact"/>
        <w:numPr>
          <w:numId w:val="1023"/>
          <w:ilvl w:val="0"/>
        </w:numPr>
      </w:pPr>
      <w:r>
        <w:t xml:space="preserve">La Requête ne cite aucune pièce contemporaine, ni aucun rapport du professionnel ayant accompagné les parties, au soutien du constat selon lequel le défendeur « avait de la difficulté à assumer son rôle de père » (</w:t>
      </w:r>
      <w:r>
        <w:rPr>
          <w:rStyle w:val="VerbatimChar"/>
        </w:rPr>
        <w:t xml:space="preserve">piece_document-1.md</w:t>
      </w:r>
      <w:r>
        <w:t xml:space="preserve">).</w:t>
      </w:r>
    </w:p>
    <w:p>
      <w:pPr>
        <w:pStyle w:val="Compact"/>
        <w:numPr>
          <w:numId w:val="1023"/>
          <w:ilvl w:val="0"/>
        </w:numPr>
      </w:pPr>
      <w:r>
        <w:t xml:space="preserve">Le 11 janvier 2016, trois jours avant l’audition, la demanderesse a écrit au défendeur qu’elle avait demandé à son avocate de retirer le passage alléguant qu’il n’était pas impliqué, précisant que la question portait sur un partage « à 50 % » du temps (</w:t>
      </w:r>
      <w:r>
        <w:rPr>
          <w:rStyle w:val="VerbatimChar"/>
        </w:rPr>
        <w:t xml:space="preserve">piece_thread-12_email-16.md</w:t>
      </w:r>
      <w:r>
        <w:t xml:space="preserve">).</w:t>
      </w:r>
    </w:p>
    <w:p>
      <w:pPr>
        <w:pStyle w:val="Heading3"/>
      </w:pPr>
      <w:bookmarkStart w:id="60" w:name="portée-à-réserver-aux-moyens-1"/>
      <w:r>
        <w:t xml:space="preserve">Portée à réserver aux moyens</w:t>
      </w:r>
      <w:bookmarkEnd w:id="60"/>
    </w:p>
    <w:p>
      <w:pPr>
        <w:pStyle w:val="FirstParagraph"/>
      </w:pPr>
      <w:r>
        <w:t xml:space="preserve">Ces faits permettent de soutenir que le paragraphe 7 présente une durée de séparation inexacte et attribue à un professionnel un constat qu’aucune pièce n’appuie et que la conduite documentée contredit. Que ce constat n’ait jamais été mobilisé comme preuve dans les actes subséquents, qu’il constitue un ouï-dire en l’absence du rapport du professionnel, et qu’il serait de toute façon juridiquement insuffisant pour fonder une garde exclusive, sont des questions réservées aux moyens.</w:t>
      </w:r>
    </w:p>
    <w:p>
      <w:r>
        <w:pict>
          <v:rect style="width:0;height:1.5pt" o:hralign="center" o:hrstd="t" o:hr="t"/>
        </w:pict>
      </w:r>
    </w:p>
    <w:p>
      <w:pPr>
        <w:pStyle w:val="Heading1"/>
      </w:pPr>
      <w:bookmarkStart w:id="61" w:name="pont-9-de-la-requête-de-novembre-2015"/>
      <w:r>
        <w:t xml:space="preserve">Pont — §9 de la Requête de novembre 2015</w:t>
      </w:r>
      <w:bookmarkEnd w:id="61"/>
    </w:p>
    <w:p>
      <w:pPr>
        <w:pStyle w:val="Heading2"/>
      </w:pPr>
      <w:bookmarkStart w:id="62" w:name="allégation-visée-1"/>
      <w:r>
        <w:t xml:space="preserve">1. Allégation visée</w:t>
      </w:r>
      <w:bookmarkEnd w:id="62"/>
    </w:p>
    <w:p>
      <w:pPr>
        <w:pStyle w:val="FirstParagraph"/>
      </w:pPr>
      <w:r>
        <w:t xml:space="preserve">La Requête du 19 novembre 2015 allègue, au paragraphe 9 :</w:t>
      </w:r>
    </w:p>
    <w:p>
      <w:pPr>
        <w:pStyle w:val="BlockText"/>
      </w:pPr>
      <w:r>
        <w:t xml:space="preserve">« En 2013, le défendeur est parti tout l’été et a laissé la demanderesse seule avec les deux (2) enfants. »</w:t>
      </w:r>
    </w:p>
    <w:p>
      <w:pPr>
        <w:pStyle w:val="FirstParagraph"/>
      </w:pPr>
      <w:r>
        <w:t xml:space="preserve">Cette allégation comporte quatre propositions factuelles distinctes :</w:t>
      </w:r>
    </w:p>
    <w:p>
      <w:pPr>
        <w:pStyle w:val="Compact"/>
        <w:numPr>
          <w:numId w:val="1024"/>
          <w:ilvl w:val="0"/>
        </w:numPr>
      </w:pPr>
      <w:r>
        <w:t xml:space="preserve">le défendeur serait parti ;</w:t>
      </w:r>
    </w:p>
    <w:p>
      <w:pPr>
        <w:pStyle w:val="Compact"/>
        <w:numPr>
          <w:numId w:val="1024"/>
          <w:ilvl w:val="0"/>
        </w:numPr>
      </w:pPr>
      <w:r>
        <w:t xml:space="preserve">ce départ aurait duré tout l’été ;</w:t>
      </w:r>
    </w:p>
    <w:p>
      <w:pPr>
        <w:pStyle w:val="Compact"/>
        <w:numPr>
          <w:numId w:val="1024"/>
          <w:ilvl w:val="0"/>
        </w:numPr>
      </w:pPr>
      <w:r>
        <w:t xml:space="preserve">la demanderesse aurait été laissée seule ;</w:t>
      </w:r>
    </w:p>
    <w:p>
      <w:pPr>
        <w:pStyle w:val="Compact"/>
        <w:numPr>
          <w:numId w:val="1024"/>
          <w:ilvl w:val="0"/>
        </w:numPr>
      </w:pPr>
      <w:r>
        <w:t xml:space="preserve">elle aurait été seule avec les deux enfants.</w:t>
      </w:r>
    </w:p>
    <w:p>
      <w:pPr>
        <w:pStyle w:val="Heading2"/>
      </w:pPr>
      <w:bookmarkStart w:id="63" w:name="objectif-de-démonstration-2"/>
      <w:r>
        <w:t xml:space="preserve">2. Objectif de démonstration</w:t>
      </w:r>
      <w:bookmarkEnd w:id="63"/>
    </w:p>
    <w:p>
      <w:pPr>
        <w:pStyle w:val="FirstParagraph"/>
      </w:pPr>
      <w:r>
        <w:t xml:space="preserve">Ce bloc doit établir que l’allégation d’un départ pendant « tout l’été » ne correspond pas à la réalité documentaire disponible.</w:t>
      </w:r>
    </w:p>
    <w:p>
      <w:pPr>
        <w:pStyle w:val="BodyText"/>
      </w:pPr>
      <w:r>
        <w:t xml:space="preserve">L’objectif n’est pas de plaider toute la preuve de l’été 2013, mais de faire ressortir les faits essentiels suivants :</w:t>
      </w:r>
    </w:p>
    <w:p>
      <w:pPr>
        <w:pStyle w:val="Compact"/>
        <w:numPr>
          <w:numId w:val="1025"/>
          <w:ilvl w:val="0"/>
        </w:numPr>
      </w:pPr>
      <w:r>
        <w:t xml:space="preserve">le défendeur était documenté avec les enfants à plusieurs reprises pendant l’été 2013 ;</w:t>
      </w:r>
    </w:p>
    <w:p>
      <w:pPr>
        <w:pStyle w:val="Compact"/>
        <w:numPr>
          <w:numId w:val="1025"/>
          <w:ilvl w:val="0"/>
        </w:numPr>
      </w:pPr>
      <w:r>
        <w:t xml:space="preserve">la famille a participé à plusieurs sorties communes pendant cette même période ;</w:t>
      </w:r>
    </w:p>
    <w:p>
      <w:pPr>
        <w:pStyle w:val="Compact"/>
        <w:numPr>
          <w:numId w:val="1025"/>
          <w:ilvl w:val="0"/>
        </w:numPr>
      </w:pPr>
      <w:r>
        <w:t xml:space="preserve">le défendeur assumait aussi une présence parentale structurée lorsque la demanderesse était occupée par le soccer d’Alexia ;</w:t>
      </w:r>
    </w:p>
    <w:p>
      <w:pPr>
        <w:pStyle w:val="Compact"/>
        <w:numPr>
          <w:numId w:val="1025"/>
          <w:ilvl w:val="0"/>
        </w:numPr>
      </w:pPr>
      <w:r>
        <w:t xml:space="preserve">le défendeur effectuait seul avec Alexia des activités récurrentes, notamment l’escalade ;</w:t>
      </w:r>
    </w:p>
    <w:p>
      <w:pPr>
        <w:pStyle w:val="Compact"/>
        <w:numPr>
          <w:numId w:val="1025"/>
          <w:ilvl w:val="0"/>
        </w:numPr>
      </w:pPr>
      <w:r>
        <w:t xml:space="preserve">le défendeur a lui-même écrit, au moment des faits, qu’il voyait les enfants tous les jours et soupait à la maison ;</w:t>
      </w:r>
    </w:p>
    <w:p>
      <w:pPr>
        <w:pStyle w:val="Compact"/>
        <w:numPr>
          <w:numId w:val="1025"/>
          <w:ilvl w:val="0"/>
        </w:numPr>
      </w:pPr>
      <w:r>
        <w:t xml:space="preserve">l’absence invoquée était, au plus, une absence nocturne temporaire ;</w:t>
      </w:r>
    </w:p>
    <w:p>
      <w:pPr>
        <w:pStyle w:val="Compact"/>
        <w:numPr>
          <w:numId w:val="1025"/>
          <w:ilvl w:val="0"/>
        </w:numPr>
      </w:pPr>
      <w:r>
        <w:t xml:space="preserve">la demanderesse a elle-même posé des gestes incompatibles avec la présentation d’un abandon estival complet.</w:t>
      </w:r>
    </w:p>
    <w:p>
      <w:pPr>
        <w:pStyle w:val="Heading2"/>
      </w:pPr>
      <w:bookmarkStart w:id="64" w:name="force-probatoire-2"/>
      <w:r>
        <w:t xml:space="preserve">3. Force probatoire</w:t>
      </w:r>
      <w:bookmarkEnd w:id="64"/>
    </w:p>
    <w:p>
      <w:pPr>
        <w:pStyle w:val="FirstParagraph"/>
      </w:pPr>
      <w:r>
        <w:rPr>
          <w:b/>
        </w:rPr>
        <w:t xml:space="preserve">Très forte</w:t>
      </w:r>
      <w:r>
        <w:t xml:space="preserve">, sous réserve de la finalisation des cotes P.</w:t>
      </w:r>
    </w:p>
    <w:p>
      <w:pPr>
        <w:pStyle w:val="BodyText"/>
      </w:pPr>
      <w:r>
        <w:t xml:space="preserve">La force du bloc repose sur trois catégories de preuve qui se recoupent :</w:t>
      </w:r>
    </w:p>
    <w:p>
      <w:pPr>
        <w:pStyle w:val="Compact"/>
        <w:numPr>
          <w:numId w:val="1026"/>
          <w:ilvl w:val="0"/>
        </w:numPr>
      </w:pPr>
      <w:r>
        <w:t xml:space="preserve">un volume important de photographies et d’événements horodatés couvrant l’été 2013 ;</w:t>
      </w:r>
    </w:p>
    <w:p>
      <w:pPr>
        <w:pStyle w:val="Compact"/>
        <w:numPr>
          <w:numId w:val="1026"/>
          <w:ilvl w:val="0"/>
        </w:numPr>
      </w:pPr>
      <w:r>
        <w:t xml:space="preserve">un courriel contemporain privé du défendeur décrivant sa présence quotidienne auprès des enfants ;</w:t>
      </w:r>
    </w:p>
    <w:p>
      <w:pPr>
        <w:pStyle w:val="Compact"/>
        <w:numPr>
          <w:numId w:val="1026"/>
          <w:ilvl w:val="0"/>
        </w:numPr>
      </w:pPr>
      <w:r>
        <w:t xml:space="preserve">des activités récurrentes père-enfant, particulièrement l’escalade avec Alexia, corroborée par Allez Up ;</w:t>
      </w:r>
    </w:p>
    <w:p>
      <w:pPr>
        <w:pStyle w:val="Compact"/>
        <w:numPr>
          <w:numId w:val="1026"/>
          <w:ilvl w:val="0"/>
        </w:numPr>
      </w:pPr>
      <w:r>
        <w:t xml:space="preserve">la période de soccer d’Alexia, appuyée par les événements de début et de fin de saison et par les documents d’horaire disponibles, qui situe la demanderesse dans une activité organisée et le défendeur dans la prise en charge de Nicolas ;</w:t>
      </w:r>
    </w:p>
    <w:p>
      <w:pPr>
        <w:pStyle w:val="Compact"/>
        <w:numPr>
          <w:numId w:val="1026"/>
          <w:ilvl w:val="0"/>
        </w:numPr>
      </w:pPr>
      <w:r>
        <w:t xml:space="preserve">des gestes contemporains de la demanderesse, dont l’organisation d’une fête-surprise et la proposition d’un voyage familial.</w:t>
      </w:r>
    </w:p>
    <w:p>
      <w:pPr>
        <w:pStyle w:val="FirstParagraph"/>
      </w:pPr>
      <w:r>
        <w:t xml:space="preserve">Le bloc doit toutefois être rédigé avec prudence, car une absence réelle existe au début de la période. Cette absence doit être concédée et distinguée de l’allégation plus large d’un départ pendant tout l’été.</w:t>
      </w:r>
    </w:p>
    <w:p>
      <w:pPr>
        <w:pStyle w:val="Heading2"/>
      </w:pPr>
      <w:bookmarkStart w:id="65" w:name="faits-essentiels-plaidables-2"/>
      <w:r>
        <w:t xml:space="preserve">4. Faits essentiels plaidables</w:t>
      </w:r>
      <w:bookmarkEnd w:id="65"/>
    </w:p>
    <w:p>
      <w:pPr>
        <w:numPr>
          <w:numId w:val="1027"/>
          <w:ilvl w:val="0"/>
        </w:numPr>
      </w:pPr>
      <w:r>
        <w:t xml:space="preserve">Le 19 novembre 2015, la demanderesse a allégué que le défendeur était parti tout l’été 2013 et l’avait laissée seule avec les deux enfants.</w:t>
      </w:r>
    </w:p>
    <w:p>
      <w:pPr>
        <w:numPr>
          <w:numId w:val="1027"/>
          <w:ilvl w:val="0"/>
        </w:numPr>
      </w:pPr>
      <w:r>
        <w:t xml:space="preserve">Nicolas est né le 1er février 2013.</w:t>
      </w:r>
    </w:p>
    <w:p>
      <w:pPr>
        <w:numPr>
          <w:numId w:val="1027"/>
          <w:ilvl w:val="0"/>
        </w:numPr>
      </w:pPr>
      <w:r>
        <w:t xml:space="preserve">Le sous-sol de la résidence avait été démoli en 2012 à la suite d’une inondation et n’avait pas été reconstruit.</w:t>
      </w:r>
    </w:p>
    <w:p>
      <w:pPr>
        <w:numPr>
          <w:numId w:val="1027"/>
          <w:ilvl w:val="0"/>
        </w:numPr>
      </w:pPr>
      <w:r>
        <w:t xml:space="preserve">Du 28 mai au 24 août 2013, Alexia a participé à la saison de soccer de Saint-Lambert, selon les événements documentant le début de la saison et la remise des médailles.</w:t>
      </w:r>
    </w:p>
    <w:p>
      <w:pPr>
        <w:numPr>
          <w:numId w:val="1027"/>
          <w:ilvl w:val="0"/>
        </w:numPr>
      </w:pPr>
      <w:r>
        <w:t xml:space="preserve">Pendant l’été 2013, la demanderesse agissait comme entraîneuse de l’équipe de soccer d’Alexia.</w:t>
      </w:r>
    </w:p>
    <w:p>
      <w:pPr>
        <w:numPr>
          <w:numId w:val="1027"/>
          <w:ilvl w:val="0"/>
        </w:numPr>
      </w:pPr>
      <w:r>
        <w:t xml:space="preserve">Durant les ateliers de soccer d’Alexia, le défendeur s’occupait des soins de Nicolas.</w:t>
      </w:r>
    </w:p>
    <w:p>
      <w:pPr>
        <w:numPr>
          <w:numId w:val="1027"/>
          <w:ilvl w:val="0"/>
        </w:numPr>
      </w:pPr>
      <w:r>
        <w:t xml:space="preserve">Entre le 1er juin et le 30 septembre 2013, le défendeur est documenté avec l’un ou l’autre des enfants à au moins trente occasions.</w:t>
      </w:r>
    </w:p>
    <w:p>
      <w:pPr>
        <w:numPr>
          <w:numId w:val="1027"/>
          <w:ilvl w:val="0"/>
        </w:numPr>
      </w:pPr>
      <w:r>
        <w:t xml:space="preserve">Les 16 et 17 juin 2013, le défendeur était en voyage à Cape Cod avec ses parents et sa fratrie, sans les enfants.</w:t>
      </w:r>
    </w:p>
    <w:p>
      <w:pPr>
        <w:numPr>
          <w:numId w:val="1027"/>
          <w:ilvl w:val="0"/>
        </w:numPr>
      </w:pPr>
      <w:r>
        <w:t xml:space="preserve">Le 27 juin 2013, le défendeur écrivait à son supérieur qu’il n’avait pas vu ses enfants depuis deux semaines.</w:t>
      </w:r>
    </w:p>
    <w:p>
      <w:pPr>
        <w:numPr>
          <w:numId w:val="1027"/>
          <w:ilvl w:val="0"/>
        </w:numPr>
      </w:pPr>
      <w:r>
        <w:t xml:space="preserve">Le 27 juin 2013, le défendeur a fait de l’escalade avec Alexia.</w:t>
      </w:r>
    </w:p>
    <w:p>
      <w:pPr>
        <w:numPr>
          <w:numId w:val="1027"/>
          <w:ilvl w:val="0"/>
        </w:numPr>
      </w:pPr>
      <w:r>
        <w:t xml:space="preserve">Le 1er juillet 2013, le défendeur, la demanderesse et les enfants étaient ensemble au Festival de Jazz de Montréal.</w:t>
      </w:r>
    </w:p>
    <w:p>
      <w:pPr>
        <w:numPr>
          <w:numId w:val="1027"/>
          <w:ilvl w:val="0"/>
        </w:numPr>
      </w:pPr>
      <w:r>
        <w:t xml:space="preserve">Le 4 juillet 2013, le défendeur, la demanderesse et les enfants étaient ensemble aux glissades d’eau de Bromont.</w:t>
      </w:r>
    </w:p>
    <w:p>
      <w:pPr>
        <w:numPr>
          <w:numId w:val="1027"/>
          <w:ilvl w:val="0"/>
        </w:numPr>
      </w:pPr>
      <w:r>
        <w:t xml:space="preserve">Le 7 juillet 2013, le défendeur a fait de l’escalade avec Alexia.</w:t>
      </w:r>
    </w:p>
    <w:p>
      <w:pPr>
        <w:numPr>
          <w:numId w:val="1027"/>
          <w:ilvl w:val="0"/>
        </w:numPr>
      </w:pPr>
      <w:r>
        <w:t xml:space="preserve">Le 13 juillet 2013, le défendeur était avec Alexia sur le voilier des grands-parents.</w:t>
      </w:r>
    </w:p>
    <w:p>
      <w:pPr>
        <w:numPr>
          <w:numId w:val="1027"/>
          <w:ilvl w:val="0"/>
        </w:numPr>
      </w:pPr>
      <w:r>
        <w:t xml:space="preserve">Le 14 juillet 2013, le défendeur, la demanderesse et les enfants étaient ensemble à l’anniversaire de Sandrine.</w:t>
      </w:r>
    </w:p>
    <w:p>
      <w:pPr>
        <w:numPr>
          <w:numId w:val="1027"/>
          <w:ilvl w:val="0"/>
        </w:numPr>
      </w:pPr>
      <w:r>
        <w:t xml:space="preserve">Les 14 et 15 juillet 2013, la demanderesse a entrepris l’organisation d’une fête d’anniversaire-surprise pour le défendeur.</w:t>
      </w:r>
    </w:p>
    <w:p>
      <w:pPr>
        <w:numPr>
          <w:numId w:val="1027"/>
          <w:ilvl w:val="0"/>
        </w:numPr>
      </w:pPr>
      <w:r>
        <w:t xml:space="preserve">Le 19 juillet 2013, le défendeur écrivait à une amie qu’il voyait les enfants tous les jours, soupait à la maison avec la demanderesse et couchait chez ses parents depuis environ un mois.</w:t>
      </w:r>
    </w:p>
    <w:p>
      <w:pPr>
        <w:numPr>
          <w:numId w:val="1027"/>
          <w:ilvl w:val="0"/>
        </w:numPr>
      </w:pPr>
      <w:r>
        <w:t xml:space="preserve">Le 19 juillet 2013, le défendeur écrivait que son séjour chez ses parents était temporaire et qu’il prévoyait probablement réintégrer la résidence familiale dans les semaines suivantes.</w:t>
      </w:r>
    </w:p>
    <w:p>
      <w:pPr>
        <w:numPr>
          <w:numId w:val="1027"/>
          <w:ilvl w:val="0"/>
        </w:numPr>
      </w:pPr>
      <w:r>
        <w:t xml:space="preserve">Le 19 juillet 2013, le défendeur expliquait qu’il ne pouvait pas dormir au sous-sol de la résidence parce qu’il n’y avait plus de sous-sol.</w:t>
      </w:r>
    </w:p>
    <w:p>
      <w:pPr>
        <w:numPr>
          <w:numId w:val="1027"/>
          <w:ilvl w:val="0"/>
        </w:numPr>
      </w:pPr>
      <w:r>
        <w:t xml:space="preserve">Dans le fil du 29 au 30 juillet 2013, la mère du défendeur s’attendait à ce qu’il passe le lendemain avec Nicolas, et le défendeur répondait qu’il n’y avait pas de soccer ce jour-là.</w:t>
      </w:r>
    </w:p>
    <w:p>
      <w:pPr>
        <w:numPr>
          <w:numId w:val="1027"/>
          <w:ilvl w:val="0"/>
        </w:numPr>
      </w:pPr>
      <w:r>
        <w:t xml:space="preserve">Du 11 au 16 août 2013, le défendeur était en voyage à Cape Cod avec Alexia et Nicolas.</w:t>
      </w:r>
    </w:p>
    <w:p>
      <w:pPr>
        <w:numPr>
          <w:numId w:val="1027"/>
          <w:ilvl w:val="0"/>
        </w:numPr>
      </w:pPr>
      <w:r>
        <w:t xml:space="preserve">Le 18 août 2013, le défendeur a fait de l’escalade avec Alexia.</w:t>
      </w:r>
    </w:p>
    <w:p>
      <w:pPr>
        <w:numPr>
          <w:numId w:val="1027"/>
          <w:ilvl w:val="0"/>
        </w:numPr>
      </w:pPr>
      <w:r>
        <w:t xml:space="preserve">Le 21 août 2013, le défendeur était avec Alexia au Village du Père Noël.</w:t>
      </w:r>
    </w:p>
    <w:p>
      <w:pPr>
        <w:numPr>
          <w:numId w:val="1027"/>
          <w:ilvl w:val="0"/>
        </w:numPr>
      </w:pPr>
      <w:r>
        <w:t xml:space="preserve">Le 23 août 2013, le défendeur, la demanderesse et les enfants étaient ensemble à la ferme.</w:t>
      </w:r>
    </w:p>
    <w:p>
      <w:pPr>
        <w:numPr>
          <w:numId w:val="1027"/>
          <w:ilvl w:val="0"/>
        </w:numPr>
      </w:pPr>
      <w:r>
        <w:t xml:space="preserve">Le 24 août 2013, le défendeur assistait à la remise des médailles de soccer d’Alexia.</w:t>
      </w:r>
    </w:p>
    <w:p>
      <w:pPr>
        <w:numPr>
          <w:numId w:val="1027"/>
          <w:ilvl w:val="0"/>
        </w:numPr>
      </w:pPr>
      <w:r>
        <w:t xml:space="preserve">Le 26 août 2013, le défendeur a fait de l’escalade avec Alexia.</w:t>
      </w:r>
    </w:p>
    <w:p>
      <w:pPr>
        <w:numPr>
          <w:numId w:val="1027"/>
          <w:ilvl w:val="0"/>
        </w:numPr>
      </w:pPr>
      <w:r>
        <w:t xml:space="preserve">Le 27 août 2013, le défendeur a inscrit les enfants à des activités auprès de Loisir Saint-Lambert.</w:t>
      </w:r>
    </w:p>
    <w:p>
      <w:pPr>
        <w:numPr>
          <w:numId w:val="1027"/>
          <w:ilvl w:val="0"/>
        </w:numPr>
      </w:pPr>
      <w:r>
        <w:t xml:space="preserve">Le 31 août 2013, le défendeur a fait de l’escalade avec Alexia.</w:t>
      </w:r>
    </w:p>
    <w:p>
      <w:pPr>
        <w:numPr>
          <w:numId w:val="1027"/>
          <w:ilvl w:val="0"/>
        </w:numPr>
      </w:pPr>
      <w:r>
        <w:t xml:space="preserve">Le 10 septembre 2013, la demanderesse a proposé au défendeur un voyage familial pour quatre personnes dans un hôtel cinq étoiles.</w:t>
      </w:r>
    </w:p>
    <w:p>
      <w:pPr>
        <w:numPr>
          <w:numId w:val="1027"/>
          <w:ilvl w:val="0"/>
        </w:numPr>
      </w:pPr>
      <w:r>
        <w:t xml:space="preserve">Le 29 septembre 2013, le défendeur, la demanderesse et les enfants étaient ensemble à la cueillette de pommes à Rougemont.</w:t>
      </w:r>
    </w:p>
    <w:p>
      <w:pPr>
        <w:pStyle w:val="Heading2"/>
      </w:pPr>
      <w:bookmarkStart w:id="66" w:name="inférences-réservées-aux-moyens-2"/>
      <w:r>
        <w:t xml:space="preserve">5. Inférences réservées aux moyens</w:t>
      </w:r>
      <w:bookmarkEnd w:id="66"/>
    </w:p>
    <w:p>
      <w:pPr>
        <w:numPr>
          <w:numId w:val="1028"/>
          <w:ilvl w:val="0"/>
        </w:numPr>
      </w:pPr>
      <w:r>
        <w:t xml:space="preserve">L’allégation du paragraphe 9 transforme une absence nocturne temporaire en abandon estival complet.</w:t>
      </w:r>
    </w:p>
    <w:p>
      <w:pPr>
        <w:numPr>
          <w:numId w:val="1028"/>
          <w:ilvl w:val="0"/>
        </w:numPr>
      </w:pPr>
      <w:r>
        <w:t xml:space="preserve">Le volume d’événements documentés pendant l’été 2013 contredit la proposition selon laquelle le défendeur serait parti pendant « tout l’été ».</w:t>
      </w:r>
    </w:p>
    <w:p>
      <w:pPr>
        <w:numPr>
          <w:numId w:val="1028"/>
          <w:ilvl w:val="0"/>
        </w:numPr>
      </w:pPr>
      <w:r>
        <w:t xml:space="preserve">Les sorties familiales communes contredisent la proposition selon laquelle la demanderesse aurait été laissée seule avec les deux enfants pendant toute la période.</w:t>
      </w:r>
    </w:p>
    <w:p>
      <w:pPr>
        <w:numPr>
          <w:numId w:val="1028"/>
          <w:ilvl w:val="0"/>
        </w:numPr>
      </w:pPr>
      <w:r>
        <w:t xml:space="preserve">La période de soccer d’Alexia est utile parce qu’elle ne prouve pas seulement une présence ponctuelle : elle situe une organisation récurrente où la demanderesse s’occupait de l’activité d’Alexia et où le défendeur assumait la prise en charge de Nicolas.</w:t>
      </w:r>
    </w:p>
    <w:p>
      <w:pPr>
        <w:numPr>
          <w:numId w:val="1028"/>
          <w:ilvl w:val="0"/>
        </w:numPr>
      </w:pPr>
      <w:r>
        <w:t xml:space="preserve">Le fil du 29 au 30 juillet 2013 est particulièrement utile parce qu’il montre une attente formulée par une tierce personne familiale : la présence du défendeur avec Nicolas pendant les journées de soccer était suffisamment normale pour ne pas devoir être expliquée dans l’échange.</w:t>
      </w:r>
    </w:p>
    <w:p>
      <w:pPr>
        <w:numPr>
          <w:numId w:val="1028"/>
          <w:ilvl w:val="0"/>
        </w:numPr>
      </w:pPr>
      <w:r>
        <w:t xml:space="preserve">Les sorties d’escalade et les autres activités faites seul avec Alexia démontrent une présence parentale autonome, organisée et répétée, distincte des sorties familiales à quatre.</w:t>
      </w:r>
    </w:p>
    <w:p>
      <w:pPr>
        <w:numPr>
          <w:numId w:val="1028"/>
          <w:ilvl w:val="0"/>
        </w:numPr>
      </w:pPr>
      <w:r>
        <w:t xml:space="preserve">La confirmation d’Allez Up renforce la valeur probatoire de l’axe escalade, car elle provient d’un tiers et rattache les dates à des transactions d’entrées enfants.</w:t>
      </w:r>
    </w:p>
    <w:p>
      <w:pPr>
        <w:numPr>
          <w:numId w:val="1028"/>
          <w:ilvl w:val="0"/>
        </w:numPr>
      </w:pPr>
      <w:r>
        <w:t xml:space="preserve">Le courriel contemporain du 19 juillet 2013 distingue la question du lieu de sommeil de celle de la présence quotidienne auprès des enfants.</w:t>
      </w:r>
    </w:p>
    <w:p>
      <w:pPr>
        <w:numPr>
          <w:numId w:val="1028"/>
          <w:ilvl w:val="0"/>
        </w:numPr>
      </w:pPr>
      <w:r>
        <w:t xml:space="preserve">Les gestes contemporains de la demanderesse peuvent soutenir l’inférence qu’elle connaissait la présence réelle du défendeur pendant la période visée.</w:t>
      </w:r>
    </w:p>
    <w:p>
      <w:pPr>
        <w:numPr>
          <w:numId w:val="1028"/>
          <w:ilvl w:val="0"/>
        </w:numPr>
      </w:pPr>
      <w:r>
        <w:t xml:space="preserve">La preuve permet de contester l’exactitude de l’allégation sans qu’il soit nécessaire, dans l’exposé des faits, de qualifier cette inexactitude de mensonge, d’abus ou de mauvaise foi.</w:t>
      </w:r>
    </w:p>
    <w:p>
      <w:pPr>
        <w:pStyle w:val="Heading2"/>
      </w:pPr>
      <w:bookmarkStart w:id="67" w:name="pièces-nécessaires-2"/>
      <w:r>
        <w:t xml:space="preserve">6. Pièces nécessaires</w:t>
      </w:r>
      <w:bookmarkEnd w:id="6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Pièce ou 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t xml:space="preserve">Requête du 19 novembre 2015, §9 ;</w:t>
            </w:r>
            <w:r>
              <w:t xml:space="preserve"> </w:t>
            </w:r>
            <w:r>
              <w:rPr>
                <w:rStyle w:val="VerbatimChar"/>
              </w:rPr>
              <w:t xml:space="preserve">piece_document-1.md</w:t>
            </w:r>
          </w:p>
        </w:tc>
        <w:tc>
          <w:p>
            <w:pPr>
              <w:pStyle w:val="Compact"/>
              <w:jc w:val="left"/>
            </w:pPr>
            <w:r>
              <w:t xml:space="preserve">à coter</w:t>
            </w:r>
          </w:p>
        </w:tc>
      </w:tr>
      <w:tr>
        <w:tc>
          <w:p>
            <w:pPr>
              <w:pStyle w:val="Compact"/>
              <w:jc w:val="left"/>
            </w:pPr>
            <w:r>
              <w:t xml:space="preserve">2</w:t>
            </w:r>
          </w:p>
        </w:tc>
        <w:tc>
          <w:p>
            <w:pPr>
              <w:pStyle w:val="Compact"/>
              <w:jc w:val="left"/>
            </w:pPr>
            <w:r>
              <w:t xml:space="preserve">Date de naissance de Nicolas ; contexte familial</w:t>
            </w:r>
          </w:p>
        </w:tc>
        <w:tc>
          <w:p>
            <w:pPr>
              <w:pStyle w:val="Compact"/>
              <w:jc w:val="left"/>
            </w:pPr>
            <w:r>
              <w:t xml:space="preserve">à coter</w:t>
            </w:r>
          </w:p>
        </w:tc>
      </w:tr>
      <w:tr>
        <w:tc>
          <w:p>
            <w:pPr>
              <w:pStyle w:val="Compact"/>
              <w:jc w:val="left"/>
            </w:pPr>
            <w:r>
              <w:t xml:space="preserve">3</w:t>
            </w:r>
          </w:p>
        </w:tc>
        <w:tc>
          <w:p>
            <w:pPr>
              <w:pStyle w:val="Compact"/>
              <w:jc w:val="left"/>
            </w:pPr>
            <w:r>
              <w:t xml:space="preserve">PDFDocument id=60 ; Email id=137</w:t>
            </w:r>
          </w:p>
        </w:tc>
        <w:tc>
          <w:p>
            <w:pPr>
              <w:pStyle w:val="Compact"/>
              <w:jc w:val="left"/>
            </w:pPr>
            <w:r>
              <w:t xml:space="preserve">à coter</w:t>
            </w:r>
          </w:p>
        </w:tc>
      </w:tr>
      <w:tr>
        <w:tc>
          <w:p>
            <w:pPr>
              <w:pStyle w:val="Compact"/>
              <w:jc w:val="left"/>
            </w:pPr>
            <w:r>
              <w:t xml:space="preserve">4</w:t>
            </w:r>
          </w:p>
        </w:tc>
        <w:tc>
          <w:p>
            <w:pPr>
              <w:pStyle w:val="Compact"/>
              <w:jc w:val="left"/>
            </w:pPr>
            <w:r>
              <w:t xml:space="preserve">Events id=239, 263 ; PDFDocument id=91 ;</w:t>
            </w:r>
            <w:r>
              <w:t xml:space="preserve"> </w:t>
            </w:r>
            <w:r>
              <w:rPr>
                <w:rStyle w:val="VerbatimChar"/>
              </w:rPr>
              <w:t xml:space="preserve">http://127.0.0.1:8000/events/239/</w:t>
            </w:r>
            <w:r>
              <w:t xml:space="preserve"> </w:t>
            </w:r>
            <w:r>
              <w:t xml:space="preserve">;</w:t>
            </w:r>
            <w:r>
              <w:t xml:space="preserve"> </w:t>
            </w:r>
            <w:r>
              <w:rPr>
                <w:rStyle w:val="VerbatimChar"/>
              </w:rPr>
              <w:t xml:space="preserve">http://127.0.0.1:8000/events/263/</w:t>
            </w:r>
            <w:r>
              <w:t xml:space="preserve"> </w:t>
            </w:r>
            <w:r>
              <w:t xml:space="preserve">;</w:t>
            </w:r>
            <w:r>
              <w:t xml:space="preserve"> </w:t>
            </w:r>
            <w:r>
              <w:rPr>
                <w:rStyle w:val="VerbatimChar"/>
              </w:rPr>
              <w:t xml:space="preserve">http://127.0.0.1:8000/pdfs/pdf/91/</w:t>
            </w:r>
          </w:p>
        </w:tc>
        <w:tc>
          <w:p>
            <w:pPr>
              <w:pStyle w:val="Compact"/>
              <w:jc w:val="left"/>
            </w:pPr>
            <w:r>
              <w:t xml:space="preserve">événements à coter ; PDF 91 vérifié comme support illustratif</w:t>
            </w:r>
          </w:p>
        </w:tc>
      </w:tr>
      <w:tr>
        <w:tc>
          <w:p>
            <w:pPr>
              <w:pStyle w:val="Compact"/>
              <w:jc w:val="left"/>
            </w:pPr>
            <w:r>
              <w:t xml:space="preserve">5</w:t>
            </w:r>
          </w:p>
        </w:tc>
        <w:tc>
          <w:p>
            <w:pPr>
              <w:pStyle w:val="Compact"/>
              <w:jc w:val="left"/>
            </w:pPr>
            <w:r>
              <w:t xml:space="preserve">Connaissance directe ; registres ASSL disponibles ; EmailThread id=159 ;</w:t>
            </w:r>
            <w:r>
              <w:t xml:space="preserve"> </w:t>
            </w:r>
            <w:r>
              <w:rPr>
                <w:rStyle w:val="VerbatimChar"/>
              </w:rPr>
              <w:t xml:space="preserve">http://127.0.0.1:8000/emails/thread/159/</w:t>
            </w:r>
          </w:p>
        </w:tc>
        <w:tc>
          <w:p>
            <w:pPr>
              <w:pStyle w:val="Compact"/>
              <w:jc w:val="left"/>
            </w:pPr>
            <w:r>
              <w:t xml:space="preserve">à corroborer au besoin si contesté</w:t>
            </w:r>
          </w:p>
        </w:tc>
      </w:tr>
      <w:tr>
        <w:tc>
          <w:p>
            <w:pPr>
              <w:pStyle w:val="Compact"/>
              <w:jc w:val="left"/>
            </w:pPr>
            <w:r>
              <w:t xml:space="preserve">6</w:t>
            </w:r>
          </w:p>
        </w:tc>
        <w:tc>
          <w:p>
            <w:pPr>
              <w:pStyle w:val="Compact"/>
              <w:jc w:val="left"/>
            </w:pPr>
            <w:r>
              <w:t xml:space="preserve">Connaissance directe ; EmailThread pk=26,</w:t>
            </w:r>
            <w:r>
              <w:t xml:space="preserve"> </w:t>
            </w:r>
            <w:r>
              <w:rPr>
                <w:rStyle w:val="VerbatimChar"/>
              </w:rPr>
              <w:t xml:space="preserve">thread_id=1402bd28f3c7160f</w:t>
            </w:r>
            <w:r>
              <w:t xml:space="preserve"> </w:t>
            </w:r>
            <w:r>
              <w:t xml:space="preserve">; Emails id=33, 32 ; PDFDocument id=90 ;</w:t>
            </w:r>
            <w:r>
              <w:t xml:space="preserve"> </w:t>
            </w:r>
            <w:r>
              <w:rPr>
                <w:rStyle w:val="VerbatimChar"/>
              </w:rPr>
              <w:t xml:space="preserve">http://127.0.0.1:8000/emails/thread/26/</w:t>
            </w:r>
            <w:r>
              <w:t xml:space="preserve"> </w:t>
            </w:r>
            <w:r>
              <w:t xml:space="preserve">;</w:t>
            </w:r>
            <w:r>
              <w:t xml:space="preserve"> </w:t>
            </w:r>
            <w:r>
              <w:rPr>
                <w:rStyle w:val="VerbatimChar"/>
              </w:rPr>
              <w:t xml:space="preserve">http://127.0.0.1:8000/pdfs/pdf/90/</w:t>
            </w:r>
          </w:p>
        </w:tc>
        <w:tc>
          <w:p>
            <w:pPr>
              <w:pStyle w:val="Compact"/>
              <w:jc w:val="left"/>
            </w:pPr>
            <w:r>
              <w:t xml:space="preserve">à coter ; PDF 90 vérifié à titre illustratif</w:t>
            </w:r>
          </w:p>
        </w:tc>
      </w:tr>
      <w:tr>
        <w:tc>
          <w:p>
            <w:pPr>
              <w:pStyle w:val="Compact"/>
              <w:jc w:val="left"/>
            </w:pPr>
            <w:r>
              <w:t xml:space="preserve">7</w:t>
            </w:r>
          </w:p>
        </w:tc>
        <w:tc>
          <w:p>
            <w:pPr>
              <w:pStyle w:val="Compact"/>
              <w:jc w:val="left"/>
            </w:pPr>
            <w:r>
              <w:t xml:space="preserve">Tableau récapitulatif des événements ;</w:t>
            </w:r>
            <w:r>
              <w:t xml:space="preserve"> </w:t>
            </w:r>
            <w:r>
              <w:rPr>
                <w:rStyle w:val="VerbatimChar"/>
              </w:rPr>
              <w:t xml:space="preserve">piece_tableau_recap_evenements.md</w:t>
            </w:r>
          </w:p>
        </w:tc>
        <w:tc>
          <w:p>
            <w:pPr>
              <w:pStyle w:val="Compact"/>
              <w:jc w:val="left"/>
            </w:pPr>
            <w:r>
              <w:t xml:space="preserve">à coter / en liasse</w:t>
            </w:r>
          </w:p>
        </w:tc>
      </w:tr>
      <w:tr>
        <w:tc>
          <w:p>
            <w:pPr>
              <w:pStyle w:val="Compact"/>
              <w:jc w:val="left"/>
            </w:pPr>
            <w:r>
              <w:t xml:space="preserve">8</w:t>
            </w:r>
          </w:p>
        </w:tc>
        <w:tc>
          <w:p>
            <w:pPr>
              <w:pStyle w:val="Compact"/>
              <w:jc w:val="left"/>
            </w:pPr>
            <w:r>
              <w:t xml:space="preserve">Events id=242, 243</w:t>
            </w:r>
          </w:p>
        </w:tc>
        <w:tc>
          <w:p>
            <w:pPr>
              <w:pStyle w:val="Compact"/>
              <w:jc w:val="left"/>
            </w:pPr>
            <w:r>
              <w:t xml:space="preserve">à coter</w:t>
            </w:r>
          </w:p>
        </w:tc>
      </w:tr>
      <w:tr>
        <w:tc>
          <w:p>
            <w:pPr>
              <w:pStyle w:val="Compact"/>
              <w:jc w:val="left"/>
            </w:pPr>
            <w:r>
              <w:t xml:space="preserve">9</w:t>
            </w:r>
          </w:p>
        </w:tc>
        <w:tc>
          <w:p>
            <w:pPr>
              <w:pStyle w:val="Compact"/>
              <w:jc w:val="left"/>
            </w:pPr>
            <w:r>
              <w:t xml:space="preserve">Email id=39</w:t>
            </w:r>
          </w:p>
        </w:tc>
        <w:tc>
          <w:p>
            <w:pPr>
              <w:pStyle w:val="Compact"/>
              <w:jc w:val="left"/>
            </w:pPr>
            <w:r>
              <w:t xml:space="preserve">à coter</w:t>
            </w:r>
          </w:p>
        </w:tc>
      </w:tr>
      <w:tr>
        <w:tc>
          <w:p>
            <w:pPr>
              <w:pStyle w:val="Compact"/>
              <w:jc w:val="left"/>
            </w:pPr>
            <w:r>
              <w:t xml:space="preserve">10</w:t>
            </w:r>
          </w:p>
        </w:tc>
        <w:tc>
          <w:p>
            <w:pPr>
              <w:pStyle w:val="Compact"/>
              <w:jc w:val="left"/>
            </w:pPr>
            <w:r>
              <w:t xml:space="preserve">Event id=316 ; EmailThread pk=1,</w:t>
            </w:r>
            <w:r>
              <w:t xml:space="preserve"> </w:t>
            </w:r>
            <w:r>
              <w:rPr>
                <w:rStyle w:val="VerbatimChar"/>
              </w:rPr>
              <w:t xml:space="preserve">thread_id=183adb258899dcca</w:t>
            </w:r>
            <w:r>
              <w:t xml:space="preserve"> </w:t>
            </w:r>
            <w:r>
              <w:t xml:space="preserve">; Email id=1 ;</w:t>
            </w:r>
            <w:r>
              <w:t xml:space="preserve"> </w:t>
            </w:r>
            <w:r>
              <w:rPr>
                <w:rStyle w:val="VerbatimChar"/>
              </w:rPr>
              <w:t xml:space="preserve">http://127.0.0.1:8000/emails/thread/1/</w:t>
            </w:r>
          </w:p>
        </w:tc>
        <w:tc>
          <w:p>
            <w:pPr>
              <w:pStyle w:val="Compact"/>
              <w:jc w:val="left"/>
            </w:pPr>
            <w:r>
              <w:t xml:space="preserve">à coter ; confirmation tierce Allez Up</w:t>
            </w:r>
          </w:p>
        </w:tc>
      </w:tr>
      <w:tr>
        <w:tc>
          <w:p>
            <w:pPr>
              <w:pStyle w:val="Compact"/>
              <w:jc w:val="left"/>
            </w:pPr>
            <w:r>
              <w:t xml:space="preserve">11</w:t>
            </w:r>
          </w:p>
        </w:tc>
        <w:tc>
          <w:p>
            <w:pPr>
              <w:pStyle w:val="Compact"/>
              <w:jc w:val="left"/>
            </w:pPr>
            <w:r>
              <w:t xml:space="preserve">Event id=244</w:t>
            </w:r>
          </w:p>
        </w:tc>
        <w:tc>
          <w:p>
            <w:pPr>
              <w:pStyle w:val="Compact"/>
              <w:jc w:val="left"/>
            </w:pPr>
            <w:r>
              <w:t xml:space="preserve">à coter</w:t>
            </w:r>
          </w:p>
        </w:tc>
      </w:tr>
      <w:tr>
        <w:tc>
          <w:p>
            <w:pPr>
              <w:pStyle w:val="Compact"/>
              <w:jc w:val="left"/>
            </w:pPr>
            <w:r>
              <w:t xml:space="preserve">12</w:t>
            </w:r>
          </w:p>
        </w:tc>
        <w:tc>
          <w:p>
            <w:pPr>
              <w:pStyle w:val="Compact"/>
              <w:jc w:val="left"/>
            </w:pPr>
            <w:r>
              <w:t xml:space="preserve">Event id=246</w:t>
            </w:r>
          </w:p>
        </w:tc>
        <w:tc>
          <w:p>
            <w:pPr>
              <w:pStyle w:val="Compact"/>
              <w:jc w:val="left"/>
            </w:pPr>
            <w:r>
              <w:t xml:space="preserve">à coter</w:t>
            </w:r>
          </w:p>
        </w:tc>
      </w:tr>
      <w:tr>
        <w:tc>
          <w:p>
            <w:pPr>
              <w:pStyle w:val="Compact"/>
              <w:jc w:val="left"/>
            </w:pPr>
            <w:r>
              <w:t xml:space="preserve">13</w:t>
            </w:r>
          </w:p>
        </w:tc>
        <w:tc>
          <w:p>
            <w:pPr>
              <w:pStyle w:val="Compact"/>
              <w:jc w:val="left"/>
            </w:pPr>
            <w:r>
              <w:t xml:space="preserve">Event id=317 ; EmailThread pk=1,</w:t>
            </w:r>
            <w:r>
              <w:t xml:space="preserve"> </w:t>
            </w:r>
            <w:r>
              <w:rPr>
                <w:rStyle w:val="VerbatimChar"/>
              </w:rPr>
              <w:t xml:space="preserve">thread_id=183adb258899dcca</w:t>
            </w:r>
            <w:r>
              <w:t xml:space="preserve"> </w:t>
            </w:r>
            <w:r>
              <w:t xml:space="preserve">; Email id=1</w:t>
            </w:r>
          </w:p>
        </w:tc>
        <w:tc>
          <w:p>
            <w:pPr>
              <w:pStyle w:val="Compact"/>
              <w:jc w:val="left"/>
            </w:pPr>
            <w:r>
              <w:t xml:space="preserve">à coter ; confirmation tierce Allez Up</w:t>
            </w:r>
          </w:p>
        </w:tc>
      </w:tr>
      <w:tr>
        <w:tc>
          <w:p>
            <w:pPr>
              <w:pStyle w:val="Compact"/>
              <w:jc w:val="left"/>
            </w:pPr>
            <w:r>
              <w:t xml:space="preserve">14</w:t>
            </w:r>
          </w:p>
        </w:tc>
        <w:tc>
          <w:p>
            <w:pPr>
              <w:pStyle w:val="Compact"/>
              <w:jc w:val="left"/>
            </w:pPr>
            <w:r>
              <w:t xml:space="preserve">Event id=254</w:t>
            </w:r>
          </w:p>
        </w:tc>
        <w:tc>
          <w:p>
            <w:pPr>
              <w:pStyle w:val="Compact"/>
              <w:jc w:val="left"/>
            </w:pPr>
            <w:r>
              <w:t xml:space="preserve">à coter</w:t>
            </w:r>
          </w:p>
        </w:tc>
      </w:tr>
      <w:tr>
        <w:tc>
          <w:p>
            <w:pPr>
              <w:pStyle w:val="Compact"/>
              <w:jc w:val="left"/>
            </w:pPr>
            <w:r>
              <w:t xml:space="preserve">15</w:t>
            </w:r>
          </w:p>
        </w:tc>
        <w:tc>
          <w:p>
            <w:pPr>
              <w:pStyle w:val="Compact"/>
              <w:jc w:val="left"/>
            </w:pPr>
            <w:r>
              <w:t xml:space="preserve">Events id=255, 256</w:t>
            </w:r>
          </w:p>
        </w:tc>
        <w:tc>
          <w:p>
            <w:pPr>
              <w:pStyle w:val="Compact"/>
              <w:jc w:val="left"/>
            </w:pPr>
            <w:r>
              <w:t xml:space="preserve">à coter</w:t>
            </w:r>
          </w:p>
        </w:tc>
      </w:tr>
      <w:tr>
        <w:tc>
          <w:p>
            <w:pPr>
              <w:pStyle w:val="Compact"/>
              <w:jc w:val="left"/>
            </w:pPr>
            <w:r>
              <w:t xml:space="preserve">16</w:t>
            </w:r>
          </w:p>
        </w:tc>
        <w:tc>
          <w:p>
            <w:pPr>
              <w:pStyle w:val="Compact"/>
              <w:jc w:val="left"/>
            </w:pPr>
            <w:r>
              <w:t xml:space="preserve">PhotoDocument id=5 ; Events id=312, 313, 314, 315 ;</w:t>
            </w:r>
            <w:r>
              <w:t xml:space="preserve"> </w:t>
            </w:r>
            <w:r>
              <w:rPr>
                <w:rStyle w:val="VerbatimChar"/>
              </w:rPr>
              <w:t xml:space="preserve">http://127.0.0.1:8000/photos/document/5/</w:t>
            </w:r>
          </w:p>
        </w:tc>
        <w:tc>
          <w:p>
            <w:pPr>
              <w:pStyle w:val="Compact"/>
              <w:jc w:val="left"/>
            </w:pPr>
            <w:r>
              <w:t xml:space="preserve">à coter</w:t>
            </w:r>
          </w:p>
        </w:tc>
      </w:tr>
      <w:tr>
        <w:tc>
          <w:p>
            <w:pPr>
              <w:pStyle w:val="Compact"/>
              <w:jc w:val="left"/>
            </w:pPr>
            <w:r>
              <w:t xml:space="preserve">17</w:t>
            </w:r>
          </w:p>
        </w:tc>
        <w:tc>
          <w:p>
            <w:pPr>
              <w:pStyle w:val="Compact"/>
              <w:jc w:val="left"/>
            </w:pPr>
            <w:r>
              <w:t xml:space="preserve">Email id=35</w:t>
            </w:r>
          </w:p>
        </w:tc>
        <w:tc>
          <w:p>
            <w:pPr>
              <w:pStyle w:val="Compact"/>
              <w:jc w:val="left"/>
            </w:pPr>
            <w:r>
              <w:t xml:space="preserve">à coter</w:t>
            </w:r>
          </w:p>
        </w:tc>
      </w:tr>
      <w:tr>
        <w:tc>
          <w:p>
            <w:pPr>
              <w:pStyle w:val="Compact"/>
              <w:jc w:val="left"/>
            </w:pPr>
            <w:r>
              <w:t xml:space="preserve">18</w:t>
            </w:r>
          </w:p>
        </w:tc>
        <w:tc>
          <w:p>
            <w:pPr>
              <w:pStyle w:val="Compact"/>
              <w:jc w:val="left"/>
            </w:pPr>
            <w:r>
              <w:t xml:space="preserve">Email id=35</w:t>
            </w:r>
          </w:p>
        </w:tc>
        <w:tc>
          <w:p>
            <w:pPr>
              <w:pStyle w:val="Compact"/>
              <w:jc w:val="left"/>
            </w:pPr>
            <w:r>
              <w:t xml:space="preserve">à coter</w:t>
            </w:r>
          </w:p>
        </w:tc>
      </w:tr>
      <w:tr>
        <w:tc>
          <w:p>
            <w:pPr>
              <w:pStyle w:val="Compact"/>
              <w:jc w:val="left"/>
            </w:pPr>
            <w:r>
              <w:t xml:space="preserve">19</w:t>
            </w:r>
          </w:p>
        </w:tc>
        <w:tc>
          <w:p>
            <w:pPr>
              <w:pStyle w:val="Compact"/>
              <w:jc w:val="left"/>
            </w:pPr>
            <w:r>
              <w:t xml:space="preserve">Email id=136</w:t>
            </w:r>
          </w:p>
        </w:tc>
        <w:tc>
          <w:p>
            <w:pPr>
              <w:pStyle w:val="Compact"/>
              <w:jc w:val="left"/>
            </w:pPr>
            <w:r>
              <w:t xml:space="preserve">à coter</w:t>
            </w:r>
          </w:p>
        </w:tc>
      </w:tr>
      <w:tr>
        <w:tc>
          <w:p>
            <w:pPr>
              <w:pStyle w:val="Compact"/>
              <w:jc w:val="left"/>
            </w:pPr>
            <w:r>
              <w:t xml:space="preserve">20</w:t>
            </w:r>
          </w:p>
        </w:tc>
        <w:tc>
          <w:p>
            <w:pPr>
              <w:pStyle w:val="Compact"/>
              <w:jc w:val="left"/>
            </w:pPr>
            <w:r>
              <w:t xml:space="preserve">EmailThread pk=26,</w:t>
            </w:r>
            <w:r>
              <w:t xml:space="preserve"> </w:t>
            </w:r>
            <w:r>
              <w:rPr>
                <w:rStyle w:val="VerbatimChar"/>
              </w:rPr>
              <w:t xml:space="preserve">thread_id=1402bd28f3c7160f</w:t>
            </w:r>
            <w:r>
              <w:t xml:space="preserve"> </w:t>
            </w:r>
            <w:r>
              <w:t xml:space="preserve">; Emails id=33, 32 ; PDFDocument id=90 ;</w:t>
            </w:r>
            <w:r>
              <w:t xml:space="preserve"> </w:t>
            </w:r>
            <w:r>
              <w:rPr>
                <w:rStyle w:val="VerbatimChar"/>
              </w:rPr>
              <w:t xml:space="preserve">http://127.0.0.1:8000/emails/thread/26/</w:t>
            </w:r>
            <w:r>
              <w:t xml:space="preserve"> </w:t>
            </w:r>
            <w:r>
              <w:t xml:space="preserve">;</w:t>
            </w:r>
            <w:r>
              <w:t xml:space="preserve"> </w:t>
            </w:r>
            <w:r>
              <w:rPr>
                <w:rStyle w:val="VerbatimChar"/>
              </w:rPr>
              <w:t xml:space="preserve">http://127.0.0.1:8000/pdfs/pdf/90/</w:t>
            </w:r>
          </w:p>
        </w:tc>
        <w:tc>
          <w:p>
            <w:pPr>
              <w:pStyle w:val="Compact"/>
              <w:jc w:val="left"/>
            </w:pPr>
            <w:r>
              <w:t xml:space="preserve">courriels à coter ; PDF 90 vérifié à titre illustratif</w:t>
            </w:r>
          </w:p>
        </w:tc>
      </w:tr>
      <w:tr>
        <w:tc>
          <w:p>
            <w:pPr>
              <w:pStyle w:val="Compact"/>
              <w:jc w:val="left"/>
            </w:pPr>
            <w:r>
              <w:t xml:space="preserve">21</w:t>
            </w:r>
          </w:p>
        </w:tc>
        <w:tc>
          <w:p>
            <w:pPr>
              <w:pStyle w:val="Compact"/>
              <w:jc w:val="left"/>
            </w:pPr>
            <w:r>
              <w:t xml:space="preserve">Events id=257, 258, 259, 260</w:t>
            </w:r>
          </w:p>
        </w:tc>
        <w:tc>
          <w:p>
            <w:pPr>
              <w:pStyle w:val="Compact"/>
              <w:jc w:val="left"/>
            </w:pPr>
            <w:r>
              <w:t xml:space="preserve">à coter</w:t>
            </w:r>
          </w:p>
        </w:tc>
      </w:tr>
      <w:tr>
        <w:tc>
          <w:p>
            <w:pPr>
              <w:pStyle w:val="Compact"/>
              <w:jc w:val="left"/>
            </w:pPr>
            <w:r>
              <w:t xml:space="preserve">22</w:t>
            </w:r>
          </w:p>
        </w:tc>
        <w:tc>
          <w:p>
            <w:pPr>
              <w:pStyle w:val="Compact"/>
              <w:jc w:val="left"/>
            </w:pPr>
            <w:r>
              <w:t xml:space="preserve">Event id=318 ; EmailThread pk=1,</w:t>
            </w:r>
            <w:r>
              <w:t xml:space="preserve"> </w:t>
            </w:r>
            <w:r>
              <w:rPr>
                <w:rStyle w:val="VerbatimChar"/>
              </w:rPr>
              <w:t xml:space="preserve">thread_id=183adb258899dcca</w:t>
            </w:r>
            <w:r>
              <w:t xml:space="preserve"> </w:t>
            </w:r>
            <w:r>
              <w:t xml:space="preserve">; Email id=1</w:t>
            </w:r>
          </w:p>
        </w:tc>
        <w:tc>
          <w:p>
            <w:pPr>
              <w:pStyle w:val="Compact"/>
              <w:jc w:val="left"/>
            </w:pPr>
            <w:r>
              <w:t xml:space="preserve">à coter ; confirmation tierce Allez Up</w:t>
            </w:r>
          </w:p>
        </w:tc>
      </w:tr>
      <w:tr>
        <w:tc>
          <w:p>
            <w:pPr>
              <w:pStyle w:val="Compact"/>
              <w:jc w:val="left"/>
            </w:pPr>
            <w:r>
              <w:t xml:space="preserve">23</w:t>
            </w:r>
          </w:p>
        </w:tc>
        <w:tc>
          <w:p>
            <w:pPr>
              <w:pStyle w:val="Compact"/>
              <w:jc w:val="left"/>
            </w:pPr>
            <w:r>
              <w:t xml:space="preserve">Event id=261</w:t>
            </w:r>
          </w:p>
        </w:tc>
        <w:tc>
          <w:p>
            <w:pPr>
              <w:pStyle w:val="Compact"/>
              <w:jc w:val="left"/>
            </w:pPr>
            <w:r>
              <w:t xml:space="preserve">à coter</w:t>
            </w:r>
          </w:p>
        </w:tc>
      </w:tr>
      <w:tr>
        <w:tc>
          <w:p>
            <w:pPr>
              <w:pStyle w:val="Compact"/>
              <w:jc w:val="left"/>
            </w:pPr>
            <w:r>
              <w:t xml:space="preserve">24</w:t>
            </w:r>
          </w:p>
        </w:tc>
        <w:tc>
          <w:p>
            <w:pPr>
              <w:pStyle w:val="Compact"/>
              <w:jc w:val="left"/>
            </w:pPr>
            <w:r>
              <w:t xml:space="preserve">Event id=262</w:t>
            </w:r>
          </w:p>
        </w:tc>
        <w:tc>
          <w:p>
            <w:pPr>
              <w:pStyle w:val="Compact"/>
              <w:jc w:val="left"/>
            </w:pPr>
            <w:r>
              <w:t xml:space="preserve">à coter</w:t>
            </w:r>
          </w:p>
        </w:tc>
      </w:tr>
      <w:tr>
        <w:tc>
          <w:p>
            <w:pPr>
              <w:pStyle w:val="Compact"/>
              <w:jc w:val="left"/>
            </w:pPr>
            <w:r>
              <w:t xml:space="preserve">25</w:t>
            </w:r>
          </w:p>
        </w:tc>
        <w:tc>
          <w:p>
            <w:pPr>
              <w:pStyle w:val="Compact"/>
              <w:jc w:val="left"/>
            </w:pPr>
            <w:r>
              <w:t xml:space="preserve">Events id=263, 239</w:t>
            </w:r>
          </w:p>
        </w:tc>
        <w:tc>
          <w:p>
            <w:pPr>
              <w:pStyle w:val="Compact"/>
              <w:jc w:val="left"/>
            </w:pPr>
            <w:r>
              <w:t xml:space="preserve">à coter</w:t>
            </w:r>
          </w:p>
        </w:tc>
      </w:tr>
      <w:tr>
        <w:tc>
          <w:p>
            <w:pPr>
              <w:pStyle w:val="Compact"/>
              <w:jc w:val="left"/>
            </w:pPr>
            <w:r>
              <w:t xml:space="preserve">26</w:t>
            </w:r>
          </w:p>
        </w:tc>
        <w:tc>
          <w:p>
            <w:pPr>
              <w:pStyle w:val="Compact"/>
              <w:jc w:val="left"/>
            </w:pPr>
            <w:r>
              <w:t xml:space="preserve">Event id=319 ; EmailThread pk=1,</w:t>
            </w:r>
            <w:r>
              <w:t xml:space="preserve"> </w:t>
            </w:r>
            <w:r>
              <w:rPr>
                <w:rStyle w:val="VerbatimChar"/>
              </w:rPr>
              <w:t xml:space="preserve">thread_id=183adb258899dcca</w:t>
            </w:r>
            <w:r>
              <w:t xml:space="preserve"> </w:t>
            </w:r>
            <w:r>
              <w:t xml:space="preserve">; Email id=1</w:t>
            </w:r>
          </w:p>
        </w:tc>
        <w:tc>
          <w:p>
            <w:pPr>
              <w:pStyle w:val="Compact"/>
              <w:jc w:val="left"/>
            </w:pPr>
            <w:r>
              <w:t xml:space="preserve">à coter ; confirmation tierce Allez Up</w:t>
            </w:r>
          </w:p>
        </w:tc>
      </w:tr>
      <w:tr>
        <w:tc>
          <w:p>
            <w:pPr>
              <w:pStyle w:val="Compact"/>
              <w:jc w:val="left"/>
            </w:pPr>
            <w:r>
              <w:t xml:space="preserve">27</w:t>
            </w:r>
          </w:p>
        </w:tc>
        <w:tc>
          <w:p>
            <w:pPr>
              <w:pStyle w:val="Compact"/>
              <w:jc w:val="left"/>
            </w:pPr>
            <w:r>
              <w:t xml:space="preserve">Email id=355</w:t>
            </w:r>
          </w:p>
        </w:tc>
        <w:tc>
          <w:p>
            <w:pPr>
              <w:pStyle w:val="Compact"/>
              <w:jc w:val="left"/>
            </w:pPr>
            <w:r>
              <w:t xml:space="preserve">à coter</w:t>
            </w:r>
          </w:p>
        </w:tc>
      </w:tr>
      <w:tr>
        <w:tc>
          <w:p>
            <w:pPr>
              <w:pStyle w:val="Compact"/>
              <w:jc w:val="left"/>
            </w:pPr>
            <w:r>
              <w:t xml:space="preserve">28</w:t>
            </w:r>
          </w:p>
        </w:tc>
        <w:tc>
          <w:p>
            <w:pPr>
              <w:pStyle w:val="Compact"/>
              <w:jc w:val="left"/>
            </w:pPr>
            <w:r>
              <w:t xml:space="preserve">Event id=320 ; EmailThread pk=1,</w:t>
            </w:r>
            <w:r>
              <w:t xml:space="preserve"> </w:t>
            </w:r>
            <w:r>
              <w:rPr>
                <w:rStyle w:val="VerbatimChar"/>
              </w:rPr>
              <w:t xml:space="preserve">thread_id=183adb258899dcca</w:t>
            </w:r>
            <w:r>
              <w:t xml:space="preserve"> </w:t>
            </w:r>
            <w:r>
              <w:t xml:space="preserve">; Email id=1</w:t>
            </w:r>
          </w:p>
        </w:tc>
        <w:tc>
          <w:p>
            <w:pPr>
              <w:pStyle w:val="Compact"/>
              <w:jc w:val="left"/>
            </w:pPr>
            <w:r>
              <w:t xml:space="preserve">à coter ; confirmation tierce Allez Up</w:t>
            </w:r>
          </w:p>
        </w:tc>
      </w:tr>
      <w:tr>
        <w:tc>
          <w:p>
            <w:pPr>
              <w:pStyle w:val="Compact"/>
              <w:jc w:val="left"/>
            </w:pPr>
            <w:r>
              <w:t xml:space="preserve">29</w:t>
            </w:r>
          </w:p>
        </w:tc>
        <w:tc>
          <w:p>
            <w:pPr>
              <w:pStyle w:val="Compact"/>
              <w:jc w:val="left"/>
            </w:pPr>
            <w:r>
              <w:t xml:space="preserve">Emails id=350, 351, 352</w:t>
            </w:r>
          </w:p>
        </w:tc>
        <w:tc>
          <w:p>
            <w:pPr>
              <w:pStyle w:val="Compact"/>
              <w:jc w:val="left"/>
            </w:pPr>
            <w:r>
              <w:t xml:space="preserve">à coter</w:t>
            </w:r>
          </w:p>
        </w:tc>
      </w:tr>
      <w:tr>
        <w:tc>
          <w:p>
            <w:pPr>
              <w:pStyle w:val="Compact"/>
              <w:jc w:val="left"/>
            </w:pPr>
            <w:r>
              <w:t xml:space="preserve">30</w:t>
            </w:r>
          </w:p>
        </w:tc>
        <w:tc>
          <w:p>
            <w:pPr>
              <w:pStyle w:val="Compact"/>
              <w:jc w:val="left"/>
            </w:pPr>
            <w:r>
              <w:t xml:space="preserve">Event id=267</w:t>
            </w:r>
          </w:p>
        </w:tc>
        <w:tc>
          <w:p>
            <w:pPr>
              <w:pStyle w:val="Compact"/>
              <w:jc w:val="left"/>
            </w:pPr>
            <w:r>
              <w:t xml:space="preserve">à coter</w:t>
            </w:r>
          </w:p>
        </w:tc>
      </w:tr>
    </w:tbl>
    <w:p>
      <w:pPr>
        <w:pStyle w:val="Heading2"/>
      </w:pPr>
      <w:bookmarkStart w:id="68" w:name="prudences-de-rédaction-2"/>
      <w:r>
        <w:t xml:space="preserve">7. Prudences de rédaction</w:t>
      </w:r>
      <w:bookmarkEnd w:id="68"/>
    </w:p>
    <w:p>
      <w:pPr>
        <w:numPr>
          <w:numId w:val="1029"/>
          <w:ilvl w:val="0"/>
        </w:numPr>
      </w:pPr>
      <w:r>
        <w:t xml:space="preserve">Concéder expressément l’absence réelle des 16 et 17 juin 2013.</w:t>
      </w:r>
    </w:p>
    <w:p>
      <w:pPr>
        <w:numPr>
          <w:numId w:val="1029"/>
          <w:ilvl w:val="0"/>
        </w:numPr>
      </w:pPr>
      <w:r>
        <w:t xml:space="preserve">Concéder aussi que le défendeur a écrit, le 27 juin 2013, ne pas avoir vu ses enfants depuis deux semaines.</w:t>
      </w:r>
    </w:p>
    <w:p>
      <w:pPr>
        <w:numPr>
          <w:numId w:val="1029"/>
          <w:ilvl w:val="0"/>
        </w:numPr>
      </w:pPr>
      <w:r>
        <w:t xml:space="preserve">Ne pas présenter le dossier comme une preuve de garde partagée égale ou de présence à 50/50.</w:t>
      </w:r>
    </w:p>
    <w:p>
      <w:pPr>
        <w:numPr>
          <w:numId w:val="1029"/>
          <w:ilvl w:val="0"/>
        </w:numPr>
      </w:pPr>
      <w:r>
        <w:t xml:space="preserve">Ne pas soutenir, dans les faits plaidables, que l’absence nocturne a été causée par le courriel P-1 ou par une stratégie procédurale.</w:t>
      </w:r>
    </w:p>
    <w:p>
      <w:pPr>
        <w:numPr>
          <w:numId w:val="1029"/>
          <w:ilvl w:val="0"/>
        </w:numPr>
      </w:pPr>
      <w:r>
        <w:t xml:space="preserve">Ne pas relier le sous-sol de 2012 aux rénovations visées par le paragraphe 10 ; ce sont deux démonstrations distinctes.</w:t>
      </w:r>
    </w:p>
    <w:p>
      <w:pPr>
        <w:numPr>
          <w:numId w:val="1029"/>
          <w:ilvl w:val="0"/>
        </w:numPr>
      </w:pPr>
      <w:r>
        <w:t xml:space="preserve">Ne pas plaider le congé de travail de l’été 2013 tant que la pièce n’est pas obtenue.</w:t>
      </w:r>
    </w:p>
    <w:p>
      <w:pPr>
        <w:numPr>
          <w:numId w:val="1029"/>
          <w:ilvl w:val="0"/>
        </w:numPr>
      </w:pPr>
      <w:r>
        <w:t xml:space="preserve">Les PDFDocument id=90 et id=91 ont été vérifiés : ils soutiennent à titre illustratif le caractère structuré et récurrent du soccer jeunesse de Saint-Lambert, mais ils ne constituent pas une preuve directe de l’horaire de 2013.</w:t>
      </w:r>
    </w:p>
    <w:p>
      <w:pPr>
        <w:numPr>
          <w:numId w:val="1029"/>
          <w:ilvl w:val="0"/>
        </w:numPr>
      </w:pPr>
      <w:r>
        <w:t xml:space="preserve">Le PDFDocument id=90 présente des horaires jeunesse par groupe d’âge avec des séances récurrentes en semaine et le samedi ; il peut illustrer le mode d’organisation du soccer de Saint-Lambert, sans établir à lui seul l’horaire de 2013.</w:t>
      </w:r>
    </w:p>
    <w:p>
      <w:pPr>
        <w:numPr>
          <w:numId w:val="1029"/>
          <w:ilvl w:val="0"/>
        </w:numPr>
      </w:pPr>
      <w:r>
        <w:t xml:space="preserve">Le PDFDocument id=91 présente une saison jeunesse avec début le 18 mai, fin le 29 août, pauses et fête de fin de saison ; il peut illustrer la structure d’une saison estivale, sans remplacer les événements 239 et 263 pour la saison 2013.</w:t>
      </w:r>
    </w:p>
    <w:p>
      <w:pPr>
        <w:numPr>
          <w:numId w:val="1029"/>
          <w:ilvl w:val="0"/>
        </w:numPr>
      </w:pPr>
      <w:r>
        <w:t xml:space="preserve">Traiter les éléments liés au soccer comme un axe essentiel, mais distinguer les faits déjà sourcés par les événements et courriels des éléments encore à corroborer par l’ASSL.</w:t>
      </w:r>
    </w:p>
    <w:p>
      <w:pPr>
        <w:numPr>
          <w:numId w:val="1029"/>
          <w:ilvl w:val="0"/>
        </w:numPr>
      </w:pPr>
      <w:r>
        <w:t xml:space="preserve">Le rôle de coach de la demanderesse peut être plaidé sur connaissance directe, mais le fil</w:t>
      </w:r>
      <w:r>
        <w:t xml:space="preserve"> </w:t>
      </w:r>
      <w:r>
        <w:rPr>
          <w:rStyle w:val="VerbatimChar"/>
        </w:rPr>
        <w:t xml:space="preserve">http://127.0.0.1:8000/emails/thread/159/</w:t>
      </w:r>
      <w:r>
        <w:t xml:space="preserve"> </w:t>
      </w:r>
      <w:r>
        <w:t xml:space="preserve">devrait être conservé comme source accessible si ce fait est contesté.</w:t>
      </w:r>
    </w:p>
    <w:p>
      <w:pPr>
        <w:numPr>
          <w:numId w:val="1029"/>
          <w:ilvl w:val="0"/>
        </w:numPr>
      </w:pPr>
      <w:r>
        <w:t xml:space="preserve">Présenter les activités faites seul avec Alexia comme un axe distinct des sorties familiales, afin de démontrer une présence parentale autonome.</w:t>
      </w:r>
    </w:p>
    <w:p>
      <w:pPr>
        <w:numPr>
          <w:numId w:val="1029"/>
          <w:ilvl w:val="0"/>
        </w:numPr>
      </w:pPr>
      <w:r>
        <w:t xml:space="preserve">Éviter les formulations conclusives comme « abandon mensonger », « preuve de mauvaise foi » ou « accusation fabriquée » dans l’exposé des faits.</w:t>
      </w:r>
    </w:p>
    <w:p>
      <w:pPr>
        <w:pStyle w:val="Heading2"/>
      </w:pPr>
      <w:bookmarkStart w:id="69" w:name="Xf0401eab8e9693d0968a770994bae49748aae34"/>
      <w:r>
        <w:t xml:space="preserve">8. Usage proposé dans la demande introductive</w:t>
      </w:r>
      <w:bookmarkEnd w:id="69"/>
    </w:p>
    <w:p>
      <w:pPr>
        <w:pStyle w:val="FirstParagraph"/>
      </w:pPr>
      <w:r>
        <w:t xml:space="preserve">Le fait 1 peut servir d’ancrage procédural.</w:t>
      </w:r>
    </w:p>
    <w:p>
      <w:pPr>
        <w:pStyle w:val="BodyText"/>
      </w:pPr>
      <w:r>
        <w:t xml:space="preserve">Les faits 2 à 7 peuvent servir de contexte général : âge de Nicolas, état du sous-sol, soccer, rôle de coach allégué, soins de Nicolas et volume documentaire.</w:t>
      </w:r>
    </w:p>
    <w:p>
      <w:pPr>
        <w:pStyle w:val="BodyText"/>
      </w:pPr>
      <w:r>
        <w:t xml:space="preserve">Les faits 8 à 30 peuvent être repris comme chronologie principale de l’été 2013.</w:t>
      </w:r>
    </w:p>
    <w:p>
      <w:pPr>
        <w:pStyle w:val="BodyText"/>
      </w:pPr>
      <w:r>
        <w:t xml:space="preserve">Les faits 8 et 9 doivent être conservés comme concessions, afin de préserver la crédibilité de la narration et d’éviter une contestation excessive.</w:t>
      </w:r>
    </w:p>
    <w:p>
      <w:pPr>
        <w:pStyle w:val="BodyText"/>
      </w:pPr>
      <w:r>
        <w:t xml:space="preserve">La qualification de faute procédurale devrait être réservée aux moyens de droit, après l’exposé chronologique.</w:t>
      </w:r>
    </w:p>
    <w:p>
      <w:pPr>
        <w:pStyle w:val="Heading2"/>
      </w:pPr>
      <w:bookmarkStart w:id="70" w:name="version-procédurale-distillée-2"/>
      <w:r>
        <w:t xml:space="preserve">9. Version procédurale distillée</w:t>
      </w:r>
      <w:bookmarkEnd w:id="70"/>
    </w:p>
    <w:p>
      <w:pPr>
        <w:pStyle w:val="BlockText"/>
      </w:pPr>
      <w:r>
        <w:t xml:space="preserve">Les références internes ci-dessous servent au travail de rédaction. Elles ne sont pas des cotes finales et devront être remplacées par les cotes de pièces lorsque l’ensemble du dossier sera stabilisé.</w:t>
      </w:r>
    </w:p>
    <w:p>
      <w:pPr>
        <w:pStyle w:val="Heading3"/>
      </w:pPr>
      <w:bookmarkStart w:id="71" w:name="version-courte-2"/>
      <w:r>
        <w:t xml:space="preserve">Version courte</w:t>
      </w:r>
      <w:bookmarkEnd w:id="71"/>
    </w:p>
    <w:p>
      <w:pPr>
        <w:pStyle w:val="FirstParagraph"/>
      </w:pPr>
      <w:r>
        <w:t xml:space="preserve">Contrairement à l’allégation selon laquelle le défendeur serait parti tout l’été 2013 en laissant la demanderesse seule avec les deux enfants, le défendeur est demeuré présent auprès des enfants pendant cette période, notamment lors des activités de soccer d’Alexia, des soins de Nicolas, de sorties répétées avec Alexia et de sorties familiales.</w:t>
      </w:r>
    </w:p>
    <w:p>
      <w:pPr>
        <w:pStyle w:val="Heading3"/>
      </w:pPr>
      <w:bookmarkStart w:id="72" w:name="paragraphes-proposés-2"/>
      <w:r>
        <w:t xml:space="preserve">Paragraphes proposés</w:t>
      </w:r>
      <w:bookmarkEnd w:id="72"/>
    </w:p>
    <w:p>
      <w:pPr>
        <w:numPr>
          <w:numId w:val="1030"/>
          <w:ilvl w:val="0"/>
        </w:numPr>
      </w:pPr>
      <w:r>
        <w:t xml:space="preserve">Le 19 novembre 2015, la demanderesse a allégué que le défendeur était parti tout l’été 2013 et l’avait laissée seule avec les deux enfants (</w:t>
      </w:r>
      <w:r>
        <w:rPr>
          <w:rStyle w:val="VerbatimChar"/>
        </w:rPr>
        <w:t xml:space="preserve">piece_document-1.md</w:t>
      </w:r>
      <w:r>
        <w:t xml:space="preserve">).</w:t>
      </w:r>
    </w:p>
    <w:p>
      <w:pPr>
        <w:numPr>
          <w:numId w:val="1030"/>
          <w:ilvl w:val="0"/>
        </w:numPr>
      </w:pPr>
      <w:r>
        <w:t xml:space="preserve">Nicolas, né le 1er février 2013, était âgé de quelques mois pendant l’été 2013.</w:t>
      </w:r>
    </w:p>
    <w:p>
      <w:pPr>
        <w:numPr>
          <w:numId w:val="1030"/>
          <w:ilvl w:val="0"/>
        </w:numPr>
      </w:pPr>
      <w:r>
        <w:t xml:space="preserve">Du 28 mai au 24 août 2013, Alexia a participé à la saison de soccer de Saint-Lambert (Events id=239, 263).</w:t>
      </w:r>
    </w:p>
    <w:p>
      <w:pPr>
        <w:numPr>
          <w:numId w:val="1030"/>
          <w:ilvl w:val="0"/>
        </w:numPr>
      </w:pPr>
      <w:r>
        <w:t xml:space="preserve">Pendant cette saison, la demanderesse agissait comme entraîneuse de l’équipe de soccer d’Alexia.</w:t>
      </w:r>
    </w:p>
    <w:p>
      <w:pPr>
        <w:numPr>
          <w:numId w:val="1030"/>
          <w:ilvl w:val="0"/>
        </w:numPr>
      </w:pPr>
      <w:r>
        <w:t xml:space="preserve">Durant les ateliers de soccer d’Alexia, le défendeur s’occupait des soins de Nicolas (EmailThread pk=26 ; Emails id=33, 32).</w:t>
      </w:r>
    </w:p>
    <w:p>
      <w:pPr>
        <w:numPr>
          <w:numId w:val="1030"/>
          <w:ilvl w:val="0"/>
        </w:numPr>
      </w:pPr>
      <w:r>
        <w:t xml:space="preserve">Entre le 1er juin et le 30 septembre 2013, le défendeur est documenté avec l’un ou l’autre des enfants à au moins trente occasions (</w:t>
      </w:r>
      <w:r>
        <w:rPr>
          <w:rStyle w:val="VerbatimChar"/>
        </w:rPr>
        <w:t xml:space="preserve">piece_tableau_recap_evenements.md</w:t>
      </w:r>
      <w:r>
        <w:t xml:space="preserve">).</w:t>
      </w:r>
    </w:p>
    <w:p>
      <w:pPr>
        <w:numPr>
          <w:numId w:val="1030"/>
          <w:ilvl w:val="0"/>
        </w:numPr>
      </w:pPr>
      <w:r>
        <w:t xml:space="preserve">Les 16 et 17 juin 2013, le défendeur était en voyage à Cape Cod avec ses parents et sa fratrie, sans les enfants (Events id=242, 243).</w:t>
      </w:r>
    </w:p>
    <w:p>
      <w:pPr>
        <w:numPr>
          <w:numId w:val="1030"/>
          <w:ilvl w:val="0"/>
        </w:numPr>
      </w:pPr>
      <w:r>
        <w:t xml:space="preserve">Le 27 juin 2013, le défendeur écrivait à son supérieur qu’il n’avait pas vu ses enfants depuis deux semaines (Email id=39).</w:t>
      </w:r>
    </w:p>
    <w:p>
      <w:pPr>
        <w:numPr>
          <w:numId w:val="1030"/>
          <w:ilvl w:val="0"/>
        </w:numPr>
      </w:pPr>
      <w:r>
        <w:t xml:space="preserve">Les 27 juin, 7 juillet, 18 août, 26 août et 31 août 2013, le défendeur a fait de l’escalade avec Alexia, ce qui est corroboré par Allez Up (Events id=316 à 320 ; EmailThread pk=1).</w:t>
      </w:r>
    </w:p>
    <w:p>
      <w:pPr>
        <w:numPr>
          <w:numId w:val="1030"/>
          <w:ilvl w:val="0"/>
        </w:numPr>
      </w:pPr>
      <w:r>
        <w:t xml:space="preserve">Les 1er juillet, 4 juillet, 14 juillet, 23 août et 29 septembre 2013, le défendeur, la demanderesse et les enfants ont participé à des sorties familiales (Events id=244, 246, 255, 256, 262, 267).</w:t>
      </w:r>
    </w:p>
    <w:p>
      <w:pPr>
        <w:numPr>
          <w:numId w:val="1030"/>
          <w:ilvl w:val="0"/>
        </w:numPr>
      </w:pPr>
      <w:r>
        <w:t xml:space="preserve">Les 14 et 15 juillet 2013, la demanderesse a entrepris l’organisation d’une fête d’anniversaire-surprise pour le défendeur (PhotoDocument id=5 ; Events id=312 à 315).</w:t>
      </w:r>
    </w:p>
    <w:p>
      <w:pPr>
        <w:numPr>
          <w:numId w:val="1030"/>
          <w:ilvl w:val="0"/>
        </w:numPr>
      </w:pPr>
      <w:r>
        <w:t xml:space="preserve">Le 19 juillet 2013, le défendeur écrivait à une amie qu’il voyait les enfants tous les jours, soupait à la maison avec la demanderesse et couchait chez ses parents depuis environ un mois (Email id=35).</w:t>
      </w:r>
    </w:p>
    <w:p>
      <w:pPr>
        <w:numPr>
          <w:numId w:val="1030"/>
          <w:ilvl w:val="0"/>
        </w:numPr>
      </w:pPr>
      <w:r>
        <w:t xml:space="preserve">Le même jour, le défendeur écrivait que son séjour chez ses parents était temporaire et qu’il prévoyait probablement réintégrer la résidence familiale dans les semaines suivantes (Email id=35).</w:t>
      </w:r>
    </w:p>
    <w:p>
      <w:pPr>
        <w:numPr>
          <w:numId w:val="1030"/>
          <w:ilvl w:val="0"/>
        </w:numPr>
      </w:pPr>
      <w:r>
        <w:t xml:space="preserve">Le défendeur expliquait également qu’il ne pouvait pas dormir au sous-sol de la résidence parce qu’il n’y avait plus de sous-sol (Email id=136).</w:t>
      </w:r>
    </w:p>
    <w:p>
      <w:pPr>
        <w:numPr>
          <w:numId w:val="1030"/>
          <w:ilvl w:val="0"/>
        </w:numPr>
      </w:pPr>
      <w:r>
        <w:t xml:space="preserve">Le sous-sol de la résidence avait été démoli en 2012 à la suite d’une inondation et n’avait pas été reconstruit (PDFDocument id=60 ; Email id=137).</w:t>
      </w:r>
    </w:p>
    <w:p>
      <w:pPr>
        <w:numPr>
          <w:numId w:val="1030"/>
          <w:ilvl w:val="0"/>
        </w:numPr>
      </w:pPr>
      <w:r>
        <w:t xml:space="preserve">Du 11 au 16 août 2013, le défendeur était en voyage à Cape Cod avec Alexia et Nicolas (Events id=257 à 260).</w:t>
      </w:r>
    </w:p>
    <w:p>
      <w:pPr>
        <w:numPr>
          <w:numId w:val="1030"/>
          <w:ilvl w:val="0"/>
        </w:numPr>
      </w:pPr>
      <w:r>
        <w:t xml:space="preserve">Le 10 septembre 2013, la demanderesse a proposé au défendeur un voyage familial pour quatre personnes dans un hôtel cinq étoiles (Emails id=350 à 352).</w:t>
      </w:r>
    </w:p>
    <w:p>
      <w:pPr>
        <w:pStyle w:val="Heading3"/>
      </w:pPr>
      <w:bookmarkStart w:id="73" w:name="portée-à-réserver-aux-moyens-2"/>
      <w:r>
        <w:t xml:space="preserve">Portée à réserver aux moyens</w:t>
      </w:r>
      <w:bookmarkEnd w:id="73"/>
    </w:p>
    <w:p>
      <w:pPr>
        <w:pStyle w:val="FirstParagraph"/>
      </w:pPr>
      <w:r>
        <w:t xml:space="preserve">Ces faits permettent de soutenir que l’allégation du paragraphe 9 requalifie une absence nocturne temporaire et partielle en abandon estival complet. Cette conclusion ne devrait pas être intégrée comme fait autonome dans l’exposé factuel ; elle appartient aux moyens.</w:t>
      </w:r>
    </w:p>
    <w:p>
      <w:r>
        <w:pict>
          <v:rect style="width:0;height:1.5pt" o:hralign="center" o:hrstd="t" o:hr="t"/>
        </w:pict>
      </w:r>
    </w:p>
    <w:p>
      <w:pPr>
        <w:pStyle w:val="Heading1"/>
      </w:pPr>
      <w:bookmarkStart w:id="74" w:name="X16ae89c07ad3aaaced697e5c363f725f7c5bb1e"/>
      <w:r>
        <w:t xml:space="preserve">Pont — §10 de la Requête du 19 novembre 2015</w:t>
      </w:r>
      <w:bookmarkEnd w:id="74"/>
    </w:p>
    <w:p>
      <w:pPr>
        <w:pStyle w:val="Heading2"/>
      </w:pPr>
      <w:bookmarkStart w:id="75" w:name="allégation-visée-2"/>
      <w:r>
        <w:t xml:space="preserve">1. Allégation visée</w:t>
      </w:r>
      <w:bookmarkEnd w:id="75"/>
    </w:p>
    <w:p>
      <w:pPr>
        <w:pStyle w:val="BlockText"/>
      </w:pPr>
      <w:r>
        <w:rPr>
          <w:b/>
        </w:rPr>
        <w:t xml:space="preserve">§10</w:t>
      </w:r>
      <w:r>
        <w:t xml:space="preserve"> </w:t>
      </w:r>
      <w:r>
        <w:rPr>
          <w:i/>
        </w:rPr>
        <w:t xml:space="preserve">(stmt 14)</w:t>
      </w:r>
      <w:r>
        <w:t xml:space="preserve"> </w:t>
      </w:r>
      <w:r>
        <w:t xml:space="preserve">— « Au mois d’août 2014, la demanderesse a racheté la part du défendeur dans la résidence commune car il refusait de faire des réparations et rénovations nécessaires dans la maison. »</w:t>
      </w:r>
    </w:p>
    <w:p>
      <w:pPr>
        <w:pStyle w:val="FirstParagraph"/>
      </w:pPr>
      <w:r>
        <w:t xml:space="preserve">Source :</w:t>
      </w:r>
      <w:r>
        <w:t xml:space="preserve"> </w:t>
      </w:r>
      <w:hyperlink r:id="rId76">
        <w:r>
          <w:rPr>
            <w:rStyle w:val="Hyperlink"/>
          </w:rPr>
          <w:t xml:space="preserve">piece_document-1.md</w:t>
        </w:r>
      </w:hyperlink>
      <w:r>
        <w:t xml:space="preserve">. Faits bruts :</w:t>
      </w:r>
      <w:r>
        <w:t xml:space="preserve"> </w:t>
      </w:r>
      <w:hyperlink r:id="rId77">
        <w:r>
          <w:rPr>
            <w:rStyle w:val="Hyperlink"/>
          </w:rPr>
          <w:t xml:space="preserve">faits_par10_2015.md</w:t>
        </w:r>
      </w:hyperlink>
      <w:r>
        <w:t xml:space="preserve">. Analyse :</w:t>
      </w:r>
      <w:r>
        <w:t xml:space="preserve"> </w:t>
      </w:r>
      <w:hyperlink r:id="rId78">
        <w:r>
          <w:rPr>
            <w:rStyle w:val="Hyperlink"/>
          </w:rPr>
          <w:t xml:space="preserve">argument paragraphe 10.md</w:t>
        </w:r>
      </w:hyperlink>
      <w:r>
        <w:t xml:space="preserve">.</w:t>
      </w:r>
    </w:p>
    <w:p>
      <w:pPr>
        <w:pStyle w:val="Heading2"/>
      </w:pPr>
      <w:bookmarkStart w:id="79" w:name="objectif-de-démonstration-3"/>
      <w:r>
        <w:t xml:space="preserve">2. Objectif de démonstration</w:t>
      </w:r>
      <w:bookmarkEnd w:id="79"/>
    </w:p>
    <w:p>
      <w:pPr>
        <w:pStyle w:val="FirstParagraph"/>
      </w:pPr>
      <w:r>
        <w:rPr>
          <w:b/>
        </w:rPr>
        <w:t xml:space="preserve">Classification : attribution causale matériellement trompeuse par omission de la cause connue du refus.</w:t>
      </w:r>
    </w:p>
    <w:p>
      <w:pPr>
        <w:pStyle w:val="BodyText"/>
      </w:pPr>
      <w:r>
        <w:t xml:space="preserve">Le défendeur ne nie pas qu’il ait pu refuser d’investir davantage dans certaines réparations ou rénovations. Il concède également que ce refus a pu contribuer à la décision immédiate de la demanderesse de racheter sa part. Le §10 devient trompeur lorsqu’il présente ce déclencheur sans révéler la cause antérieure du refus et de la décision de liquider.</w:t>
      </w:r>
    </w:p>
    <w:p>
      <w:pPr>
        <w:pStyle w:val="BodyText"/>
      </w:pPr>
      <w:r>
        <w:t xml:space="preserve">La chronologie documente une autre structure causale :</w:t>
      </w:r>
    </w:p>
    <w:p>
      <w:pPr>
        <w:pStyle w:val="Compact"/>
        <w:numPr>
          <w:numId w:val="1031"/>
          <w:ilvl w:val="0"/>
        </w:numPr>
      </w:pPr>
      <w:r>
        <w:t xml:space="preserve">Le plan adressé à la demanderesse le 11 juin 2013 expose le défendeur à perdre l’usage de la résidence tout en demeurant copropriétaire, relocalisé et responsable de 50 % des charges.</w:t>
      </w:r>
    </w:p>
    <w:p>
      <w:pPr>
        <w:pStyle w:val="Compact"/>
        <w:numPr>
          <w:numId w:val="1031"/>
          <w:ilvl w:val="0"/>
        </w:numPr>
      </w:pPr>
      <w:r>
        <w:t xml:space="preserve">Le 27 juin 2013, le défendeur écrit à son employeur qu’il doit vendre la maison.</w:t>
      </w:r>
    </w:p>
    <w:p>
      <w:pPr>
        <w:pStyle w:val="Compact"/>
        <w:numPr>
          <w:numId w:val="1031"/>
          <w:ilvl w:val="0"/>
        </w:numPr>
      </w:pPr>
      <w:r>
        <w:t xml:space="preserve">Le même jour, il mandate un évaluateur pour établir sa valeur à des fins de partage.</w:t>
      </w:r>
    </w:p>
    <w:p>
      <w:pPr>
        <w:pStyle w:val="Compact"/>
        <w:numPr>
          <w:numId w:val="1031"/>
          <w:ilvl w:val="0"/>
        </w:numPr>
      </w:pPr>
      <w:r>
        <w:t xml:space="preserve">Cette démarche aboutit au rachat de sa part en août 2014 au prix établi par l’évaluation.</w:t>
      </w:r>
    </w:p>
    <w:p>
      <w:pPr>
        <w:pStyle w:val="Compact"/>
        <w:numPr>
          <w:numId w:val="1031"/>
          <w:ilvl w:val="0"/>
        </w:numPr>
      </w:pPr>
      <w:r>
        <w:t xml:space="preserve">La décision de liquider l’actif explique simultanément le refus d’y immobiliser davantage de capitaux et la vente de la part du défendeur.</w:t>
      </w:r>
    </w:p>
    <w:p>
      <w:pPr>
        <w:pStyle w:val="FirstParagraph"/>
      </w:pPr>
      <w:r>
        <w:t xml:space="preserve">Le modèle causal est donc :</w:t>
      </w:r>
    </w:p>
    <w:p>
      <w:pPr>
        <w:pStyle w:val="BlockText"/>
      </w:pPr>
      <w:r>
        <w:rPr>
          <w:b/>
        </w:rPr>
        <w:t xml:space="preserve">risque financier et décision de liquider → refus d’investir davantage</w:t>
      </w:r>
    </w:p>
    <w:p>
      <w:pPr>
        <w:pStyle w:val="BlockText"/>
      </w:pPr>
      <w:r>
        <w:rPr>
          <w:b/>
        </w:rPr>
        <w:t xml:space="preserve">risque financier et décision de liquider → évaluation, partage et vente</w:t>
      </w:r>
    </w:p>
    <w:p>
      <w:pPr>
        <w:pStyle w:val="FirstParagraph"/>
      </w:pPr>
      <w:r>
        <w:t xml:space="preserve">Le §10 réduit cette chaîne à :</w:t>
      </w:r>
    </w:p>
    <w:p>
      <w:pPr>
        <w:pStyle w:val="BlockText"/>
      </w:pPr>
      <w:r>
        <w:rPr>
          <w:b/>
        </w:rPr>
        <w:t xml:space="preserve">refus de rénover → rachat par la demanderesse</w:t>
      </w:r>
    </w:p>
    <w:p>
      <w:pPr>
        <w:pStyle w:val="FirstParagraph"/>
      </w:pPr>
      <w:r>
        <w:t xml:space="preserve">La faute réside dans l’omission de la cause commune connue. Cette omission présente le refus comme un manquement isolé et comme l’explication suffisante du rachat, alors qu’il pouvait lui-même découler de la décision antérieure de liquider l’actif.</w:t>
      </w:r>
    </w:p>
    <w:p>
      <w:pPr>
        <w:pStyle w:val="Heading2"/>
      </w:pPr>
      <w:bookmarkStart w:id="80" w:name="Xe6b700e0d78aaf1217471ba3d003fc6a18f50a1"/>
      <w:r>
        <w:t xml:space="preserve">3. Logique économique des réparations nécessaires</w:t>
      </w:r>
      <w:bookmarkEnd w:id="80"/>
    </w:p>
    <w:p>
      <w:pPr>
        <w:pStyle w:val="FirstParagraph"/>
      </w:pPr>
      <w:r>
        <w:t xml:space="preserve">La qualification « réparations et rénovations nécessaires » contient une difficulté propre.</w:t>
      </w:r>
    </w:p>
    <w:p>
      <w:pPr>
        <w:pStyle w:val="BodyText"/>
      </w:pPr>
      <w:r>
        <w:t xml:space="preserve">Dans la proposition même du §10, qualifier les réparations de « nécessaires » signifie que leur omission entraîne une dépréciation correspondante de l’actif. Chaque dollar investi ne crée alors pas un dollar de richesse nouvelle : il remplace un dollar de liquidités par un dollar de valeur immobilière maintenue.</w:t>
      </w:r>
    </w:p>
    <w:p>
      <w:pPr>
        <w:pStyle w:val="Compact"/>
        <w:numPr>
          <w:numId w:val="1032"/>
          <w:ilvl w:val="0"/>
        </w:numPr>
      </w:pPr>
      <w:r>
        <w:t xml:space="preserve">si le propriétaire finance une réparation nécessaire d’un dollar, ses liquidités diminuent d’un dollar et la valeur de son actif est maintenue d’un dollar;</w:t>
      </w:r>
    </w:p>
    <w:p>
      <w:pPr>
        <w:pStyle w:val="Compact"/>
        <w:numPr>
          <w:numId w:val="1032"/>
          <w:ilvl w:val="0"/>
        </w:numPr>
      </w:pPr>
      <w:r>
        <w:t xml:space="preserve">s’il ne la finance pas, il conserve ce dollar de liquidités, mais supporte une dépréciation correspondante de sa participation dans l’actif;</w:t>
      </w:r>
    </w:p>
    <w:p>
      <w:pPr>
        <w:pStyle w:val="Compact"/>
        <w:numPr>
          <w:numId w:val="1032"/>
          <w:ilvl w:val="0"/>
        </w:numPr>
      </w:pPr>
      <w:r>
        <w:t xml:space="preserve">au niveau de son bilan, l’effet est neutre : seule la composition de son patrimoine change entre liquidités disponibles et capital immobilier immobilisé.</w:t>
      </w:r>
    </w:p>
    <w:p>
      <w:pPr>
        <w:pStyle w:val="FirstParagraph"/>
      </w:pPr>
      <w:r>
        <w:t xml:space="preserve">Le refus de réparations réellement nécessaires ne procure donc, en lui-même, aucun avantage patrimonial au copropriétaire. Il devient rationnel lorsqu’il ne porte pas sur l’entretien d’un actif destiné à être conservé, mais sur le refus de convertir davantage de liquidités en capital immobilisé dans un actif dont la liquidation est déjà engagée et dont l’usage risque d’être perdu.</w:t>
      </w:r>
    </w:p>
    <w:p>
      <w:pPr>
        <w:pStyle w:val="BodyText"/>
      </w:pPr>
      <w:r>
        <w:t xml:space="preserve">Le §10 circonscrit expressément son attribution aux réparations et rénovations</w:t>
      </w:r>
      <w:r>
        <w:t xml:space="preserve"> </w:t>
      </w:r>
      <w:r>
        <w:rPr>
          <w:b/>
        </w:rPr>
        <w:t xml:space="preserve">nécessaires</w:t>
      </w:r>
      <w:r>
        <w:t xml:space="preserve">. Les améliorations électives, notamment l’installation d’une piscine ou de planchers chauffants, sont donc étrangères à l’allégation et ne doivent pas servir à sa réfutation.</w:t>
      </w:r>
    </w:p>
    <w:p>
      <w:pPr>
        <w:pStyle w:val="BodyText"/>
      </w:pPr>
      <w:r>
        <w:t xml:space="preserve">Pour les seuls travaux visés par le §10, chaque dollar non investi devait se traduire par une dépréciation correspondante de la part du défendeur ou du prix de partage. Le refus ne lui procurait aucun gain patrimonial et doit être lu dans le contexte de la liquidation. Le §10 ne pouvait l’isoler de ce contexte sans altérer sa signification.</w:t>
      </w:r>
    </w:p>
    <w:p>
      <w:pPr>
        <w:pStyle w:val="Heading2"/>
      </w:pPr>
      <w:bookmarkStart w:id="81" w:name="force-probatoire-3"/>
      <w:r>
        <w:t xml:space="preserve">4. Force probatoire</w:t>
      </w:r>
      <w:bookmarkEnd w:id="81"/>
    </w:p>
    <w:p>
      <w:pPr>
        <w:pStyle w:val="FirstParagraph"/>
      </w:pPr>
      <w:r>
        <w:rPr>
          <w:b/>
        </w:rPr>
        <w:t xml:space="preserve">Forte sur la cause commune et son omission; moyenne sur la fausseté littérale du motif personnel de la demanderesse; réservée sur le détail des travaux.</w:t>
      </w:r>
    </w:p>
    <w:p>
      <w:pPr>
        <w:pStyle w:val="Compact"/>
        <w:numPr>
          <w:numId w:val="1033"/>
          <w:ilvl w:val="0"/>
        </w:numPr>
      </w:pPr>
      <w:r>
        <w:rPr>
          <w:b/>
        </w:rPr>
        <w:t xml:space="preserve">Chronologie objective :</w:t>
      </w:r>
      <w:r>
        <w:t xml:space="preserve"> </w:t>
      </w:r>
      <w:r>
        <w:t xml:space="preserve">la déclaration « je dois vendre ma maison », le mandat d’évaluation à des fins de partage et le rachat au prix évalué documentent une décision de liquidation engagée dès juin 2013.</w:t>
      </w:r>
    </w:p>
    <w:p>
      <w:pPr>
        <w:pStyle w:val="Compact"/>
        <w:numPr>
          <w:numId w:val="1033"/>
          <w:ilvl w:val="0"/>
        </w:numPr>
      </w:pPr>
      <w:r>
        <w:rPr>
          <w:b/>
        </w:rPr>
        <w:t xml:space="preserve">Risque objectif :</w:t>
      </w:r>
      <w:r>
        <w:t xml:space="preserve"> </w:t>
      </w:r>
      <w:r>
        <w:t xml:space="preserve">le plan du 11 juin dissocie l’usage de l’actif de ses charges et augmente le coût d’y immobiliser de nouveaux capitaux.</w:t>
      </w:r>
    </w:p>
    <w:p>
      <w:pPr>
        <w:pStyle w:val="Compact"/>
        <w:numPr>
          <w:numId w:val="1033"/>
          <w:ilvl w:val="0"/>
        </w:numPr>
      </w:pPr>
      <w:r>
        <w:rPr>
          <w:b/>
        </w:rPr>
        <w:t xml:space="preserve">Connaissance de la demanderesse :</w:t>
      </w:r>
      <w:r>
        <w:t xml:space="preserve"> </w:t>
      </w:r>
      <w:r>
        <w:t xml:space="preserve">elle était destinataire du plan, copropriétaire, partie au rachat et bénéficiaire du transfert effectué sur la base de l’évaluation de partage.</w:t>
      </w:r>
    </w:p>
    <w:p>
      <w:pPr>
        <w:pStyle w:val="Compact"/>
        <w:numPr>
          <w:numId w:val="1033"/>
          <w:ilvl w:val="0"/>
        </w:numPr>
      </w:pPr>
      <w:r>
        <w:rPr>
          <w:b/>
        </w:rPr>
        <w:t xml:space="preserve">Lien entre les deux décisions :</w:t>
      </w:r>
      <w:r>
        <w:t xml:space="preserve"> </w:t>
      </w:r>
      <w:r>
        <w:t xml:space="preserve">ne plus investir et liquider sont deux réponses économiquement cohérentes au même risque. Le refus a pu contribuer au choix immédiat de la demanderesse d’acheter, mais le §10 omet la cause antérieure qui explique pourquoi ce refus existait.</w:t>
      </w:r>
    </w:p>
    <w:p>
      <w:pPr>
        <w:pStyle w:val="Compact"/>
        <w:numPr>
          <w:numId w:val="1033"/>
          <w:ilvl w:val="0"/>
        </w:numPr>
      </w:pPr>
      <w:r>
        <w:rPr>
          <w:b/>
        </w:rPr>
        <w:t xml:space="preserve">Réserve :</w:t>
      </w:r>
      <w:r>
        <w:t xml:space="preserve"> </w:t>
      </w:r>
      <w:r>
        <w:t xml:space="preserve">les documents actuels n’identifient pas précisément chaque réparation ou rénovation nécessaire demandée, son coût, la valeur qu’elle devait préserver ni les échanges dans lesquels le défendeur l’aurait refusée.</w:t>
      </w:r>
    </w:p>
    <w:p>
      <w:pPr>
        <w:pStyle w:val="Heading2"/>
      </w:pPr>
      <w:bookmarkStart w:id="82" w:name="faits-essentiels-plaidables-3"/>
      <w:r>
        <w:t xml:space="preserve">5. Faits essentiels plaidables</w:t>
      </w:r>
      <w:bookmarkEnd w:id="82"/>
    </w:p>
    <w:p>
      <w:pPr>
        <w:pStyle w:val="FirstParagraph"/>
      </w:pPr>
      <w:r>
        <w:rPr>
          <w:i/>
        </w:rPr>
        <w:t xml:space="preserve">(strictement chronologiques et plats)</w:t>
      </w:r>
    </w:p>
    <w:p>
      <w:pPr>
        <w:pStyle w:val="Compact"/>
        <w:numPr>
          <w:numId w:val="1034"/>
          <w:ilvl w:val="0"/>
        </w:numPr>
      </w:pPr>
      <w:r>
        <w:t xml:space="preserve">En août 2009, les parties ont acquis conjointement la résidence familiale au 245, avenue Macaulay, à Saint-Lambert.</w:t>
      </w:r>
    </w:p>
    <w:p>
      <w:pPr>
        <w:pStyle w:val="Compact"/>
        <w:numPr>
          <w:numId w:val="1034"/>
          <w:ilvl w:val="0"/>
        </w:numPr>
      </w:pPr>
      <w:r>
        <w:t xml:space="preserve">Le 11 juin 2013, Me Marie-Josée Ayoub a écrit à la demanderesse un plan prévoyant l’usage exclusif de la résidence familiale, la relocalisation du défendeur et le paiement par lui de 50 % des charges afférentes à la maison.</w:t>
      </w:r>
    </w:p>
    <w:p>
      <w:pPr>
        <w:pStyle w:val="Compact"/>
        <w:numPr>
          <w:numId w:val="1034"/>
          <w:ilvl w:val="0"/>
        </w:numPr>
      </w:pPr>
      <w:r>
        <w:t xml:space="preserve">Le 26 juin 2013, le défendeur a écrit à Me Suzanne Pringle que la soeur avocate de sa conjointe la guidait « de façon à [le] piéger » et que la demanderesse lui écrivait qu’elle le trouvait agressif et avait peur de lui.</w:t>
      </w:r>
    </w:p>
    <w:p>
      <w:pPr>
        <w:pStyle w:val="Compact"/>
        <w:numPr>
          <w:numId w:val="1034"/>
          <w:ilvl w:val="0"/>
        </w:numPr>
      </w:pPr>
      <w:r>
        <w:t xml:space="preserve">Le 27 juin 2013, le défendeur a écrit à son supérieur : « je dois vendre ma maison ».</w:t>
      </w:r>
    </w:p>
    <w:p>
      <w:pPr>
        <w:pStyle w:val="Compact"/>
        <w:numPr>
          <w:numId w:val="1034"/>
          <w:ilvl w:val="0"/>
        </w:numPr>
      </w:pPr>
      <w:r>
        <w:t xml:space="preserve">Le même jour, il a mandaté l’évaluateur agréé Louis-Philippe Robert pour établir la valeur marchande de la résidence à des fins de partage.</w:t>
      </w:r>
    </w:p>
    <w:p>
      <w:pPr>
        <w:pStyle w:val="Compact"/>
        <w:numPr>
          <w:numId w:val="1034"/>
          <w:ilvl w:val="0"/>
        </w:numPr>
      </w:pPr>
      <w:r>
        <w:t xml:space="preserve">Le 28 juin 2013, l’évaluateur a inspecté la propriété.</w:t>
      </w:r>
    </w:p>
    <w:p>
      <w:pPr>
        <w:pStyle w:val="Compact"/>
        <w:numPr>
          <w:numId w:val="1034"/>
          <w:ilvl w:val="0"/>
        </w:numPr>
      </w:pPr>
      <w:r>
        <w:t xml:space="preserve">Le 11 juillet 2013, l’évaluateur a produit son rapport d’évaluation marchande à des fins de partage.</w:t>
      </w:r>
    </w:p>
    <w:p>
      <w:pPr>
        <w:pStyle w:val="Compact"/>
        <w:numPr>
          <w:numId w:val="1034"/>
          <w:ilvl w:val="0"/>
        </w:numPr>
      </w:pPr>
      <w:r>
        <w:t xml:space="preserve">Le 1er août 2014, le défendeur a vendu sa part de la résidence à la demanderesse au prix établi par ce rapport.</w:t>
      </w:r>
    </w:p>
    <w:p>
      <w:pPr>
        <w:pStyle w:val="Compact"/>
        <w:numPr>
          <w:numId w:val="1034"/>
          <w:ilvl w:val="0"/>
        </w:numPr>
      </w:pPr>
      <w:r>
        <w:t xml:space="preserve">Le 19 novembre 2015, la Requête a allégué que le rachat avait eu lieu parce que le défendeur refusait de faire les réparations et rénovations nécessaires.</w:t>
      </w:r>
    </w:p>
    <w:p>
      <w:pPr>
        <w:pStyle w:val="Compact"/>
        <w:numPr>
          <w:numId w:val="1034"/>
          <w:ilvl w:val="0"/>
        </w:numPr>
      </w:pPr>
      <w:r>
        <w:t xml:space="preserve">La Requête ne mentionne ni le plan du 11 juin 2013, ni la décision de vendre exprimée en juin 2013, ni la démarche d’évaluation à des fins de partage entreprise à cette date.</w:t>
      </w:r>
    </w:p>
    <w:p>
      <w:pPr>
        <w:pStyle w:val="Heading2"/>
      </w:pPr>
      <w:bookmarkStart w:id="83" w:name="inférences-réservées-aux-moyens-3"/>
      <w:r>
        <w:t xml:space="preserve">6. Inférences réservées aux moyens</w:t>
      </w:r>
      <w:bookmarkEnd w:id="83"/>
    </w:p>
    <w:p>
      <w:pPr>
        <w:pStyle w:val="Compact"/>
        <w:numPr>
          <w:numId w:val="1035"/>
          <w:ilvl w:val="0"/>
        </w:numPr>
      </w:pPr>
      <w:r>
        <w:t xml:space="preserve">Le plan du 11 juin 2013 créait une exposition patrimoniale asymétrique : perte possible de l’usage de la résidence, relocalisation, maintien de 50 % des charges et immobilisation du capital du défendeur.</w:t>
      </w:r>
    </w:p>
    <w:p>
      <w:pPr>
        <w:pStyle w:val="Compact"/>
        <w:numPr>
          <w:numId w:val="1035"/>
          <w:ilvl w:val="0"/>
        </w:numPr>
      </w:pPr>
      <w:r>
        <w:t xml:space="preserve">La déclaration « je dois vendre ma maison » et le mandat d’évaluation à des fins de partage, accomplis le même jour, établissent que la liquidation était concrètement engagée dès juin 2013.</w:t>
      </w:r>
    </w:p>
    <w:p>
      <w:pPr>
        <w:pStyle w:val="Compact"/>
        <w:numPr>
          <w:numId w:val="1035"/>
          <w:ilvl w:val="0"/>
        </w:numPr>
      </w:pPr>
      <w:r>
        <w:t xml:space="preserve">Une fois cette décision prise, ne plus financer de nouveaux travaux et vendre la part détenue constituent deux effets d’une même décision de réduire l’exposition à l’actif.</w:t>
      </w:r>
    </w:p>
    <w:p>
      <w:pPr>
        <w:pStyle w:val="Compact"/>
        <w:numPr>
          <w:numId w:val="1035"/>
          <w:ilvl w:val="0"/>
        </w:numPr>
      </w:pPr>
      <w:r>
        <w:t xml:space="preserve">En attribuant entièrement le rachat au refus de rénover, le §10 comprime la chaîne causale : il conserve le déclencheur immédiat possible, mais retranche la décision de liquidation qui explique le refus.</w:t>
      </w:r>
    </w:p>
    <w:p>
      <w:pPr>
        <w:pStyle w:val="Compact"/>
        <w:numPr>
          <w:numId w:val="1035"/>
          <w:ilvl w:val="0"/>
        </w:numPr>
      </w:pPr>
      <w:r>
        <w:t xml:space="preserve">Cette attribution permet de présenter le défendeur comme négligent ou désintéressé, alors que l’omission de réparations véritablement nécessaires aurait de toute manière été compensée, au moins en principe, par une dépréciation correspondante de sa part ou par le prix de partage.</w:t>
      </w:r>
    </w:p>
    <w:p>
      <w:pPr>
        <w:pStyle w:val="Compact"/>
        <w:numPr>
          <w:numId w:val="1035"/>
          <w:ilvl w:val="0"/>
        </w:numPr>
      </w:pPr>
      <w:r>
        <w:t xml:space="preserve">La demanderesse connaissait les éléments essentiels de la cause commune : le plan lui était adressé, elle était copropriétaire et elle a racheté la part au terme de la démarche de partage engagée en 2013.</w:t>
      </w:r>
    </w:p>
    <w:p>
      <w:pPr>
        <w:pStyle w:val="Heading2"/>
      </w:pPr>
      <w:bookmarkStart w:id="84" w:name="inférences-exclues"/>
      <w:r>
        <w:t xml:space="preserve">7. Inférences exclues</w:t>
      </w:r>
      <w:bookmarkEnd w:id="84"/>
    </w:p>
    <w:p>
      <w:pPr>
        <w:pStyle w:val="Compact"/>
        <w:numPr>
          <w:numId w:val="1036"/>
          <w:ilvl w:val="0"/>
        </w:numPr>
      </w:pPr>
      <w:r>
        <w:t xml:space="preserve">Ne pas nier qu’une discussion ou un refus concernant certains travaux ait pu exister.</w:t>
      </w:r>
    </w:p>
    <w:p>
      <w:pPr>
        <w:pStyle w:val="Compact"/>
        <w:numPr>
          <w:numId w:val="1036"/>
          <w:ilvl w:val="0"/>
        </w:numPr>
      </w:pPr>
      <w:r>
        <w:t xml:space="preserve">Ne pas mobiliser l’installation ultérieure d’une piscine, de planchers chauffants ou d’autres améliorations électives : le mot « nécessaires » les exclut du champ de l’allégation.</w:t>
      </w:r>
    </w:p>
    <w:p>
      <w:pPr>
        <w:pStyle w:val="Compact"/>
        <w:numPr>
          <w:numId w:val="1036"/>
          <w:ilvl w:val="0"/>
        </w:numPr>
      </w:pPr>
      <w:r>
        <w:t xml:space="preserve">Maintenir la distinction définitoire : si les travaux étaient véritablement « nécessaires », leur omission devait produire une dépréciation correspondante; si cette correspondance est contestée, la nature nécessaire et la valeur des travaux doivent être identifiées et démontrées.</w:t>
      </w:r>
    </w:p>
    <w:p>
      <w:pPr>
        <w:pStyle w:val="Compact"/>
        <w:numPr>
          <w:numId w:val="1036"/>
          <w:ilvl w:val="0"/>
        </w:numPr>
      </w:pPr>
      <w:r>
        <w:t xml:space="preserve">Ne pas affirmer que le défendeur avait lu le courriel du 11 juin 2013; établir plutôt le risque objectif et sa perception contemporaine exprimée à Me Pringle et à son employeur.</w:t>
      </w:r>
    </w:p>
    <w:p>
      <w:pPr>
        <w:pStyle w:val="Compact"/>
        <w:numPr>
          <w:numId w:val="1036"/>
          <w:ilvl w:val="0"/>
        </w:numPr>
      </w:pPr>
      <w:r>
        <w:t xml:space="preserve">Ne pas affirmer que l’ordonnance envisagée aurait nécessairement été accordée; le risque financier vient du déclenchement possible de la procédure et de l’ampleur des mesures recherchées.</w:t>
      </w:r>
    </w:p>
    <w:p>
      <w:pPr>
        <w:pStyle w:val="Compact"/>
        <w:numPr>
          <w:numId w:val="1036"/>
          <w:ilvl w:val="0"/>
        </w:numPr>
      </w:pPr>
      <w:r>
        <w:t xml:space="preserve">Conserver le sous-sol comme point défensif si la demanderesse l’identifie comme réparation nécessaire.</w:t>
      </w:r>
    </w:p>
    <w:p>
      <w:pPr>
        <w:pStyle w:val="Heading2"/>
      </w:pPr>
      <w:bookmarkStart w:id="85" w:name="pièces-nécessaires-3"/>
      <w:r>
        <w:t xml:space="preserve">8. Pièces nécessaires</w:t>
      </w:r>
      <w:bookmarkEnd w:id="8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Portée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t xml:space="preserve">Acte d’acquisition 2009</w:t>
            </w:r>
          </w:p>
        </w:tc>
        <w:tc>
          <w:p>
            <w:pPr>
              <w:pStyle w:val="Compact"/>
              <w:jc w:val="left"/>
            </w:pPr>
            <w:r>
              <w:t xml:space="preserve">Acquisition conjointe</w:t>
            </w:r>
          </w:p>
        </w:tc>
        <w:tc>
          <w:p>
            <w:pPr>
              <w:pStyle w:val="Compact"/>
              <w:jc w:val="left"/>
            </w:pPr>
            <w:r>
              <w:t xml:space="preserve">à obtenir si contesté</w:t>
            </w:r>
          </w:p>
        </w:tc>
      </w:tr>
      <w:tr>
        <w:tc>
          <w:p>
            <w:pPr>
              <w:pStyle w:val="Compact"/>
              <w:jc w:val="left"/>
            </w:pPr>
            <w:r>
              <w:t xml:space="preserve">2, 11</w:t>
            </w:r>
          </w:p>
        </w:tc>
        <w:tc>
          <w:p>
            <w:pPr>
              <w:pStyle w:val="Compact"/>
              <w:jc w:val="left"/>
            </w:pPr>
            <w:r>
              <w:rPr>
                <w:rStyle w:val="VerbatimChar"/>
              </w:rPr>
              <w:t xml:space="preserve">piece_pdf-1.md</w:t>
            </w:r>
          </w:p>
        </w:tc>
        <w:tc>
          <w:p>
            <w:pPr>
              <w:pStyle w:val="Compact"/>
              <w:jc w:val="left"/>
            </w:pPr>
            <w:r>
              <w:t xml:space="preserve">Plan du 11 juin 2013 et connaissance de la demanderesse</w:t>
            </w:r>
          </w:p>
        </w:tc>
        <w:tc>
          <w:p>
            <w:pPr>
              <w:pStyle w:val="Compact"/>
              <w:jc w:val="left"/>
            </w:pPr>
            <w:r>
              <w:t xml:space="preserve">disponible</w:t>
            </w:r>
          </w:p>
        </w:tc>
      </w:tr>
      <w:tr>
        <w:tc>
          <w:p>
            <w:pPr>
              <w:pStyle w:val="Compact"/>
              <w:jc w:val="left"/>
            </w:pPr>
            <w:r>
              <w:t xml:space="preserve">3</w:t>
            </w:r>
          </w:p>
        </w:tc>
        <w:tc>
          <w:p>
            <w:pPr>
              <w:pStyle w:val="Compact"/>
              <w:jc w:val="left"/>
            </w:pPr>
            <w:r>
              <w:rPr>
                <w:rStyle w:val="VerbatimChar"/>
              </w:rPr>
              <w:t xml:space="preserve">piece_thread-89_email-365.md</w:t>
            </w:r>
          </w:p>
        </w:tc>
        <w:tc>
          <w:p>
            <w:pPr>
              <w:pStyle w:val="Compact"/>
              <w:jc w:val="left"/>
            </w:pPr>
            <w:r>
              <w:t xml:space="preserve">Risque juridique perçu le 26 juin 2013</w:t>
            </w:r>
          </w:p>
        </w:tc>
        <w:tc>
          <w:p>
            <w:pPr>
              <w:pStyle w:val="Compact"/>
              <w:jc w:val="left"/>
            </w:pPr>
            <w:r>
              <w:t xml:space="preserve">disponible</w:t>
            </w:r>
          </w:p>
        </w:tc>
      </w:tr>
      <w:tr>
        <w:tc>
          <w:p>
            <w:pPr>
              <w:pStyle w:val="Compact"/>
              <w:jc w:val="left"/>
            </w:pPr>
            <w:r>
              <w:t xml:space="preserve">4</w:t>
            </w:r>
          </w:p>
        </w:tc>
        <w:tc>
          <w:p>
            <w:pPr>
              <w:pStyle w:val="Compact"/>
              <w:jc w:val="left"/>
            </w:pPr>
            <w:r>
              <w:t xml:space="preserve">Email id=39</w:t>
            </w:r>
          </w:p>
        </w:tc>
        <w:tc>
          <w:p>
            <w:pPr>
              <w:pStyle w:val="Compact"/>
              <w:jc w:val="left"/>
            </w:pPr>
            <w:r>
              <w:t xml:space="preserve">« je dois vendre ma maison », 27 juin 2013</w:t>
            </w:r>
          </w:p>
        </w:tc>
        <w:tc>
          <w:p>
            <w:pPr>
              <w:pStyle w:val="Compact"/>
              <w:jc w:val="left"/>
            </w:pPr>
            <w:r>
              <w:t xml:space="preserve">disponible; pièce à formaliser</w:t>
            </w:r>
          </w:p>
        </w:tc>
      </w:tr>
      <w:tr>
        <w:tc>
          <w:p>
            <w:pPr>
              <w:pStyle w:val="Compact"/>
              <w:jc w:val="left"/>
            </w:pPr>
            <w:r>
              <w:t xml:space="preserve">5-7</w:t>
            </w:r>
          </w:p>
        </w:tc>
        <w:tc>
          <w:p>
            <w:pPr>
              <w:pStyle w:val="Compact"/>
              <w:jc w:val="left"/>
            </w:pPr>
            <w:r>
              <w:rPr>
                <w:rStyle w:val="VerbatimChar"/>
              </w:rPr>
              <w:t xml:space="preserve">piece_pdf-11.md</w:t>
            </w:r>
          </w:p>
        </w:tc>
        <w:tc>
          <w:p>
            <w:pPr>
              <w:pStyle w:val="Compact"/>
              <w:jc w:val="left"/>
            </w:pPr>
            <w:r>
              <w:t xml:space="preserve">Mandat, inspection et rapport à des fins de partage</w:t>
            </w:r>
          </w:p>
        </w:tc>
        <w:tc>
          <w:p>
            <w:pPr>
              <w:pStyle w:val="Compact"/>
              <w:jc w:val="left"/>
            </w:pPr>
            <w:r>
              <w:t xml:space="preserve">disponible</w:t>
            </w:r>
          </w:p>
        </w:tc>
      </w:tr>
      <w:tr>
        <w:tc>
          <w:p>
            <w:pPr>
              <w:pStyle w:val="Compact"/>
              <w:jc w:val="left"/>
            </w:pPr>
            <w:r>
              <w:t xml:space="preserve">8</w:t>
            </w:r>
          </w:p>
        </w:tc>
        <w:tc>
          <w:p>
            <w:pPr>
              <w:pStyle w:val="Compact"/>
              <w:jc w:val="left"/>
            </w:pPr>
            <w:r>
              <w:t xml:space="preserve">Rapport d’évaluation et acte de vente d’août 2014</w:t>
            </w:r>
          </w:p>
        </w:tc>
        <w:tc>
          <w:p>
            <w:pPr>
              <w:pStyle w:val="Compact"/>
              <w:jc w:val="left"/>
            </w:pPr>
            <w:r>
              <w:t xml:space="preserve">Prix et modalités du rachat</w:t>
            </w:r>
          </w:p>
        </w:tc>
        <w:tc>
          <w:p>
            <w:pPr>
              <w:pStyle w:val="Compact"/>
              <w:jc w:val="left"/>
            </w:pPr>
            <w:r>
              <w:t xml:space="preserve">rapport disponible; acte à obtenir</w:t>
            </w:r>
          </w:p>
        </w:tc>
      </w:tr>
      <w:tr>
        <w:tc>
          <w:p>
            <w:pPr>
              <w:pStyle w:val="Compact"/>
              <w:jc w:val="left"/>
            </w:pPr>
            <w:r>
              <w:t xml:space="preserve">9-10</w:t>
            </w:r>
          </w:p>
        </w:tc>
        <w:tc>
          <w:p>
            <w:pPr>
              <w:pStyle w:val="Compact"/>
              <w:jc w:val="left"/>
            </w:pPr>
            <w:r>
              <w:rPr>
                <w:rStyle w:val="VerbatimChar"/>
              </w:rPr>
              <w:t xml:space="preserve">piece_document-1.md</w:t>
            </w:r>
            <w:r>
              <w:t xml:space="preserve">, §10</w:t>
            </w:r>
          </w:p>
        </w:tc>
        <w:tc>
          <w:p>
            <w:pPr>
              <w:pStyle w:val="Compact"/>
              <w:jc w:val="left"/>
            </w:pPr>
            <w:r>
              <w:t xml:space="preserve">Attribution causale et omissions</w:t>
            </w:r>
          </w:p>
        </w:tc>
        <w:tc>
          <w:p>
            <w:pPr>
              <w:pStyle w:val="Compact"/>
              <w:jc w:val="left"/>
            </w:pPr>
            <w:r>
              <w:t xml:space="preserve">disponible</w:t>
            </w:r>
          </w:p>
        </w:tc>
      </w:tr>
      <w:tr>
        <w:tc>
          <w:p>
            <w:pPr>
              <w:pStyle w:val="Compact"/>
              <w:jc w:val="left"/>
            </w:pPr>
            <w:r>
              <w:t xml:space="preserve">Défensif</w:t>
            </w:r>
          </w:p>
        </w:tc>
        <w:tc>
          <w:p>
            <w:pPr>
              <w:pStyle w:val="Compact"/>
              <w:jc w:val="left"/>
            </w:pPr>
            <w:r>
              <w:t xml:space="preserve">PDFDocument id=60; Email id=137</w:t>
            </w:r>
          </w:p>
        </w:tc>
        <w:tc>
          <w:p>
            <w:pPr>
              <w:pStyle w:val="Compact"/>
              <w:jc w:val="left"/>
            </w:pPr>
            <w:r>
              <w:t xml:space="preserve">Sous-sol et réallocation conjointe des fonds d’assurance</w:t>
            </w:r>
          </w:p>
        </w:tc>
        <w:tc>
          <w:p>
            <w:pPr>
              <w:pStyle w:val="Compact"/>
              <w:jc w:val="left"/>
            </w:pPr>
            <w:r>
              <w:t xml:space="preserve">disponible</w:t>
            </w:r>
          </w:p>
        </w:tc>
      </w:tr>
    </w:tbl>
    <w:p>
      <w:pPr>
        <w:pStyle w:val="Heading2"/>
      </w:pPr>
      <w:bookmarkStart w:id="86" w:name="prudences-de-rédaction-3"/>
      <w:r>
        <w:t xml:space="preserve">9. Prudences de rédaction</w:t>
      </w:r>
      <w:bookmarkEnd w:id="86"/>
    </w:p>
    <w:p>
      <w:pPr>
        <w:pStyle w:val="Compact"/>
        <w:numPr>
          <w:numId w:val="1037"/>
          <w:ilvl w:val="0"/>
        </w:numPr>
      </w:pPr>
      <w:r>
        <w:t xml:space="preserve">Conduire avec la</w:t>
      </w:r>
      <w:r>
        <w:t xml:space="preserve"> </w:t>
      </w:r>
      <w:r>
        <w:rPr>
          <w:b/>
        </w:rPr>
        <w:t xml:space="preserve">cause commune omise</w:t>
      </w:r>
      <w:r>
        <w:t xml:space="preserve"> </w:t>
      </w:r>
      <w:r>
        <w:t xml:space="preserve">et l’attribution causale trompeuse qui en résulte.</w:t>
      </w:r>
    </w:p>
    <w:p>
      <w:pPr>
        <w:pStyle w:val="Compact"/>
        <w:numPr>
          <w:numId w:val="1037"/>
          <w:ilvl w:val="0"/>
        </w:numPr>
      </w:pPr>
      <w:r>
        <w:t xml:space="preserve">Concéder le refus possible de certains travaux : le grief ne dépend pas de son inexistence.</w:t>
      </w:r>
    </w:p>
    <w:p>
      <w:pPr>
        <w:pStyle w:val="Compact"/>
        <w:numPr>
          <w:numId w:val="1037"/>
          <w:ilvl w:val="0"/>
        </w:numPr>
      </w:pPr>
      <w:r>
        <w:t xml:space="preserve">Distinguer les faits documentés de l’analyse économique de la décision d’investissement.</w:t>
      </w:r>
    </w:p>
    <w:p>
      <w:pPr>
        <w:pStyle w:val="Compact"/>
        <w:numPr>
          <w:numId w:val="1037"/>
          <w:ilvl w:val="0"/>
        </w:numPr>
      </w:pPr>
      <w:r>
        <w:t xml:space="preserve">Réserver les détails subjectifs au témoignage du défendeur et aux communications contemporaines qui pourront être retrouvées.</w:t>
      </w:r>
    </w:p>
    <w:p>
      <w:pPr>
        <w:pStyle w:val="Compact"/>
        <w:numPr>
          <w:numId w:val="1037"/>
          <w:ilvl w:val="0"/>
        </w:numPr>
      </w:pPr>
      <w:r>
        <w:t xml:space="preserve">Nommer Me Marie-Josée Ayoub comme autrice du plan du 11 juin 2013; ne pas lui attribuer la Requête, rédigée par Me Ferreira et assermentée par la demanderesse.</w:t>
      </w:r>
    </w:p>
    <w:p>
      <w:pPr>
        <w:pStyle w:val="Compact"/>
        <w:numPr>
          <w:numId w:val="1037"/>
          <w:ilvl w:val="0"/>
        </w:numPr>
      </w:pPr>
      <w:r>
        <w:t xml:space="preserve">Ne pas transformer ce pont en litige immobilier : sa fonction est de corriger la causalité utilisée pour construire un trait négatif du défendeur.</w:t>
      </w:r>
    </w:p>
    <w:p>
      <w:pPr>
        <w:pStyle w:val="Heading2"/>
      </w:pPr>
      <w:bookmarkStart w:id="87" w:name="version-procédurale-distillée-3"/>
      <w:r>
        <w:t xml:space="preserve">10. Version procédurale distillée</w:t>
      </w:r>
      <w:bookmarkEnd w:id="87"/>
    </w:p>
    <w:p>
      <w:pPr>
        <w:pStyle w:val="Compact"/>
        <w:numPr>
          <w:numId w:val="1038"/>
          <w:ilvl w:val="0"/>
        </w:numPr>
      </w:pPr>
      <w:r>
        <w:t xml:space="preserve">La Requête alléguait qu’en août 2014 la demanderesse avait racheté la part du défendeur dans la résidence commune parce qu’il refusait d’y faire les réparations et rénovations nécessaires.</w:t>
      </w:r>
    </w:p>
    <w:p>
      <w:pPr>
        <w:pStyle w:val="Compact"/>
        <w:numPr>
          <w:numId w:val="1038"/>
          <w:ilvl w:val="0"/>
        </w:numPr>
      </w:pPr>
      <w:r>
        <w:t xml:space="preserve">Le défendeur ne nie pas qu’il ne souhaitait plus investir dans certains travaux ni que ce refus ait pu contribuer au choix immédiat de la demanderesse; il conteste que ce refus constitue la cause première ou l’explication complète du rachat.</w:t>
      </w:r>
    </w:p>
    <w:p>
      <w:pPr>
        <w:pStyle w:val="Compact"/>
        <w:numPr>
          <w:numId w:val="1038"/>
          <w:ilvl w:val="0"/>
        </w:numPr>
      </w:pPr>
      <w:r>
        <w:t xml:space="preserve">Le 11 juin 2013, Me Marie-Josée Ayoub avait proposé à la demanderesse de solliciter l’usage exclusif de la résidence, de faire relocaliser le défendeur et de maintenir à sa charge 50 % des dépenses de la maison.</w:t>
      </w:r>
    </w:p>
    <w:p>
      <w:pPr>
        <w:pStyle w:val="Compact"/>
        <w:numPr>
          <w:numId w:val="1038"/>
          <w:ilvl w:val="0"/>
        </w:numPr>
      </w:pPr>
      <w:r>
        <w:t xml:space="preserve">Le 27 juin 2013, le défendeur écrivait à son supérieur qu’il devait vendre sa maison et, le même jour, il mandatait un évaluateur agréé pour établir la valeur de la résidence à des fins de partage.</w:t>
      </w:r>
    </w:p>
    <w:p>
      <w:pPr>
        <w:pStyle w:val="Compact"/>
        <w:numPr>
          <w:numId w:val="1038"/>
          <w:ilvl w:val="0"/>
        </w:numPr>
      </w:pPr>
      <w:r>
        <w:t xml:space="preserve">L’évaluateur a inspecté la propriété le 28 juin et produit son rapport le 11 juillet 2013.</w:t>
      </w:r>
    </w:p>
    <w:p>
      <w:pPr>
        <w:pStyle w:val="Compact"/>
        <w:numPr>
          <w:numId w:val="1038"/>
          <w:ilvl w:val="0"/>
        </w:numPr>
      </w:pPr>
      <w:r>
        <w:t xml:space="preserve">Le 1er août 2014, la demanderesse a racheté la part du défendeur au prix établi par cette évaluation.</w:t>
      </w:r>
    </w:p>
    <w:p>
      <w:pPr>
        <w:pStyle w:val="Compact"/>
        <w:numPr>
          <w:numId w:val="1038"/>
          <w:ilvl w:val="0"/>
        </w:numPr>
      </w:pPr>
      <w:r>
        <w:t xml:space="preserve">Si les réparations étaient véritablement nécessaires, chaque dollar que le défendeur refusait d’y investir devait être compensé par une dépréciation correspondante de sa part dans l’immeuble; ce refus ne lui procurait donc aucun avantage patrimonial.</w:t>
      </w:r>
    </w:p>
    <w:p>
      <w:pPr>
        <w:pStyle w:val="Compact"/>
        <w:numPr>
          <w:numId w:val="1038"/>
          <w:ilvl w:val="0"/>
        </w:numPr>
      </w:pPr>
      <w:r>
        <w:t xml:space="preserve">La décision de vendre et la décision de ne plus convertir ses liquidités en capital immobilier découlaient ainsi d’une même volonté de liquider un actif devenu financièrement risqué pour le défendeur.</w:t>
      </w:r>
    </w:p>
    <w:p>
      <w:pPr>
        <w:pStyle w:val="Compact"/>
        <w:numPr>
          <w:numId w:val="1038"/>
          <w:ilvl w:val="0"/>
        </w:numPr>
      </w:pPr>
      <w:r>
        <w:t xml:space="preserve">La Requête ne mentionnait ni le risque de perte d’usage assorti du maintien des charges, ni la décision de liquider l’intérêt du défendeur engagée dès juin 2013, ni l’évaluation réalisée à cette fin.</w:t>
      </w:r>
    </w:p>
    <w:p>
      <w:pPr>
        <w:pStyle w:val="Compact"/>
        <w:numPr>
          <w:numId w:val="1038"/>
          <w:ilvl w:val="0"/>
        </w:numPr>
      </w:pPr>
      <w:r>
        <w:t xml:space="preserve">Le refus du défendeur a pu contribuer à la décision immédiate de la demanderesse de racheter sa part; la Requête omettait toutefois que ce refus et la volonté de vendre s’inscrivaient dans une décision antérieure de liquider un actif devenu financièrement risqué.</w:t>
      </w:r>
    </w:p>
    <w:p>
      <w:pPr>
        <w:pStyle w:val="Compact"/>
        <w:numPr>
          <w:numId w:val="1038"/>
          <w:ilvl w:val="0"/>
        </w:numPr>
      </w:pPr>
      <w:r>
        <w:t xml:space="preserve">En supprimant cette cause, le §10 a présenté le refus comme une explication suffisante du rachat et a transformé une décision de gestion du risque en refus fautif d’entretenir la résidence.</w:t>
      </w:r>
    </w:p>
    <w:p>
      <w:pPr>
        <w:pStyle w:val="Heading2"/>
      </w:pPr>
      <w:bookmarkStart w:id="88" w:name="usage-dans-la-demande-introductive"/>
      <w:r>
        <w:t xml:space="preserve">11. Usage dans la demande introductive</w:t>
      </w:r>
      <w:bookmarkEnd w:id="88"/>
    </w:p>
    <w:p>
      <w:pPr>
        <w:pStyle w:val="FirstParagraph"/>
      </w:pPr>
      <w:r>
        <w:t xml:space="preserve">Bloc à placer dans la série des allégations de 2015, après les §7-9 et avant les blocs relatifs à la garde et aux accès. Sa contribution à la thèse générale est celle d’une</w:t>
      </w:r>
      <w:r>
        <w:t xml:space="preserve"> </w:t>
      </w:r>
      <w:r>
        <w:rPr>
          <w:b/>
        </w:rPr>
        <w:t xml:space="preserve">attribution causale matériellement trompeuse par omission de la cause du refus</w:t>
      </w:r>
      <w:r>
        <w:t xml:space="preserve">.</w:t>
      </w:r>
    </w:p>
    <w:p>
      <w:pPr>
        <w:pStyle w:val="BodyText"/>
      </w:pPr>
      <w:r>
        <w:t xml:space="preserve">Le §10 illustre une technique distincte de la fabrication intégrale d’un fait : conserver deux faits susceptibles d’être vrais — le refus d’investir et le rachat —, supprimer la cause antérieure du refus, puis laisser ce refus produire seul une impression défavorable sur le défendeur.</w:t>
      </w:r>
    </w:p>
    <w:p>
      <w:r>
        <w:pict>
          <v:rect style="width:0;height:1.5pt" o:hralign="center" o:hrstd="t" o:hr="t"/>
        </w:pict>
      </w:r>
    </w:p>
    <w:p>
      <w:pPr>
        <w:pStyle w:val="Heading1"/>
      </w:pPr>
      <w:bookmarkStart w:id="89" w:name="X4f9c4d41d64ab0374e065fb0560ef77a0ab0465"/>
      <w:r>
        <w:t xml:space="preserve">Pont — §14 à §17 de la Requête de novembre 2015</w:t>
      </w:r>
      <w:bookmarkEnd w:id="89"/>
    </w:p>
    <w:p>
      <w:pPr>
        <w:pStyle w:val="Heading2"/>
      </w:pPr>
      <w:bookmarkStart w:id="90" w:name="allégations-visées-1"/>
      <w:r>
        <w:t xml:space="preserve">1. Allégations visées</w:t>
      </w:r>
      <w:bookmarkEnd w:id="90"/>
    </w:p>
    <w:p>
      <w:pPr>
        <w:pStyle w:val="FirstParagraph"/>
      </w:pPr>
      <w:r>
        <w:t xml:space="preserve">La Requête du 19 novembre 2015 allègue, aux paragraphes 14 à 17 :</w:t>
      </w:r>
    </w:p>
    <w:p>
      <w:pPr>
        <w:pStyle w:val="BlockText"/>
      </w:pPr>
      <w:r>
        <w:t xml:space="preserve">« 14. Dès la rupture, le défendeur voulait instaurer une garde partagée, que la demanderesse a refusé puisque contraire à l’intérêt des enfants.</w:t>
      </w:r>
      <w:r>
        <w:t xml:space="preserve"> </w:t>
      </w:r>
      <w:r>
        <w:t xml:space="preserve">15. En effet, les enfants sont jeunes et de plus, le défendeur était rarement disponible pour prendre soins d’eux.</w:t>
      </w:r>
      <w:r>
        <w:t xml:space="preserve"> </w:t>
      </w:r>
      <w:r>
        <w:t xml:space="preserve">16. C’est la demanderesse qui s’occupait des enfants, qui allait aux activités, etc.</w:t>
      </w:r>
      <w:r>
        <w:t xml:space="preserve"> </w:t>
      </w:r>
      <w:r>
        <w:t xml:space="preserve">17. Le défendeur aidait lorsque la demanderesse n’était pas disponible. »</w:t>
      </w:r>
    </w:p>
    <w:p>
      <w:pPr>
        <w:pStyle w:val="FirstParagraph"/>
      </w:pPr>
      <w:r>
        <w:t xml:space="preserve">Ces allégations forment une structure logique :</w:t>
      </w:r>
      <w:r>
        <w:t xml:space="preserve"> </w:t>
      </w:r>
      <w:r>
        <w:t xml:space="preserve">1. Le défendeur voulait la garde partagée et la mère a refusé (concédé).</w:t>
      </w:r>
      <w:r>
        <w:t xml:space="preserve"> </w:t>
      </w:r>
      <w:r>
        <w:t xml:space="preserve">2. Le motif de ce refus serait que le père était « rarement disponible » et n’agissait que comme « aide » subsidiaire.</w:t>
      </w:r>
      <w:r>
        <w:t xml:space="preserve"> </w:t>
      </w:r>
      <w:r>
        <w:t xml:space="preserve">3. Conséquence : la garde partagée serait contraire à l’intérêt des enfants.</w:t>
      </w:r>
    </w:p>
    <w:p>
      <w:pPr>
        <w:pStyle w:val="Heading2"/>
      </w:pPr>
      <w:bookmarkStart w:id="91" w:name="objectif-de-démonstration-4"/>
      <w:r>
        <w:t xml:space="preserve">2. Objectif de démonstration</w:t>
      </w:r>
      <w:bookmarkEnd w:id="91"/>
    </w:p>
    <w:p>
      <w:pPr>
        <w:pStyle w:val="FirstParagraph"/>
      </w:pPr>
      <w:r>
        <w:t xml:space="preserve">Ce bloc doit transformer les faits et l’analyse en une série de faits plaidables permettant d’établir :</w:t>
      </w:r>
    </w:p>
    <w:p>
      <w:pPr>
        <w:pStyle w:val="Compact"/>
        <w:numPr>
          <w:numId w:val="1039"/>
          <w:ilvl w:val="0"/>
        </w:numPr>
      </w:pPr>
      <w:r>
        <w:t xml:space="preserve">que le motif invoqué lors du premier refus en avril 2015 était circonstanciel (« routine de deux mois »), et non lié à une prétendue indisponibilité historique du père ;</w:t>
      </w:r>
    </w:p>
    <w:p>
      <w:pPr>
        <w:pStyle w:val="Compact"/>
        <w:numPr>
          <w:numId w:val="1039"/>
          <w:ilvl w:val="0"/>
        </w:numPr>
      </w:pPr>
      <w:r>
        <w:t xml:space="preserve">que la demanderesse a omis de déclarer au tribunal les négociations d’août-septembre 2015, au cours desquelles elle offrait elle-même une progression vers un temps partagé, acceptée par le père sous réserve que la transition mène à une garde partagée 2-2-3 à compter du 7 février 2016 et que l’horaire soit aménagé au choix de la demanderesse pour tenir compte de ses cours de danse ;</w:t>
      </w:r>
    </w:p>
    <w:p>
      <w:pPr>
        <w:pStyle w:val="Compact"/>
        <w:numPr>
          <w:numId w:val="1039"/>
          <w:ilvl w:val="0"/>
        </w:numPr>
      </w:pPr>
      <w:r>
        <w:t xml:space="preserve">que l’allocation du congé parental en 2009 explique structurellement la dynamique initiale ;</w:t>
      </w:r>
    </w:p>
    <w:p>
      <w:pPr>
        <w:pStyle w:val="Compact"/>
        <w:numPr>
          <w:numId w:val="1039"/>
          <w:ilvl w:val="0"/>
        </w:numPr>
      </w:pPr>
      <w:r>
        <w:t xml:space="preserve">que le défendeur assumait une prise en charge autonome et répétée (agenda de danse de la mère de 1 à 3 soirs par semaine, minimum de 20 absences au travail pour soigner les enfants malades, coordination quotidienne école/garderie) qui détruit arithmétiquement l’allégation selon laquelle la mère assumait « toute la responsabilité » ;</w:t>
      </w:r>
    </w:p>
    <w:p>
      <w:pPr>
        <w:pStyle w:val="Compact"/>
        <w:numPr>
          <w:numId w:val="1039"/>
          <w:ilvl w:val="0"/>
        </w:numPr>
      </w:pPr>
      <w:r>
        <w:t xml:space="preserve">que la demanderesse a reconnu post-séparation avoir besoin d’aide rémunérée pour combler l’absence du père lors de ses soirs de danse et aux activités ;</w:t>
      </w:r>
    </w:p>
    <w:p>
      <w:pPr>
        <w:pStyle w:val="Compact"/>
        <w:numPr>
          <w:numId w:val="1039"/>
          <w:ilvl w:val="0"/>
        </w:numPr>
      </w:pPr>
      <w:r>
        <w:t xml:space="preserve">que P-1 corrobore transversalement ces faits en traitant la présence du père comme une réalité qu’il fallait réduire afin de créer une routine maternelle compatible avec la garde exclusive recherchée.</w:t>
      </w:r>
    </w:p>
    <w:p>
      <w:pPr>
        <w:pStyle w:val="Heading2"/>
      </w:pPr>
      <w:bookmarkStart w:id="92" w:name="force-probatoire-4"/>
      <w:r>
        <w:t xml:space="preserve">3. Force probatoire</w:t>
      </w:r>
      <w:bookmarkEnd w:id="92"/>
    </w:p>
    <w:p>
      <w:pPr>
        <w:pStyle w:val="FirstParagraph"/>
      </w:pPr>
      <w:r>
        <w:rPr>
          <w:b/>
        </w:rPr>
        <w:t xml:space="preserve">Très forte.</w:t>
      </w:r>
      <w:r>
        <w:t xml:space="preserve"> </w:t>
      </w:r>
      <w:r>
        <w:t xml:space="preserve">La preuve documentaire s’appuie sur des courriels contemporains adressés à des tiers sans lien avec le litige (supérieurs hiérarchiques de la BNC), sur la propre biographie publiée par la demanderesse, et sur des correspondances de conciliation claires. La granularité de la preuve logistique (qui fait quoi, quel jour) contredit fortement les allégations vagues des paragraphes 15 à 17.</w:t>
      </w:r>
    </w:p>
    <w:p>
      <w:pPr>
        <w:pStyle w:val="BodyText"/>
      </w:pPr>
      <w:r>
        <w:t xml:space="preserve">P-1 ajoute une corroboration contemporaine de la structure familiale : le plan prévoit de réduire les contacts et la présence quotidienne du père pour installer une routine mère-enfants. Cette pièce ne prouve pas chaque disponibilité ni chaque activité ; elle rend toutefois difficilement conciliable la thèse voulant que le père ait déjà été historiquement « rarement disponible » et seulement subsidiaire.</w:t>
      </w:r>
    </w:p>
    <w:p>
      <w:pPr>
        <w:pStyle w:val="BodyText"/>
      </w:pPr>
      <w:r>
        <w:t xml:space="preserve">La prudence principale est de</w:t>
      </w:r>
      <w:r>
        <w:t xml:space="preserve"> </w:t>
      </w:r>
      <w:r>
        <w:rPr>
          <w:b/>
        </w:rPr>
        <w:t xml:space="preserve">concéder</w:t>
      </w:r>
      <w:r>
        <w:t xml:space="preserve"> </w:t>
      </w:r>
      <w:r>
        <w:t xml:space="preserve">d’emblée la sous-allégation factuelle du §14 (il a demandé la garde partagée, elle a refusé) et l’allocation asymétrique du congé parental.</w:t>
      </w:r>
    </w:p>
    <w:p>
      <w:pPr>
        <w:pStyle w:val="Heading2"/>
      </w:pPr>
      <w:bookmarkStart w:id="93" w:name="faits-essentiels-plaidables-4"/>
      <w:r>
        <w:t xml:space="preserve">4. Faits essentiels plaidables</w:t>
      </w:r>
      <w:bookmarkEnd w:id="93"/>
    </w:p>
    <w:p>
      <w:pPr>
        <w:pStyle w:val="Heading3"/>
      </w:pPr>
      <w:bookmarkStart w:id="94" w:name="a.-ancrage-procédural-et-concession"/>
      <w:r>
        <w:t xml:space="preserve">A. Ancrage procédural et concession</w:t>
      </w:r>
      <w:bookmarkEnd w:id="94"/>
    </w:p>
    <w:p>
      <w:pPr>
        <w:pStyle w:val="Compact"/>
        <w:numPr>
          <w:numId w:val="1040"/>
          <w:ilvl w:val="0"/>
        </w:numPr>
      </w:pPr>
      <w:r>
        <w:t xml:space="preserve">Le 19 novembre 2015, la demanderesse a allégué avoir refusé la garde partagée parce que celle-ci aurait été contraire à l’intérêt des enfants, affirmant que le défendeur était rarement disponible pour prendre soin d’eux et n’aidait que lorsqu’elle n’était pas disponible.</w:t>
      </w:r>
    </w:p>
    <w:p>
      <w:pPr>
        <w:pStyle w:val="Compact"/>
        <w:numPr>
          <w:numId w:val="1040"/>
          <w:ilvl w:val="0"/>
        </w:numPr>
      </w:pPr>
      <w:r>
        <w:t xml:space="preserve">Il n’est pas contesté que dès la rupture, le défendeur a signifié son souhait d’instaurer une garde partagée et que la demanderesse a refusé cette demande.</w:t>
      </w:r>
    </w:p>
    <w:p>
      <w:pPr>
        <w:pStyle w:val="Heading3"/>
      </w:pPr>
      <w:bookmarkStart w:id="95" w:name="Xb3bbce49accc46174d329073c170c4498fa2486"/>
      <w:r>
        <w:t xml:space="preserve">B. Le motif initial du refus, le projet progressif et la dernière position du père</w:t>
      </w:r>
      <w:bookmarkEnd w:id="95"/>
    </w:p>
    <w:p>
      <w:pPr>
        <w:pStyle w:val="Compact"/>
        <w:numPr>
          <w:numId w:val="1041"/>
          <w:ilvl w:val="0"/>
        </w:numPr>
      </w:pPr>
      <w:r>
        <w:t xml:space="preserve">Le 20 avril 2015, le défendeur a transmis une offre formelle de garde partagée selon un horaire 2-2-3.</w:t>
      </w:r>
    </w:p>
    <w:p>
      <w:pPr>
        <w:pStyle w:val="Compact"/>
        <w:numPr>
          <w:numId w:val="1041"/>
          <w:ilvl w:val="0"/>
        </w:numPr>
      </w:pPr>
      <w:r>
        <w:t xml:space="preserve">Le 27 avril 2015, Me Marie-Josée Ayoub a répondu par écrit pour signifier son refus, invoquant le jeune âge des enfants et le fait qu’il n’était pas dans leur intérêt de modifier « une routine établie depuis plus de deux mois ».</w:t>
      </w:r>
    </w:p>
    <w:p>
      <w:pPr>
        <w:pStyle w:val="Compact"/>
        <w:numPr>
          <w:numId w:val="1041"/>
          <w:ilvl w:val="0"/>
        </w:numPr>
      </w:pPr>
      <w:r>
        <w:t xml:space="preserve">Dans cette même lettre du 27 avril 2015, la demanderesse offrait néanmoins au défendeur d’exercer des droits d’accès incluant des nuitées non supervisées en semaine et la fin de semaine.</w:t>
      </w:r>
    </w:p>
    <w:p>
      <w:pPr>
        <w:pStyle w:val="Compact"/>
        <w:numPr>
          <w:numId w:val="1041"/>
          <w:ilvl w:val="0"/>
        </w:numPr>
      </w:pPr>
      <w:r>
        <w:t xml:space="preserve">Le 13 août 2015, Me Marie-Josée Ayoub a soumis un projet de consentement proposant un accroissement progressif des droits d’accès du défendeur en quatre phases s’échelonnant sur plusieurs années.</w:t>
      </w:r>
    </w:p>
    <w:p>
      <w:pPr>
        <w:pStyle w:val="Compact"/>
        <w:numPr>
          <w:numId w:val="1041"/>
          <w:ilvl w:val="0"/>
        </w:numPr>
      </w:pPr>
      <w:r>
        <w:t xml:space="preserve">Le 2 septembre 2015, le défendeur a répondu par écrit qu’il était « tout à fait disposé à établir une progression dans les droits d’accès auprès des enfants », demandant que l’horaire de garde soit en alternance 2-2-3 à compter du 7 février 2016.</w:t>
      </w:r>
    </w:p>
    <w:p>
      <w:pPr>
        <w:pStyle w:val="Compact"/>
        <w:numPr>
          <w:numId w:val="1041"/>
          <w:ilvl w:val="0"/>
        </w:numPr>
      </w:pPr>
      <w:r>
        <w:t xml:space="preserve">Dans cette même réponse du 2 septembre 2015, le défendeur se disait « tout à fait disposé » à laisser la demanderesse choisir les jours de garde afin que l’horaire tienne compte de ses cours de danse.</w:t>
      </w:r>
    </w:p>
    <w:p>
      <w:pPr>
        <w:pStyle w:val="Compact"/>
        <w:numPr>
          <w:numId w:val="1041"/>
          <w:ilvl w:val="0"/>
        </w:numPr>
      </w:pPr>
      <w:r>
        <w:t xml:space="preserve">Cette réponse du 2 septembre 2015 constitue la dernière position formelle du défendeur avant le dépôt de la Requête : elle ne réclamait plus une garde partagée immédiate, mais acceptait la progression proposée par la demanderesse, avec une période de transition jusqu’au 7 février 2016.</w:t>
      </w:r>
    </w:p>
    <w:p>
      <w:pPr>
        <w:pStyle w:val="Compact"/>
        <w:numPr>
          <w:numId w:val="1041"/>
          <w:ilvl w:val="0"/>
        </w:numPr>
      </w:pPr>
      <w:r>
        <w:t xml:space="preserve">La requête de novembre 2015 ne fait aucune mention du projet de consentement du 13 août 2015 ni de la réponse favorable du 2 septembre 2015.</w:t>
      </w:r>
    </w:p>
    <w:p>
      <w:pPr>
        <w:pStyle w:val="Heading3"/>
      </w:pPr>
      <w:bookmarkStart w:id="96" w:name="Xb0ec4c81404e0908a1add59876857e2db2eb35d"/>
      <w:r>
        <w:t xml:space="preserve">C. La cause objective d’une asymétrie initiale : le congé parental</w:t>
      </w:r>
      <w:bookmarkEnd w:id="96"/>
    </w:p>
    <w:p>
      <w:pPr>
        <w:pStyle w:val="Compact"/>
        <w:numPr>
          <w:numId w:val="1042"/>
          <w:ilvl w:val="0"/>
        </w:numPr>
      </w:pPr>
      <w:r>
        <w:t xml:space="preserve">Lors de la naissance d’Alexia en 2009, les 32 semaines de congé parental partageables du Régime québécois d’assurance parentale ont été allouées en totalité à la demanderesse, le défendeur ne prenant que ses cinq semaines de paternité exclusives.</w:t>
      </w:r>
    </w:p>
    <w:p>
      <w:pPr>
        <w:pStyle w:val="Heading3"/>
      </w:pPr>
      <w:bookmarkStart w:id="97" w:name="X4ce54c32004e0ca70c5a57fd02bd4604c2c118d"/>
      <w:r>
        <w:t xml:space="preserve">D. La disponibilité autonome : l’agenda de danse de la mère</w:t>
      </w:r>
      <w:bookmarkEnd w:id="97"/>
    </w:p>
    <w:p>
      <w:pPr>
        <w:pStyle w:val="Compact"/>
        <w:numPr>
          <w:numId w:val="1043"/>
          <w:ilvl w:val="0"/>
        </w:numPr>
      </w:pPr>
      <w:r>
        <w:t xml:space="preserve">De 2009 à 2015, la demanderesse a maintenu un agenda régulier et intensif lié à la danse, tel que le détaille sa propre biographie professionnelle, incluant des cours hebdomadaires aux Ballets Modernes du Québec et l’enseignement de la danse orientale à compter de 2010.</w:t>
      </w:r>
    </w:p>
    <w:p>
      <w:pPr>
        <w:pStyle w:val="Compact"/>
        <w:numPr>
          <w:numId w:val="1043"/>
          <w:ilvl w:val="0"/>
        </w:numPr>
      </w:pPr>
      <w:r>
        <w:t xml:space="preserve">La demanderesse était physiquement absente de la résidence familiale pour ses activités de danse à raison d’un à trois soirs par semaine pendant plusieurs mois de l’année.</w:t>
      </w:r>
    </w:p>
    <w:p>
      <w:pPr>
        <w:pStyle w:val="Compact"/>
        <w:numPr>
          <w:numId w:val="1043"/>
          <w:ilvl w:val="0"/>
        </w:numPr>
      </w:pPr>
      <w:r>
        <w:t xml:space="preserve">Durant ces soirées de danse en semaine, le défendeur assumait seul la prise en charge de la routine du soir (souper, bain, coucher) et de la garde des enfants.</w:t>
      </w:r>
    </w:p>
    <w:p>
      <w:pPr>
        <w:pStyle w:val="Compact"/>
        <w:numPr>
          <w:numId w:val="1043"/>
          <w:ilvl w:val="0"/>
        </w:numPr>
      </w:pPr>
      <w:r>
        <w:t xml:space="preserve">À titre d’exemple, les mercredis 9 et 16 février 2011, le défendeur s’est occupé de la routine du soir d’Alexia pendant que la demanderesse était à son cours de danse.</w:t>
      </w:r>
    </w:p>
    <w:p>
      <w:pPr>
        <w:pStyle w:val="Compact"/>
        <w:numPr>
          <w:numId w:val="1043"/>
          <w:ilvl w:val="0"/>
        </w:numPr>
      </w:pPr>
      <w:r>
        <w:t xml:space="preserve">Le 6 mars 2012, le défendeur a écrit à la demanderesse qu’il s’organisait pour rentrer tôt à la maison pour prendre le relais spécifiquement parce qu’elle dansait ce soir-là.</w:t>
      </w:r>
    </w:p>
    <w:p>
      <w:pPr>
        <w:pStyle w:val="Heading3"/>
      </w:pPr>
      <w:bookmarkStart w:id="98" w:name="X63d1a7a0aaabcdc2529fdf5f5fb667a64dcd928"/>
      <w:r>
        <w:t xml:space="preserve">E. La disponibilité autonome : les soins aux enfants malades</w:t>
      </w:r>
      <w:bookmarkEnd w:id="98"/>
    </w:p>
    <w:p>
      <w:pPr>
        <w:pStyle w:val="Compact"/>
        <w:numPr>
          <w:numId w:val="1044"/>
          <w:ilvl w:val="0"/>
        </w:numPr>
      </w:pPr>
      <w:r>
        <w:t xml:space="preserve">Entre 2011 et 2016, le défendeur s’est absenté de son travail de façon ponctuelle à au moins vingt (20) reprises documentées (journées ou demi-journées) spécifiquement pour prodiguer des soins aux enfants malades à la résidence familiale ou les accompagner à des rendez-vous médicaux.</w:t>
      </w:r>
    </w:p>
    <w:p>
      <w:pPr>
        <w:pStyle w:val="Compact"/>
        <w:numPr>
          <w:numId w:val="1044"/>
          <w:ilvl w:val="0"/>
        </w:numPr>
      </w:pPr>
      <w:r>
        <w:t xml:space="preserve">Ces absences avaient des conséquences professionnelles réelles pour le défendeur, documentées par des correspondances avec ses supérieurs de la Banque Nationale du Canada démontrant le report de réunions de performance ou l’annulation de sa présence à des événements d’équipe.</w:t>
      </w:r>
    </w:p>
    <w:p>
      <w:pPr>
        <w:pStyle w:val="Compact"/>
        <w:numPr>
          <w:numId w:val="1044"/>
          <w:ilvl w:val="0"/>
        </w:numPr>
      </w:pPr>
      <w:r>
        <w:t xml:space="preserve">Le 6 juillet 2011, le défendeur écrivait à ses supérieurs qu’il restait à la maison avec sa fille malade après avoir vainement tenté de convaincre sa conjointe de s’en charger.</w:t>
      </w:r>
    </w:p>
    <w:p>
      <w:pPr>
        <w:pStyle w:val="Compact"/>
        <w:numPr>
          <w:numId w:val="1044"/>
          <w:ilvl w:val="0"/>
        </w:numPr>
      </w:pPr>
      <w:r>
        <w:t xml:space="preserve">Le 19 décembre 2014, le défendeur informait son employeur qu’il restait à la maison pour s’occuper d’un enfant malade et précisait que sa conjointe « allait prendre la relève si nécessaire », illustrant un système de coordination partagée.</w:t>
      </w:r>
    </w:p>
    <w:p>
      <w:pPr>
        <w:pStyle w:val="Heading3"/>
      </w:pPr>
      <w:bookmarkStart w:id="99" w:name="X907b21d195355f7789f097e35bca2d40cf79c9b"/>
      <w:r>
        <w:t xml:space="preserve">F. La disponibilité autonome : la logistique de la garderie et des activités</w:t>
      </w:r>
      <w:bookmarkEnd w:id="99"/>
    </w:p>
    <w:p>
      <w:pPr>
        <w:pStyle w:val="Compact"/>
        <w:numPr>
          <w:numId w:val="1045"/>
          <w:ilvl w:val="0"/>
        </w:numPr>
      </w:pPr>
      <w:r>
        <w:t xml:space="preserve">Le défendeur participait activement à la logistique quotidienne de la garderie et de l’école afin de minimiser le temps des enfants en service de garde.</w:t>
      </w:r>
    </w:p>
    <w:p>
      <w:pPr>
        <w:pStyle w:val="Compact"/>
        <w:numPr>
          <w:numId w:val="1045"/>
          <w:ilvl w:val="0"/>
        </w:numPr>
      </w:pPr>
      <w:r>
        <w:t xml:space="preserve">À titre d’exemple, les 18 et 19 octobre 2012, il a assuré la routine du matin et accompagné à pied Alexia à sa maternelle, décalant ainsi le début de sa journée de travail.</w:t>
      </w:r>
    </w:p>
    <w:p>
      <w:pPr>
        <w:pStyle w:val="Compact"/>
        <w:numPr>
          <w:numId w:val="1045"/>
          <w:ilvl w:val="0"/>
        </w:numPr>
      </w:pPr>
      <w:r>
        <w:t xml:space="preserve">Les parties se coordonnaient également pour le retour de la garderie, comme l’illustre un courriel du défendeur du 24 novembre 2011 demandant simplement : « vas tu la chercher ou j’y vais? ».</w:t>
      </w:r>
    </w:p>
    <w:p>
      <w:pPr>
        <w:pStyle w:val="Compact"/>
        <w:numPr>
          <w:numId w:val="1045"/>
          <w:ilvl w:val="0"/>
        </w:numPr>
      </w:pPr>
      <w:r>
        <w:t xml:space="preserve">Les enfants participaient à plusieurs activités en sessions récurrentes (natation, gymnastique, soccer), exigeant une division des tâches parentales lors de ces événements.</w:t>
      </w:r>
    </w:p>
    <w:p>
      <w:pPr>
        <w:pStyle w:val="Compact"/>
        <w:numPr>
          <w:numId w:val="1045"/>
          <w:ilvl w:val="0"/>
        </w:numPr>
      </w:pPr>
      <w:r>
        <w:t xml:space="preserve">À l’été 2013, alors qu’Alexia jouait dans la ligue de soccer de Saint-Lambert entraînée par la demanderesse, le défendeur assumait la garde du jeune Nicolas, alors âgé de quelques mois, tout en se présentant aux pratiques et matchs.</w:t>
      </w:r>
    </w:p>
    <w:p>
      <w:pPr>
        <w:pStyle w:val="Heading3"/>
      </w:pPr>
      <w:bookmarkStart w:id="100" w:name="Xf584eaec8c4d3ea2b8191de3441980b94b1b5ae"/>
      <w:r>
        <w:t xml:space="preserve">G. L’aveu de la demanderesse et les justifications rétrospectives</w:t>
      </w:r>
      <w:bookmarkEnd w:id="100"/>
    </w:p>
    <w:p>
      <w:pPr>
        <w:pStyle w:val="Compact"/>
        <w:numPr>
          <w:numId w:val="1046"/>
          <w:ilvl w:val="0"/>
        </w:numPr>
      </w:pPr>
      <w:r>
        <w:t xml:space="preserve">Le 11 janvier 2016, le défendeur a interpellé la demanderesse au sujet de l’allégation de la requête affirmant qu’il n’était pas impliqué lorsqu’il était à la maison.</w:t>
      </w:r>
    </w:p>
    <w:p>
      <w:pPr>
        <w:pStyle w:val="Compact"/>
        <w:numPr>
          <w:numId w:val="1046"/>
          <w:ilvl w:val="0"/>
        </w:numPr>
      </w:pPr>
      <w:r>
        <w:t xml:space="preserve">Le même jour, la demanderesse a répondu qu’elle avait demandé à son avocate de retirer ce passage et que la question de la procureure portait sur le fait qu’il ne s’en occupait pas à « 50% du temps ».</w:t>
      </w:r>
    </w:p>
    <w:p>
      <w:pPr>
        <w:pStyle w:val="Compact"/>
        <w:numPr>
          <w:numId w:val="1046"/>
          <w:ilvl w:val="0"/>
        </w:numPr>
      </w:pPr>
      <w:r>
        <w:t xml:space="preserve">Le 16 septembre 2016, la demanderesse a écrit au défendeur pour l’informer qu’elle disposait dorénavant d’une aide familiale rémunérée, précisant que cette aide était pour les cours de natation des enfants et pour ses « soirs de danse », confirmant le rôle que le père assumait avant la séparation.</w:t>
      </w:r>
    </w:p>
    <w:p>
      <w:pPr>
        <w:pStyle w:val="Compact"/>
        <w:numPr>
          <w:numId w:val="1046"/>
          <w:ilvl w:val="0"/>
        </w:numPr>
      </w:pPr>
      <w:r>
        <w:t xml:space="preserve">Lors de ce même échange de septembre 2016, la demanderesse a écrit au défendeur qu’elle ne l’avait jamais traité d’incapable, insistant plutôt sur sa lecture du lien d’attachement des enfants.</w:t>
      </w:r>
    </w:p>
    <w:p>
      <w:pPr>
        <w:pStyle w:val="Heading3"/>
      </w:pPr>
      <w:bookmarkStart w:id="101" w:name="X981c21dccb675d0ab8c4e1eb938e1594eacd282"/>
      <w:r>
        <w:t xml:space="preserve">H. Contre-preuve contemporaine tirée de P-1</w:t>
      </w:r>
      <w:bookmarkEnd w:id="101"/>
    </w:p>
    <w:p>
      <w:pPr>
        <w:numPr>
          <w:numId w:val="1047"/>
          <w:ilvl w:val="0"/>
        </w:numPr>
      </w:pPr>
      <w:r>
        <w:t xml:space="preserve">Le 11 juin 2013, P-1 proposait d’obtenir la garde exclusive urgente, de relocaliser le défendeur et de limiter ses contacts à des droits d’accès sans coucher.</w:t>
      </w:r>
    </w:p>
    <w:p>
      <w:pPr>
        <w:numPr>
          <w:numId w:val="1047"/>
          <w:ilvl w:val="0"/>
        </w:numPr>
      </w:pPr>
      <w:r>
        <w:t xml:space="preserve">P-1 prévoyait que cette réduction de la présence paternelle laisserait s’installer une routine mère-enfants que les juges hésiteraient ensuite à modifier.</w:t>
      </w:r>
    </w:p>
    <w:p>
      <w:pPr>
        <w:numPr>
          <w:numId w:val="1047"/>
          <w:ilvl w:val="0"/>
        </w:numPr>
      </w:pPr>
      <w:r>
        <w:t xml:space="preserve">La variable choisie par le plan était donc la présence du père : elle devait être réduite avant que la garde exclusive puisse être présentée comme la continuité de ce à quoi les enfants étaient habitués.</w:t>
      </w:r>
    </w:p>
    <w:p>
      <w:pPr>
        <w:pStyle w:val="Heading2"/>
      </w:pPr>
      <w:bookmarkStart w:id="102" w:name="inférences-réservées-aux-moyens-4"/>
      <w:r>
        <w:t xml:space="preserve">5. Inférences réservées aux moyens</w:t>
      </w:r>
      <w:bookmarkEnd w:id="102"/>
    </w:p>
    <w:p>
      <w:pPr>
        <w:pStyle w:val="Compact"/>
        <w:numPr>
          <w:numId w:val="1048"/>
          <w:ilvl w:val="0"/>
        </w:numPr>
      </w:pPr>
      <w:r>
        <w:t xml:space="preserve">L’évolution du motif de refus est révélatrice : le refus d’avril 2015 s’appuyait sur une routine temporaire de deux mois, alors que la requête de novembre 2015 y substitue une prétendue indisponibilité historique. Cette requalification modifie un obstacle circonstanciel en une incapacité parentale structurelle.</w:t>
      </w:r>
    </w:p>
    <w:p>
      <w:pPr>
        <w:pStyle w:val="Compact"/>
        <w:numPr>
          <w:numId w:val="1048"/>
          <w:ilvl w:val="0"/>
        </w:numPr>
      </w:pPr>
      <w:r>
        <w:t xml:space="preserve">L’omission des négociations d’août et septembre 2015 crée une image faussée d’une impasse immédiate « dès la rupture », alors que la dernière position formelle du défendeur avant la Requête était l’acceptation d’une transition graduelle proposée par la demanderesse elle-même, avec passage à l’alternance 2-2-3 à compter du 7 février 2016 et aménagement de l’horaire selon les cours de danse de la demanderesse.</w:t>
      </w:r>
    </w:p>
    <w:p>
      <w:pPr>
        <w:pStyle w:val="Compact"/>
        <w:numPr>
          <w:numId w:val="1048"/>
          <w:ilvl w:val="0"/>
        </w:numPr>
      </w:pPr>
      <w:r>
        <w:t xml:space="preserve">L’agenda de danse de la mère, comptabilisant entre 50 et 100+ soirées d’absence annuelles, rend arithmétiquement impossible l’affirmation selon laquelle elle assumait</w:t>
      </w:r>
      <w:r>
        <w:t xml:space="preserve"> </w:t>
      </w:r>
      <w:r>
        <w:rPr>
          <w:i/>
        </w:rPr>
        <w:t xml:space="preserve">toute</w:t>
      </w:r>
      <w:r>
        <w:t xml:space="preserve"> </w:t>
      </w:r>
      <w:r>
        <w:t xml:space="preserve">la responsabilité parentale. La garde lors de ces absences incombait de facto au père.</w:t>
      </w:r>
    </w:p>
    <w:p>
      <w:pPr>
        <w:pStyle w:val="Compact"/>
        <w:numPr>
          <w:numId w:val="1048"/>
          <w:ilvl w:val="0"/>
        </w:numPr>
      </w:pPr>
      <w:r>
        <w:t xml:space="preserve">L’emploi d’une aide familiale post-séparation pour couvrir exactement les créneaux horaires (soirs de danse, natation) que le père couvrait durant la vie commune prouve l’importance logistique du rôle qu’il jouait.</w:t>
      </w:r>
    </w:p>
    <w:p>
      <w:pPr>
        <w:pStyle w:val="Compact"/>
        <w:numPr>
          <w:numId w:val="1048"/>
          <w:ilvl w:val="0"/>
        </w:numPr>
      </w:pPr>
      <w:r>
        <w:t xml:space="preserve">L’utilisation du qualificatif « rarement disponible » et l’affirmation d’une implication « minimale » devant le tribunal contredisent les communications directes où la mère concède plutôt une iniquité de temps (« pas 50% ») issue, entre autres, de l’attribution initiale du congé parental.</w:t>
      </w:r>
    </w:p>
    <w:p>
      <w:pPr>
        <w:pStyle w:val="Compact"/>
        <w:numPr>
          <w:numId w:val="1048"/>
          <w:ilvl w:val="0"/>
        </w:numPr>
      </w:pPr>
      <w:r>
        <w:rPr>
          <w:b/>
        </w:rPr>
        <w:t xml:space="preserve">Application au §14.</w:t>
      </w:r>
      <w:r>
        <w:t xml:space="preserve"> </w:t>
      </w:r>
      <w:r>
        <w:t xml:space="preserve">P-1 établit que la garde exclusive constituait déjà la conclusion recherchée en 2013. L’indisponibilité historique n’y est pas invoquée comme fondement ; elle apparaît en novembre 2015 pour justifier devant le Tribunal le refus de la garde partagée.</w:t>
      </w:r>
    </w:p>
    <w:p>
      <w:pPr>
        <w:pStyle w:val="Compact"/>
        <w:numPr>
          <w:numId w:val="1048"/>
          <w:ilvl w:val="0"/>
        </w:numPr>
      </w:pPr>
      <w:r>
        <w:rPr>
          <w:b/>
        </w:rPr>
        <w:t xml:space="preserve">Application au §15.</w:t>
      </w:r>
      <w:r>
        <w:t xml:space="preserve"> </w:t>
      </w:r>
      <w:r>
        <w:t xml:space="preserve">Un mécanisme destiné à réduire la présence du père cadre difficilement avec l’affirmation qu’il était déjà structurellement « rarement disponible ». Les absences professionnelles, soins et prises en charge autonomes fournissent la contradiction directe ; P-1 la corrobore.</w:t>
      </w:r>
    </w:p>
    <w:p>
      <w:pPr>
        <w:pStyle w:val="Compact"/>
        <w:numPr>
          <w:numId w:val="1048"/>
          <w:ilvl w:val="0"/>
        </w:numPr>
      </w:pPr>
      <w:r>
        <w:rPr>
          <w:b/>
        </w:rPr>
        <w:t xml:space="preserve">Application au §16.</w:t>
      </w:r>
      <w:r>
        <w:t xml:space="preserve"> </w:t>
      </w:r>
      <w:r>
        <w:t xml:space="preserve">P-1 prévoit de créer une routine mère-enfants plutôt que de constater qu’elle caractérisait déjà la vie familiale. Cette prémisse soutient les événements démontrant que le père participait lui aussi aux activités et au quotidien.</w:t>
      </w:r>
    </w:p>
    <w:p>
      <w:pPr>
        <w:pStyle w:val="Compact"/>
        <w:numPr>
          <w:numId w:val="1048"/>
          <w:ilvl w:val="0"/>
        </w:numPr>
      </w:pPr>
      <w:r>
        <w:rPr>
          <w:b/>
        </w:rPr>
        <w:t xml:space="preserve">Application au §17.</w:t>
      </w:r>
      <w:r>
        <w:t xml:space="preserve"> </w:t>
      </w:r>
      <w:r>
        <w:t xml:space="preserve">Les sorties autonomes, soins et décisions quotidiennes établissent un rôle parental propre. Le plan propose de transformer ce rôle en présence résiduelle ; il ne se contente pas d’organiser une aide déjà subsidiaire.</w:t>
      </w:r>
    </w:p>
    <w:p>
      <w:pPr>
        <w:pStyle w:val="Compact"/>
        <w:numPr>
          <w:numId w:val="1048"/>
          <w:ilvl w:val="0"/>
        </w:numPr>
      </w:pPr>
      <w:r>
        <w:rPr>
          <w:b/>
        </w:rPr>
        <w:t xml:space="preserve">Portée sur la connaissance.</w:t>
      </w:r>
      <w:r>
        <w:t xml:space="preserve"> </w:t>
      </w:r>
      <w:r>
        <w:t xml:space="preserve">Le désengagement historique aurait été disponible en 2013 s’il avait constitué la réalité. Son absence de P-1 ne prouve pas seule la fausseté des §15-17, mais elle renforce, après la preuve directe, l’inférence que la demanderesse connaissait la différence entre une répartition inégale et le rôle minimal ou subsidiaire présenté au Tribunal.</w:t>
      </w:r>
    </w:p>
    <w:p>
      <w:pPr>
        <w:pStyle w:val="Heading2"/>
      </w:pPr>
      <w:bookmarkStart w:id="103" w:name="pièces-nécessaires-inventaire-consolidé"/>
      <w:r>
        <w:t xml:space="preserve">6. Pièces nécessaires (Inventaire consolidé)</w:t>
      </w:r>
      <w:bookmarkEnd w:id="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Pièce ou source</w:t>
            </w:r>
          </w:p>
        </w:tc>
      </w:tr>
      <w:tr>
        <w:tc>
          <w:p>
            <w:pPr>
              <w:pStyle w:val="Compact"/>
              <w:jc w:val="left"/>
            </w:pPr>
            <w:r>
              <w:t xml:space="preserve">1, 2, 10</w:t>
            </w:r>
          </w:p>
        </w:tc>
        <w:tc>
          <w:p>
            <w:pPr>
              <w:pStyle w:val="Compact"/>
              <w:jc w:val="left"/>
            </w:pPr>
            <w:r>
              <w:t xml:space="preserve">Requête du 19 novembre 2015 ;</w:t>
            </w:r>
            <w:r>
              <w:t xml:space="preserve"> </w:t>
            </w:r>
            <w:r>
              <w:rPr>
                <w:rStyle w:val="VerbatimChar"/>
              </w:rPr>
              <w:t xml:space="preserve">piece_document-1.md</w:t>
            </w:r>
          </w:p>
        </w:tc>
      </w:tr>
      <w:tr>
        <w:tc>
          <w:p>
            <w:pPr>
              <w:pStyle w:val="Compact"/>
              <w:jc w:val="left"/>
            </w:pPr>
            <w:r>
              <w:t xml:space="preserve">3</w:t>
            </w:r>
          </w:p>
        </w:tc>
        <w:tc>
          <w:p>
            <w:pPr>
              <w:pStyle w:val="Compact"/>
              <w:jc w:val="left"/>
            </w:pPr>
            <w:r>
              <w:t xml:space="preserve">Lettre du 20 avril 2015 ;</w:t>
            </w:r>
            <w:r>
              <w:t xml:space="preserve"> </w:t>
            </w:r>
            <w:r>
              <w:rPr>
                <w:rStyle w:val="VerbatimChar"/>
              </w:rPr>
              <w:t xml:space="preserve">piece_pdf-2.md</w:t>
            </w:r>
          </w:p>
        </w:tc>
      </w:tr>
      <w:tr>
        <w:tc>
          <w:p>
            <w:pPr>
              <w:pStyle w:val="Compact"/>
              <w:jc w:val="left"/>
            </w:pPr>
            <w:r>
              <w:t xml:space="preserve">4, 5</w:t>
            </w:r>
          </w:p>
        </w:tc>
        <w:tc>
          <w:p>
            <w:pPr>
              <w:pStyle w:val="Compact"/>
              <w:jc w:val="left"/>
            </w:pPr>
            <w:r>
              <w:t xml:space="preserve">Lettre du 27 avril 2015 ;</w:t>
            </w:r>
            <w:r>
              <w:t xml:space="preserve"> </w:t>
            </w:r>
            <w:r>
              <w:rPr>
                <w:rStyle w:val="VerbatimChar"/>
              </w:rPr>
              <w:t xml:space="preserve">piece_pdf-3.md</w:t>
            </w:r>
          </w:p>
        </w:tc>
      </w:tr>
      <w:tr>
        <w:tc>
          <w:p>
            <w:pPr>
              <w:pStyle w:val="Compact"/>
              <w:jc w:val="left"/>
            </w:pPr>
            <w:r>
              <w:t xml:space="preserve">6</w:t>
            </w:r>
          </w:p>
        </w:tc>
        <w:tc>
          <w:p>
            <w:pPr>
              <w:pStyle w:val="Compact"/>
              <w:jc w:val="left"/>
            </w:pPr>
            <w:r>
              <w:t xml:space="preserve">Projet de consentement du 13 août 2015 ;</w:t>
            </w:r>
            <w:r>
              <w:t xml:space="preserve"> </w:t>
            </w:r>
            <w:r>
              <w:rPr>
                <w:rStyle w:val="VerbatimChar"/>
              </w:rPr>
              <w:t xml:space="preserve">piece_pdf-5.md</w:t>
            </w:r>
          </w:p>
        </w:tc>
      </w:tr>
      <w:tr>
        <w:tc>
          <w:p>
            <w:pPr>
              <w:pStyle w:val="Compact"/>
              <w:jc w:val="left"/>
            </w:pPr>
            <w:r>
              <w:t xml:space="preserve">7, 8, 9</w:t>
            </w:r>
          </w:p>
        </w:tc>
        <w:tc>
          <w:p>
            <w:pPr>
              <w:pStyle w:val="Compact"/>
              <w:jc w:val="left"/>
            </w:pPr>
            <w:r>
              <w:t xml:space="preserve">Lettre du 2 septembre 2015 ;</w:t>
            </w:r>
            <w:r>
              <w:t xml:space="preserve"> </w:t>
            </w:r>
            <w:r>
              <w:rPr>
                <w:rStyle w:val="VerbatimChar"/>
              </w:rPr>
              <w:t xml:space="preserve">piece_pdf-6.md</w:t>
            </w:r>
          </w:p>
        </w:tc>
      </w:tr>
      <w:tr>
        <w:tc>
          <w:p>
            <w:pPr>
              <w:pStyle w:val="Compact"/>
              <w:jc w:val="left"/>
            </w:pPr>
            <w:r>
              <w:t xml:space="preserve">11</w:t>
            </w:r>
          </w:p>
        </w:tc>
        <w:tc>
          <w:p>
            <w:pPr>
              <w:pStyle w:val="Compact"/>
              <w:jc w:val="left"/>
            </w:pPr>
            <w:r>
              <w:t xml:space="preserve">Dossier RQAP ;</w:t>
            </w:r>
            <w:r>
              <w:t xml:space="preserve"> </w:t>
            </w:r>
            <w:r>
              <w:rPr>
                <w:rStyle w:val="VerbatimChar"/>
              </w:rPr>
              <w:t xml:space="preserve">piece_photo-4558.md</w:t>
            </w:r>
          </w:p>
        </w:tc>
      </w:tr>
      <w:tr>
        <w:tc>
          <w:p>
            <w:pPr>
              <w:pStyle w:val="Compact"/>
              <w:jc w:val="left"/>
            </w:pPr>
            <w:r>
              <w:t xml:space="preserve">12</w:t>
            </w:r>
          </w:p>
        </w:tc>
        <w:tc>
          <w:p>
            <w:pPr>
              <w:pStyle w:val="Compact"/>
              <w:jc w:val="left"/>
            </w:pPr>
            <w:r>
              <w:t xml:space="preserve">Biographie d’Élise Ayoub (Studio Danse C) ;</w:t>
            </w:r>
            <w:r>
              <w:t xml:space="preserve"> </w:t>
            </w:r>
            <w:r>
              <w:rPr>
                <w:rStyle w:val="VerbatimChar"/>
              </w:rPr>
              <w:t xml:space="preserve">PDFDocument 59</w:t>
            </w:r>
          </w:p>
        </w:tc>
      </w:tr>
      <w:tr>
        <w:tc>
          <w:p>
            <w:pPr>
              <w:pStyle w:val="Compact"/>
              <w:jc w:val="left"/>
            </w:pPr>
            <w:r>
              <w:t xml:space="preserve">15</w:t>
            </w:r>
          </w:p>
        </w:tc>
        <w:tc>
          <w:p>
            <w:pPr>
              <w:pStyle w:val="Compact"/>
              <w:jc w:val="left"/>
            </w:pPr>
            <w:r>
              <w:t xml:space="preserve">Events id=46, 52 (9 et 16 février 2011)</w:t>
            </w:r>
          </w:p>
        </w:tc>
      </w:tr>
      <w:tr>
        <w:tc>
          <w:p>
            <w:pPr>
              <w:pStyle w:val="Compact"/>
              <w:jc w:val="left"/>
            </w:pPr>
            <w:r>
              <w:t xml:space="preserve">16</w:t>
            </w:r>
          </w:p>
        </w:tc>
        <w:tc>
          <w:p>
            <w:pPr>
              <w:pStyle w:val="Compact"/>
              <w:jc w:val="left"/>
            </w:pPr>
            <w:r>
              <w:t xml:space="preserve">Email id=347 (6 mars 2012)</w:t>
            </w:r>
          </w:p>
        </w:tc>
      </w:tr>
      <w:tr>
        <w:tc>
          <w:p>
            <w:pPr>
              <w:pStyle w:val="Compact"/>
              <w:jc w:val="left"/>
            </w:pPr>
            <w:r>
              <w:t xml:space="preserve">17, 18</w:t>
            </w:r>
          </w:p>
        </w:tc>
        <w:tc>
          <w:p>
            <w:pPr>
              <w:pStyle w:val="Compact"/>
              <w:jc w:val="left"/>
            </w:pPr>
            <w:r>
              <w:t xml:space="preserve">Courriels employeur BNC (P-64 à P-354, 21 pièces)</w:t>
            </w:r>
          </w:p>
        </w:tc>
      </w:tr>
      <w:tr>
        <w:tc>
          <w:p>
            <w:pPr>
              <w:pStyle w:val="Compact"/>
              <w:jc w:val="left"/>
            </w:pPr>
            <w:r>
              <w:t xml:space="preserve">19</w:t>
            </w:r>
          </w:p>
        </w:tc>
        <w:tc>
          <w:p>
            <w:pPr>
              <w:pStyle w:val="Compact"/>
              <w:jc w:val="left"/>
            </w:pPr>
            <w:r>
              <w:t xml:space="preserve">Email id=59 (6 juillet 2011)</w:t>
            </w:r>
          </w:p>
        </w:tc>
      </w:tr>
      <w:tr>
        <w:tc>
          <w:p>
            <w:pPr>
              <w:pStyle w:val="Compact"/>
              <w:jc w:val="left"/>
            </w:pPr>
            <w:r>
              <w:t xml:space="preserve">20</w:t>
            </w:r>
          </w:p>
        </w:tc>
        <w:tc>
          <w:p>
            <w:pPr>
              <w:pStyle w:val="Compact"/>
              <w:jc w:val="left"/>
            </w:pPr>
            <w:r>
              <w:t xml:space="preserve">Email id=27 (19 décembre 2014)</w:t>
            </w:r>
          </w:p>
        </w:tc>
      </w:tr>
      <w:tr>
        <w:tc>
          <w:p>
            <w:pPr>
              <w:pStyle w:val="Compact"/>
              <w:jc w:val="left"/>
            </w:pPr>
            <w:r>
              <w:t xml:space="preserve">22</w:t>
            </w:r>
          </w:p>
        </w:tc>
        <w:tc>
          <w:p>
            <w:pPr>
              <w:pStyle w:val="Compact"/>
              <w:jc w:val="left"/>
            </w:pPr>
            <w:r>
              <w:t xml:space="preserve">Events id=213, 214 (18-19 octobre 2012)</w:t>
            </w:r>
          </w:p>
        </w:tc>
      </w:tr>
      <w:tr>
        <w:tc>
          <w:p>
            <w:pPr>
              <w:pStyle w:val="Compact"/>
              <w:jc w:val="left"/>
            </w:pPr>
            <w:r>
              <w:t xml:space="preserve">23</w:t>
            </w:r>
          </w:p>
        </w:tc>
        <w:tc>
          <w:p>
            <w:pPr>
              <w:pStyle w:val="Compact"/>
              <w:jc w:val="left"/>
            </w:pPr>
            <w:r>
              <w:t xml:space="preserve">Email id=54 (24 novembre 2011)</w:t>
            </w:r>
          </w:p>
        </w:tc>
      </w:tr>
      <w:tr>
        <w:tc>
          <w:p>
            <w:pPr>
              <w:pStyle w:val="Compact"/>
              <w:jc w:val="left"/>
            </w:pPr>
            <w:r>
              <w:t xml:space="preserve">25</w:t>
            </w:r>
          </w:p>
        </w:tc>
        <w:tc>
          <w:p>
            <w:pPr>
              <w:pStyle w:val="Compact"/>
              <w:jc w:val="left"/>
            </w:pPr>
            <w:r>
              <w:t xml:space="preserve">Event id=239 (28 mai 2013) et Email id=32 (30 juillet 2013)</w:t>
            </w:r>
          </w:p>
        </w:tc>
      </w:tr>
      <w:tr>
        <w:tc>
          <w:p>
            <w:pPr>
              <w:pStyle w:val="Compact"/>
              <w:jc w:val="left"/>
            </w:pPr>
            <w:r>
              <w:t xml:space="preserve">26, 27</w:t>
            </w:r>
          </w:p>
        </w:tc>
        <w:tc>
          <w:p>
            <w:pPr>
              <w:pStyle w:val="Compact"/>
              <w:jc w:val="left"/>
            </w:pPr>
            <w:r>
              <w:t xml:space="preserve">Courriel du 11 janvier 2016 ;</w:t>
            </w:r>
            <w:r>
              <w:t xml:space="preserve"> </w:t>
            </w:r>
            <w:r>
              <w:rPr>
                <w:rStyle w:val="VerbatimChar"/>
              </w:rPr>
              <w:t xml:space="preserve">piece_thread-12_email-16.md</w:t>
            </w:r>
          </w:p>
        </w:tc>
      </w:tr>
      <w:tr>
        <w:tc>
          <w:p>
            <w:pPr>
              <w:pStyle w:val="Compact"/>
              <w:jc w:val="left"/>
            </w:pPr>
            <w:r>
              <w:t xml:space="preserve">28</w:t>
            </w:r>
          </w:p>
        </w:tc>
        <w:tc>
          <w:p>
            <w:pPr>
              <w:pStyle w:val="Compact"/>
              <w:jc w:val="left"/>
            </w:pPr>
            <w:r>
              <w:t xml:space="preserve">Email id=305 (16 septembre 2016)</w:t>
            </w:r>
          </w:p>
        </w:tc>
      </w:tr>
      <w:tr>
        <w:tc>
          <w:p>
            <w:pPr>
              <w:pStyle w:val="Compact"/>
              <w:jc w:val="left"/>
            </w:pPr>
            <w:r>
              <w:t xml:space="preserve">29</w:t>
            </w:r>
          </w:p>
        </w:tc>
        <w:tc>
          <w:p>
            <w:pPr>
              <w:pStyle w:val="Compact"/>
              <w:jc w:val="left"/>
            </w:pPr>
            <w:r>
              <w:t xml:space="preserve">Email id=6 (16 septembre 2016)</w:t>
            </w:r>
          </w:p>
        </w:tc>
      </w:tr>
      <w:tr>
        <w:tc>
          <w:p>
            <w:pPr>
              <w:pStyle w:val="Compact"/>
              <w:jc w:val="left"/>
            </w:pPr>
            <w:r>
              <w:t xml:space="preserve">30-32</w:t>
            </w:r>
          </w:p>
        </w:tc>
        <w:tc>
          <w:p>
            <w:pPr>
              <w:pStyle w:val="Compact"/>
              <w:jc w:val="left"/>
            </w:pPr>
            <w:r>
              <w:rPr>
                <w:rStyle w:val="VerbatimChar"/>
              </w:rPr>
              <w:t xml:space="preserve">piece_pdf-1.md</w:t>
            </w:r>
            <w:r>
              <w:t xml:space="preserve"> </w:t>
            </w:r>
            <w:r>
              <w:t xml:space="preserve">;</w:t>
            </w:r>
            <w:r>
              <w:t xml:space="preserve"> </w:t>
            </w:r>
            <w:hyperlink r:id="rId35">
              <w:r>
                <w:rPr>
                  <w:rStyle w:val="Hyperlink"/>
                </w:rPr>
                <w:t xml:space="preserve">axe présence quotidienne</w:t>
              </w:r>
            </w:hyperlink>
            <w:r>
              <w:t xml:space="preserve">, section « Contre-preuve contemporaine transversale »</w:t>
            </w:r>
          </w:p>
        </w:tc>
      </w:tr>
    </w:tbl>
    <w:p>
      <w:pPr>
        <w:pStyle w:val="Heading2"/>
      </w:pPr>
      <w:bookmarkStart w:id="104" w:name="prudences-de-rédaction-4"/>
      <w:r>
        <w:t xml:space="preserve">7. Prudences de rédaction</w:t>
      </w:r>
      <w:bookmarkEnd w:id="104"/>
    </w:p>
    <w:p>
      <w:pPr>
        <w:pStyle w:val="Compact"/>
        <w:numPr>
          <w:numId w:val="1049"/>
          <w:ilvl w:val="0"/>
        </w:numPr>
      </w:pPr>
      <w:r>
        <w:rPr>
          <w:b/>
        </w:rPr>
        <w:t xml:space="preserve">Concession explicite</w:t>
      </w:r>
      <w:r>
        <w:t xml:space="preserve"> </w:t>
      </w:r>
      <w:r>
        <w:t xml:space="preserve">: Le paragraphe 2 doit concéder le refus de la garde partagée pour neutraliser cet élément et se concentrer sur l’attaque des motifs.</w:t>
      </w:r>
    </w:p>
    <w:p>
      <w:pPr>
        <w:pStyle w:val="Compact"/>
        <w:numPr>
          <w:numId w:val="1049"/>
          <w:ilvl w:val="0"/>
        </w:numPr>
      </w:pPr>
      <w:r>
        <w:rPr>
          <w:b/>
        </w:rPr>
        <w:t xml:space="preserve">Ton factuel</w:t>
      </w:r>
      <w:r>
        <w:t xml:space="preserve"> </w:t>
      </w:r>
      <w:r>
        <w:t xml:space="preserve">: Ne pas qualifier la mère de « menteuse » ou affirmer qu’elle « cache » ses cours de danse. Exposer ses heures de présence et d’absence et laisser le tribunal constater l’impossibilité mathématique de son allégation.</w:t>
      </w:r>
    </w:p>
    <w:p>
      <w:pPr>
        <w:pStyle w:val="Compact"/>
        <w:numPr>
          <w:numId w:val="1049"/>
          <w:ilvl w:val="0"/>
        </w:numPr>
      </w:pPr>
      <w:r>
        <w:rPr>
          <w:b/>
        </w:rPr>
        <w:t xml:space="preserve">P-1 demeure corroborante et conditionnelle</w:t>
      </w:r>
      <w:r>
        <w:t xml:space="preserve"> </w:t>
      </w:r>
      <w:r>
        <w:t xml:space="preserve">: sa recevabilité doit être tranchée. Si elle est exclue, la réfutation des §15-17 demeure portée par les preuves directes ; seule la contre-preuve contemporaine relative au mécanisme de réduction disparaît.</w:t>
      </w:r>
    </w:p>
    <w:p>
      <w:pPr>
        <w:pStyle w:val="Heading2"/>
      </w:pPr>
      <w:bookmarkStart w:id="105" w:name="X55821445c99cac6fc524ff01b2193bd7d98aac2"/>
      <w:r>
        <w:t xml:space="preserve">8. Usage proposé dans la demande introductive</w:t>
      </w:r>
      <w:bookmarkEnd w:id="105"/>
    </w:p>
    <w:p>
      <w:pPr>
        <w:pStyle w:val="FirstParagraph"/>
      </w:pPr>
      <w:r>
        <w:t xml:space="preserve">Ces 32 faits permettent de répondre aux paragraphes 14 à 17 en distinguant ce qui doit être concédé de ce qui est contesté. Le fait que le défendeur ait demandé la garde partagée et que la demanderesse l’ait refusée est concédé ; ce qui est contesté est le motif présenté au tribunal et l’omission de la dernière position formelle du défendeur avant la Requête.</w:t>
      </w:r>
    </w:p>
    <w:p>
      <w:pPr>
        <w:pStyle w:val="BodyText"/>
      </w:pPr>
      <w:r>
        <w:t xml:space="preserve">La section B démontre que la dernière position active du défendeur n’était pas une demande immédiate et rigide de garde partagée, mais l’acceptation d’une transition graduelle proposée par la demanderesse, avec un passage à l’alternance 2-2-3 à compter du 7 février 2016 et un aménagement laissé à la demanderesse pour ses cours de danse. Les sections D à G permettent ensuite de contester directement la représentation du père comme parent rarement disponible ou seulement subsidiaire. La section H incorpore le moyen transversal tiré de P-1 après cette preuve directe : elle montre que la présence paternelle était traitée en 2013 comme une réalité à réduire avant de pouvoir invoquer une routine maternelle exclusive.</w:t>
      </w:r>
    </w:p>
    <w:p>
      <w:pPr>
        <w:pStyle w:val="Heading2"/>
      </w:pPr>
      <w:bookmarkStart w:id="106" w:name="version-procédurale-distillée-4"/>
      <w:r>
        <w:t xml:space="preserve">9. Version procédurale distillée</w:t>
      </w:r>
      <w:bookmarkEnd w:id="106"/>
    </w:p>
    <w:p>
      <w:pPr>
        <w:pStyle w:val="BlockText"/>
      </w:pPr>
      <w:r>
        <w:t xml:space="preserve">Les références internes ci-dessous servent au travail de rédaction ; elles seront remplacées par les cotes de pièces lorsque le bordereau sera stabilisé.</w:t>
      </w:r>
    </w:p>
    <w:p>
      <w:pPr>
        <w:pStyle w:val="Compact"/>
        <w:numPr>
          <w:numId w:val="1050"/>
          <w:ilvl w:val="0"/>
        </w:numPr>
      </w:pPr>
      <w:r>
        <w:t xml:space="preserve">Le 19 novembre 2015, la demanderesse a allégué avoir refusé la garde partagée parce que celle-ci aurait été contraire à l’intérêt des enfants, le défendeur ayant été, selon elle, rarement disponible pour prendre soin d’eux (</w:t>
      </w:r>
      <w:r>
        <w:rPr>
          <w:rStyle w:val="VerbatimChar"/>
        </w:rPr>
        <w:t xml:space="preserve">piece_document-1.md</w:t>
      </w:r>
      <w:r>
        <w:t xml:space="preserve">, §14-17).</w:t>
      </w:r>
    </w:p>
    <w:p>
      <w:pPr>
        <w:pStyle w:val="Compact"/>
        <w:numPr>
          <w:numId w:val="1050"/>
          <w:ilvl w:val="0"/>
        </w:numPr>
      </w:pPr>
      <w:r>
        <w:t xml:space="preserve">Il n’est pas contesté que dès la rupture, le défendeur a signifié son souhait d’instaurer une garde partagée et que la demanderesse s’y est opposée.</w:t>
      </w:r>
    </w:p>
    <w:p>
      <w:pPr>
        <w:pStyle w:val="Compact"/>
        <w:numPr>
          <w:numId w:val="1050"/>
          <w:ilvl w:val="0"/>
        </w:numPr>
      </w:pPr>
      <w:r>
        <w:t xml:space="preserve">Le 20 avril 2015, le défendeur a transmis une offre formelle de garde partagée selon un horaire 2-2-3 (</w:t>
      </w:r>
      <w:r>
        <w:rPr>
          <w:rStyle w:val="VerbatimChar"/>
        </w:rPr>
        <w:t xml:space="preserve">piece_pdf-2.md</w:t>
      </w:r>
      <w:r>
        <w:t xml:space="preserve">).</w:t>
      </w:r>
    </w:p>
    <w:p>
      <w:pPr>
        <w:pStyle w:val="Compact"/>
        <w:numPr>
          <w:numId w:val="1050"/>
          <w:ilvl w:val="0"/>
        </w:numPr>
      </w:pPr>
      <w:r>
        <w:t xml:space="preserve">Le 27 avril 2015, Me Marie-Josée Ayoub a signifié un refus par écrit, n’invoquant aucune indisponibilité historique du défendeur, plaidant plutôt le fait qu’il n’était pas dans l’intérêt des enfants de modifier une routine alors établie depuis « plus de deux mois », soit depuis la séparation (</w:t>
      </w:r>
      <w:r>
        <w:rPr>
          <w:rStyle w:val="VerbatimChar"/>
        </w:rPr>
        <w:t xml:space="preserve">piece_pdf-3.md</w:t>
      </w:r>
      <w:r>
        <w:t xml:space="preserve">).</w:t>
      </w:r>
    </w:p>
    <w:p>
      <w:pPr>
        <w:pStyle w:val="Compact"/>
        <w:numPr>
          <w:numId w:val="1050"/>
          <w:ilvl w:val="0"/>
        </w:numPr>
      </w:pPr>
      <w:r>
        <w:t xml:space="preserve">Dans cette même correspondance du 27 avril 2015, la demanderesse offrait au défendeur d’exercer des droits d’accès incluant des nuitées non supervisées en semaine et la fin de semaine (</w:t>
      </w:r>
      <w:r>
        <w:rPr>
          <w:rStyle w:val="VerbatimChar"/>
        </w:rPr>
        <w:t xml:space="preserve">piece_pdf-3.md</w:t>
      </w:r>
      <w:r>
        <w:t xml:space="preserve">).</w:t>
      </w:r>
    </w:p>
    <w:p>
      <w:pPr>
        <w:pStyle w:val="Compact"/>
        <w:numPr>
          <w:numId w:val="1050"/>
          <w:ilvl w:val="0"/>
        </w:numPr>
      </w:pPr>
      <w:r>
        <w:t xml:space="preserve">Le 13 août 2015, Me Marie-Josée Ayoub a soumis un projet de consentement proposant un accroissement progressif des droits d’accès du défendeur en quatre phases s’échelonnant sur quelques années (</w:t>
      </w:r>
      <w:r>
        <w:rPr>
          <w:rStyle w:val="VerbatimChar"/>
        </w:rPr>
        <w:t xml:space="preserve">piece_pdf-5.md</w:t>
      </w:r>
      <w:r>
        <w:t xml:space="preserve">).</w:t>
      </w:r>
    </w:p>
    <w:p>
      <w:pPr>
        <w:pStyle w:val="Compact"/>
        <w:numPr>
          <w:numId w:val="1050"/>
          <w:ilvl w:val="0"/>
        </w:numPr>
      </w:pPr>
      <w:r>
        <w:t xml:space="preserve">Le 2 septembre 2015, le défendeur a répondu par écrit qu’il était « tout à fait disposé à établir une progression » dans les droits d’accès, demandant que l’horaire de garde soit en alternance 2-2-3 à compter du 7 février 2016 (</w:t>
      </w:r>
      <w:r>
        <w:rPr>
          <w:rStyle w:val="VerbatimChar"/>
        </w:rPr>
        <w:t xml:space="preserve">piece_pdf-6.md</w:t>
      </w:r>
      <w:r>
        <w:t xml:space="preserve">).</w:t>
      </w:r>
    </w:p>
    <w:p>
      <w:pPr>
        <w:pStyle w:val="Compact"/>
        <w:numPr>
          <w:numId w:val="1050"/>
          <w:ilvl w:val="0"/>
        </w:numPr>
      </w:pPr>
      <w:r>
        <w:t xml:space="preserve">Dans cette même réponse, le défendeur se disait « tout à fait disposé » à laisser la demanderesse choisir les jours de garde afin que l’horaire tienne compte de ses cours de danse (</w:t>
      </w:r>
      <w:r>
        <w:rPr>
          <w:rStyle w:val="VerbatimChar"/>
        </w:rPr>
        <w:t xml:space="preserve">piece_pdf-6.md</w:t>
      </w:r>
      <w:r>
        <w:t xml:space="preserve">).</w:t>
      </w:r>
    </w:p>
    <w:p>
      <w:pPr>
        <w:pStyle w:val="Compact"/>
        <w:numPr>
          <w:numId w:val="1050"/>
          <w:ilvl w:val="0"/>
        </w:numPr>
      </w:pPr>
      <w:r>
        <w:t xml:space="preserve">Cette réponse du 2 septembre 2015 constituait la dernière position formelle du défendeur avant la Requête : elle acceptait la transition graduelle proposée par la demanderesse, plutôt qu’une garde partagée immédiate.</w:t>
      </w:r>
    </w:p>
    <w:p>
      <w:pPr>
        <w:pStyle w:val="Compact"/>
        <w:numPr>
          <w:numId w:val="1050"/>
          <w:ilvl w:val="0"/>
        </w:numPr>
      </w:pPr>
      <w:r>
        <w:t xml:space="preserve">La requête de la demanderesse du 19 novembre 2015 ne fait aucune mention du projet de consentement du 13 août 2015 ni de la réponse favorable du 2 septembre 2015 (</w:t>
      </w:r>
      <w:r>
        <w:rPr>
          <w:rStyle w:val="VerbatimChar"/>
        </w:rPr>
        <w:t xml:space="preserve">piece_document-1.md</w:t>
      </w:r>
      <w:r>
        <w:t xml:space="preserve">).</w:t>
      </w:r>
    </w:p>
    <w:p>
      <w:pPr>
        <w:pStyle w:val="Compact"/>
        <w:numPr>
          <w:numId w:val="1050"/>
          <w:ilvl w:val="0"/>
        </w:numPr>
      </w:pPr>
      <w:r>
        <w:t xml:space="preserve">Quant à la disponibilité parentale, lors de la naissance d’Alexia en 2009, les 32 semaines de congé parental partageables du Régime québécois d’assurance parentale avaient été allouées en totalité à la demanderesse (</w:t>
      </w:r>
      <w:r>
        <w:rPr>
          <w:rStyle w:val="VerbatimChar"/>
        </w:rPr>
        <w:t xml:space="preserve">piece_photo-4558.md</w:t>
      </w:r>
      <w:r>
        <w:t xml:space="preserve">).</w:t>
      </w:r>
    </w:p>
    <w:p>
      <w:pPr>
        <w:pStyle w:val="Compact"/>
        <w:numPr>
          <w:numId w:val="1050"/>
          <w:ilvl w:val="0"/>
        </w:numPr>
      </w:pPr>
      <w:r>
        <w:t xml:space="preserve">De 2009 à 2015, la demanderesse a maintenu un agenda régulier de danse, tel qu’elle l’a elle-même documenté dans sa biographie professionnelle, incluant des cours hebdomadaires aux Ballets Modernes du Québec et l’enseignement de la danse orientale à compter de 2010 (</w:t>
      </w:r>
      <w:r>
        <w:rPr>
          <w:rStyle w:val="VerbatimChar"/>
        </w:rPr>
        <w:t xml:space="preserve">PDFDocument 59</w:t>
      </w:r>
      <w:r>
        <w:t xml:space="preserve">).</w:t>
      </w:r>
    </w:p>
    <w:p>
      <w:pPr>
        <w:pStyle w:val="Compact"/>
        <w:numPr>
          <w:numId w:val="1050"/>
          <w:ilvl w:val="0"/>
        </w:numPr>
      </w:pPr>
      <w:r>
        <w:t xml:space="preserve">La demanderesse était physiquement absente de la résidence familiale pour ses activités de danse à raison d’un à trois soirs par semaine pendant plusieurs mois de l’année.</w:t>
      </w:r>
    </w:p>
    <w:p>
      <w:pPr>
        <w:pStyle w:val="Compact"/>
        <w:numPr>
          <w:numId w:val="1050"/>
          <w:ilvl w:val="0"/>
        </w:numPr>
      </w:pPr>
      <w:r>
        <w:t xml:space="preserve">Durant ces soirées de danse en semaine, le défendeur assumait seul la prise en charge de la routine du soir et de la garde des enfants à la résidence familiale.</w:t>
      </w:r>
    </w:p>
    <w:p>
      <w:pPr>
        <w:pStyle w:val="Compact"/>
        <w:numPr>
          <w:numId w:val="1050"/>
          <w:ilvl w:val="0"/>
        </w:numPr>
      </w:pPr>
      <w:r>
        <w:t xml:space="preserve">À titre d’exemple, les mercredis 9 et 16 février 2011, le défendeur s’est occupé seul de la routine du soir d’Alexia pendant que la demanderesse était à son cours de danse (Events id=46, 52).</w:t>
      </w:r>
    </w:p>
    <w:p>
      <w:pPr>
        <w:pStyle w:val="Compact"/>
        <w:numPr>
          <w:numId w:val="1050"/>
          <w:ilvl w:val="0"/>
        </w:numPr>
      </w:pPr>
      <w:r>
        <w:t xml:space="preserve">Le 6 mars 2012, le défendeur a écrit à la demanderesse qu’il s’organisait pour rentrer tôt à la maison pour prendre le relais spécifiquement parce qu’elle dansait ce soir-là (Email id=347).</w:t>
      </w:r>
    </w:p>
    <w:p>
      <w:pPr>
        <w:pStyle w:val="Compact"/>
        <w:numPr>
          <w:numId w:val="1050"/>
          <w:ilvl w:val="0"/>
        </w:numPr>
      </w:pPr>
      <w:r>
        <w:t xml:space="preserve">Entre 2011 et 2016, le défendeur s’est absenté de son travail de façon ponctuelle à au moins vingt (20) reprises documentées spécifiquement pour prodiguer des soins aux enfants malades à la résidence ou les accompagner à des rendez-vous médicaux (courriels employeur BNC, P-64 à P-354).</w:t>
      </w:r>
    </w:p>
    <w:p>
      <w:pPr>
        <w:pStyle w:val="Compact"/>
        <w:numPr>
          <w:numId w:val="1050"/>
          <w:ilvl w:val="0"/>
        </w:numPr>
      </w:pPr>
      <w:r>
        <w:t xml:space="preserve">Ces absences avaient des conséquences professionnelles concrètes, documentées par des correspondances avec ses supérieurs de la Banque Nationale du Canada, telles que le report de réunions de performance (courriels employeur BNC, P-64 à P-354).</w:t>
      </w:r>
    </w:p>
    <w:p>
      <w:pPr>
        <w:pStyle w:val="Compact"/>
        <w:numPr>
          <w:numId w:val="1050"/>
          <w:ilvl w:val="0"/>
        </w:numPr>
      </w:pPr>
      <w:r>
        <w:t xml:space="preserve">À titre d’exemple, le 6 juillet 2011, le défendeur a écrit à ses supérieurs qu’il restait à la maison avec sa fille malade après avoir vainement tenté de convaincre sa conjointe de s’en charger (Email id=59).</w:t>
      </w:r>
    </w:p>
    <w:p>
      <w:pPr>
        <w:pStyle w:val="Compact"/>
        <w:numPr>
          <w:numId w:val="1050"/>
          <w:ilvl w:val="0"/>
        </w:numPr>
      </w:pPr>
      <w:r>
        <w:t xml:space="preserve">Le 19 décembre 2014, le défendeur a informé son employeur qu’il restait à la maison pour un enfant malade, précisant que la demanderesse « allait prendre la relève si nécessaire » (Email id=27).</w:t>
      </w:r>
    </w:p>
    <w:p>
      <w:pPr>
        <w:pStyle w:val="Compact"/>
        <w:numPr>
          <w:numId w:val="1050"/>
          <w:ilvl w:val="0"/>
        </w:numPr>
      </w:pPr>
      <w:r>
        <w:t xml:space="preserve">Le défendeur participait également de façon autonome à la logistique quotidienne de la garderie et de l’école.</w:t>
      </w:r>
    </w:p>
    <w:p>
      <w:pPr>
        <w:pStyle w:val="Compact"/>
        <w:numPr>
          <w:numId w:val="1050"/>
          <w:ilvl w:val="0"/>
        </w:numPr>
      </w:pPr>
      <w:r>
        <w:t xml:space="preserve">À titre d’exemple, les 18 et 19 octobre 2012, il a assuré la routine du matin et accompagné à pied Alexia à sa maternelle, décalant ainsi le début de sa journée de travail (Events id=213, 214).</w:t>
      </w:r>
    </w:p>
    <w:p>
      <w:pPr>
        <w:pStyle w:val="Compact"/>
        <w:numPr>
          <w:numId w:val="1050"/>
          <w:ilvl w:val="0"/>
        </w:numPr>
      </w:pPr>
      <w:r>
        <w:t xml:space="preserve">Les parties se coordonnaient en temps réel pour le retour de la garderie, comme l’illustre un courriel du défendeur du 24 novembre 2011 demandant : « vas tu la chercher ou j’y vais? » (Email id=54).</w:t>
      </w:r>
    </w:p>
    <w:p>
      <w:pPr>
        <w:pStyle w:val="Compact"/>
        <w:numPr>
          <w:numId w:val="1050"/>
          <w:ilvl w:val="0"/>
        </w:numPr>
      </w:pPr>
      <w:r>
        <w:t xml:space="preserve">Lors des activités simultanées des enfants en 2013 et 2014, les parties devaient se diviser logistiquement la tâche.</w:t>
      </w:r>
    </w:p>
    <w:p>
      <w:pPr>
        <w:pStyle w:val="Compact"/>
        <w:numPr>
          <w:numId w:val="1050"/>
          <w:ilvl w:val="0"/>
        </w:numPr>
      </w:pPr>
      <w:r>
        <w:t xml:space="preserve">À l’été 2013, alors que la demanderesse était au soccer avec Alexia, le défendeur assurait la garde du jeune Nicolas tout en se présentant aux pratiques et matchs (Event id=239 ; Email id=32).</w:t>
      </w:r>
    </w:p>
    <w:p>
      <w:pPr>
        <w:pStyle w:val="Compact"/>
        <w:numPr>
          <w:numId w:val="1050"/>
          <w:ilvl w:val="0"/>
        </w:numPr>
      </w:pPr>
      <w:r>
        <w:t xml:space="preserve">Le 11 janvier 2016, soit trois jours avant l’audition de la requête, la demanderesse a confirmé par écrit au défendeur qu’elle avait demandé à son avocate de retirer le passage de la requête alléguant qu’il n’était pas impliqué, précisant que la question portait sur un partage à 50% (</w:t>
      </w:r>
      <w:r>
        <w:rPr>
          <w:rStyle w:val="VerbatimChar"/>
        </w:rPr>
        <w:t xml:space="preserve">piece_thread-12_email-16.md</w:t>
      </w:r>
      <w:r>
        <w:t xml:space="preserve">).</w:t>
      </w:r>
    </w:p>
    <w:p>
      <w:pPr>
        <w:pStyle w:val="Compact"/>
        <w:numPr>
          <w:numId w:val="1050"/>
          <w:ilvl w:val="0"/>
        </w:numPr>
      </w:pPr>
      <w:r>
        <w:t xml:space="preserve">Le 16 septembre 2016, la demanderesse a écrit au défendeur pour l’informer qu’elle disposait dorénavant d’une aide familiale rémunérée couvrant les cours de natation des enfants et ses « soirs de danse » (Email id=305).</w:t>
      </w:r>
    </w:p>
    <w:p>
      <w:pPr>
        <w:numPr>
          <w:numId w:val="1050"/>
          <w:ilvl w:val="0"/>
        </w:numPr>
      </w:pPr>
      <w:r>
        <w:t xml:space="preserve">Lors de cet échange du 16 septembre 2016, la demanderesse a confirmé par écrit qu’elle ne l’avait jamais traité d’incapable, insistant plutôt sur sa lecture du lien d’attachement des enfants (Email id=6).</w:t>
      </w:r>
    </w:p>
    <w:p>
      <w:pPr>
        <w:numPr>
          <w:numId w:val="1050"/>
          <w:ilvl w:val="0"/>
        </w:numPr>
      </w:pPr>
      <w:r>
        <w:t xml:space="preserve">P-1, rédigé en juin 2013, ne décrivait pas un père déjà rarement disponible ou limité à une aide subsidiaire : il proposait de le relocaliser, de limiter ses contacts à des accès sans coucher et de laisser cette réduction devenir une routine mère-enfants (</w:t>
      </w:r>
      <w:r>
        <w:rPr>
          <w:rStyle w:val="VerbatimChar"/>
        </w:rPr>
        <w:t xml:space="preserve">piece_pdf-1.md</w:t>
      </w:r>
      <w:r>
        <w:t xml:space="preserve">).</w:t>
      </w:r>
    </w:p>
    <w:p>
      <w:pPr>
        <w:numPr>
          <w:numId w:val="1050"/>
          <w:ilvl w:val="0"/>
        </w:numPr>
      </w:pPr>
      <w:r>
        <w:t xml:space="preserve">Le mécanisme choisi traitait ainsi la présence du père comme le facteur à transformer avant que la garde exclusive puisse être présentée comme la continuité de la vie des enfants.</w:t>
      </w:r>
    </w:p>
    <w:p>
      <w:pPr>
        <w:numPr>
          <w:numId w:val="1050"/>
          <w:ilvl w:val="0"/>
        </w:numPr>
      </w:pPr>
      <w:r>
        <w:t xml:space="preserve">P-1 ne quantifie pas la répartition parentale et ne remplace pas les preuves directes de soins et d’activités. Il les corrobore toutefois : la nécessité projetée de réduire la présence paternelle est difficilement conciliable avec la représentation ultérieure d’un père déjà historiquement indisponible, rarement présent et seulement subsidiaire.</w:t>
      </w:r>
    </w:p>
    <w:p>
      <w:r>
        <w:pict>
          <v:rect style="width:0;height:1.5pt" o:hralign="center" o:hrstd="t" o:hr="t"/>
        </w:pict>
      </w:r>
    </w:p>
    <w:p>
      <w:pPr>
        <w:pStyle w:val="Heading1"/>
      </w:pPr>
      <w:bookmarkStart w:id="107" w:name="pont-18-de-la-requête-de-novembre-2015"/>
      <w:r>
        <w:t xml:space="preserve">Pont — §18 de la Requête de novembre 2015</w:t>
      </w:r>
      <w:bookmarkEnd w:id="107"/>
    </w:p>
    <w:p>
      <w:pPr>
        <w:pStyle w:val="Heading2"/>
      </w:pPr>
      <w:bookmarkStart w:id="108" w:name="allégation-visée-3"/>
      <w:r>
        <w:t xml:space="preserve">1. Allégation visée</w:t>
      </w:r>
      <w:bookmarkEnd w:id="108"/>
    </w:p>
    <w:p>
      <w:pPr>
        <w:pStyle w:val="FirstParagraph"/>
      </w:pPr>
      <w:r>
        <w:t xml:space="preserve">La Requête du 19 novembre 2015 allègue, au paragraphe 18 :</w:t>
      </w:r>
    </w:p>
    <w:p>
      <w:pPr>
        <w:pStyle w:val="BlockText"/>
      </w:pPr>
      <w:r>
        <w:t xml:space="preserve">« Les parties ont donc convenu que la demanderesse aurait la garde des enfants, le tout tel qu’il appert des échanges des messages textes datés du 21 avril 2015, produits en liasse au soutien des présentes sous la pièce P-2. »</w:t>
      </w:r>
    </w:p>
    <w:p>
      <w:pPr>
        <w:pStyle w:val="FirstParagraph"/>
      </w:pPr>
      <w:r>
        <w:t xml:space="preserve">L’allégation pose</w:t>
      </w:r>
      <w:r>
        <w:t xml:space="preserve"> </w:t>
      </w:r>
      <w:r>
        <w:rPr>
          <w:b/>
        </w:rPr>
        <w:t xml:space="preserve">un accord bilatéral</w:t>
      </w:r>
      <w:r>
        <w:t xml:space="preserve"> </w:t>
      </w:r>
      <w:r>
        <w:t xml:space="preserve">: le défendeur aurait</w:t>
      </w:r>
      <w:r>
        <w:t xml:space="preserve"> </w:t>
      </w:r>
      <w:r>
        <w:rPr>
          <w:i/>
        </w:rPr>
        <w:t xml:space="preserve">convenu</w:t>
      </w:r>
      <w:r>
        <w:t xml:space="preserve"> </w:t>
      </w:r>
      <w:r>
        <w:t xml:space="preserve">que la mère aurait la garde. Elle s’appuie sur une seule pièce, P-2. Ce qui est contesté n’est</w:t>
      </w:r>
      <w:r>
        <w:t xml:space="preserve"> </w:t>
      </w:r>
      <w:r>
        <w:rPr>
          <w:b/>
        </w:rPr>
        <w:t xml:space="preserve">pas</w:t>
      </w:r>
      <w:r>
        <w:t xml:space="preserve"> </w:t>
      </w:r>
      <w:r>
        <w:t xml:space="preserve">la situation de fait (la mère a exercé la garde après le départ), mais l’existence d’un</w:t>
      </w:r>
      <w:r>
        <w:t xml:space="preserve"> </w:t>
      </w:r>
      <w:r>
        <w:rPr>
          <w:b/>
        </w:rPr>
        <w:t xml:space="preserve">consentement</w:t>
      </w:r>
      <w:r>
        <w:t xml:space="preserve"> </w:t>
      </w:r>
      <w:r>
        <w:t xml:space="preserve">du père à la garde exclusive.</w:t>
      </w:r>
    </w:p>
    <w:p>
      <w:pPr>
        <w:pStyle w:val="Heading2"/>
      </w:pPr>
      <w:bookmarkStart w:id="109" w:name="objectif-de-démonstration-5"/>
      <w:r>
        <w:t xml:space="preserve">2. Objectif de démonstration</w:t>
      </w:r>
      <w:bookmarkEnd w:id="109"/>
    </w:p>
    <w:p>
      <w:pPr>
        <w:pStyle w:val="FirstParagraph"/>
      </w:pPr>
      <w:r>
        <w:t xml:space="preserve">Établir que</w:t>
      </w:r>
      <w:r>
        <w:t xml:space="preserve"> </w:t>
      </w:r>
      <w:r>
        <w:rPr>
          <w:b/>
        </w:rPr>
        <w:t xml:space="preserve">le consentement allégué au §18 n’a jamais existé</w:t>
      </w:r>
      <w:r>
        <w:t xml:space="preserve"> </w:t>
      </w:r>
      <w:r>
        <w:t xml:space="preserve">et que son inexactitude était</w:t>
      </w:r>
      <w:r>
        <w:t xml:space="preserve"> </w:t>
      </w:r>
      <w:r>
        <w:rPr>
          <w:b/>
        </w:rPr>
        <w:t xml:space="preserve">connue de son autrice</w:t>
      </w:r>
      <w:r>
        <w:t xml:space="preserve"> </w:t>
      </w:r>
      <w:r>
        <w:t xml:space="preserve">au moment du serment. La démonstration est optimisée pour être</w:t>
      </w:r>
      <w:r>
        <w:t xml:space="preserve"> </w:t>
      </w:r>
      <w:r>
        <w:rPr>
          <w:b/>
        </w:rPr>
        <w:t xml:space="preserve">auto-suffisante</w:t>
      </w:r>
      <w:r>
        <w:t xml:space="preserve"> </w:t>
      </w:r>
      <w:r>
        <w:t xml:space="preserve">: elle repose d’abord sur la pièce que la demanderesse</w:t>
      </w:r>
      <w:r>
        <w:t xml:space="preserve"> </w:t>
      </w:r>
      <w:r>
        <w:rPr>
          <w:b/>
        </w:rPr>
        <w:t xml:space="preserve">produit elle-même</w:t>
      </w:r>
      <w:r>
        <w:t xml:space="preserve"> </w:t>
      </w:r>
      <w:r>
        <w:t xml:space="preserve">(P-2) et sur la</w:t>
      </w:r>
      <w:r>
        <w:t xml:space="preserve"> </w:t>
      </w:r>
      <w:r>
        <w:rPr>
          <w:b/>
        </w:rPr>
        <w:t xml:space="preserve">date</w:t>
      </w:r>
      <w:r>
        <w:t xml:space="preserve"> </w:t>
      </w:r>
      <w:r>
        <w:t xml:space="preserve">de sa transmission, avant de mobiliser la chronologie externe.</w:t>
      </w:r>
    </w:p>
    <w:p>
      <w:pPr>
        <w:pStyle w:val="BodyText"/>
      </w:pPr>
      <w:r>
        <w:t xml:space="preserve">Trois strates, du plus fort (interne à la preuve adverse) au plus large :</w:t>
      </w:r>
      <w:r>
        <w:t xml:space="preserve"> </w:t>
      </w:r>
      <w:r>
        <w:t xml:space="preserve">1.</w:t>
      </w:r>
      <w:r>
        <w:t xml:space="preserve"> </w:t>
      </w:r>
      <w:r>
        <w:rPr>
          <w:b/>
        </w:rPr>
        <w:t xml:space="preserve">La pièce P-2 dément son propre objet</w:t>
      </w:r>
      <w:r>
        <w:t xml:space="preserve"> </w:t>
      </w:r>
      <w:r>
        <w:t xml:space="preserve">: les messages du 7 avril annoncent une</w:t>
      </w:r>
      <w:r>
        <w:t xml:space="preserve"> </w:t>
      </w:r>
      <w:r>
        <w:rPr>
          <w:i/>
        </w:rPr>
        <w:t xml:space="preserve">lettre</w:t>
      </w:r>
      <w:r>
        <w:t xml:space="preserve"> </w:t>
      </w:r>
      <w:r>
        <w:t xml:space="preserve">officialisant la position du père — laquelle, reçue le 20 avril, réclame la garde</w:t>
      </w:r>
      <w:r>
        <w:t xml:space="preserve"> </w:t>
      </w:r>
      <w:r>
        <w:rPr>
          <w:b/>
        </w:rPr>
        <w:t xml:space="preserve">partagée</w:t>
      </w:r>
      <w:r>
        <w:t xml:space="preserve">. Ils ne contiennent aucun consentement à la garde exclusive.</w:t>
      </w:r>
      <w:r>
        <w:t xml:space="preserve"> </w:t>
      </w:r>
      <w:r>
        <w:t xml:space="preserve">2.</w:t>
      </w:r>
      <w:r>
        <w:t xml:space="preserve"> </w:t>
      </w:r>
      <w:r>
        <w:rPr>
          <w:b/>
        </w:rPr>
        <w:t xml:space="preserve">La date de la qualification</w:t>
      </w:r>
      <w:r>
        <w:t xml:space="preserve"> </w:t>
      </w:r>
      <w:r>
        <w:t xml:space="preserve">: la demanderesse transfère ces messages à son avocate le</w:t>
      </w:r>
      <w:r>
        <w:t xml:space="preserve"> </w:t>
      </w:r>
      <w:r>
        <w:rPr>
          <w:b/>
        </w:rPr>
        <w:t xml:space="preserve">21 avril, soit le lendemain</w:t>
      </w:r>
      <w:r>
        <w:t xml:space="preserve"> </w:t>
      </w:r>
      <w:r>
        <w:t xml:space="preserve">de la réception de l’offre formelle de garde partagée du 20 avril, sous un objet qui en</w:t>
      </w:r>
      <w:r>
        <w:t xml:space="preserve"> </w:t>
      </w:r>
      <w:r>
        <w:rPr>
          <w:b/>
        </w:rPr>
        <w:t xml:space="preserve">inverse</w:t>
      </w:r>
      <w:r>
        <w:t xml:space="preserve"> </w:t>
      </w:r>
      <w:r>
        <w:t xml:space="preserve">le sens.</w:t>
      </w:r>
      <w:r>
        <w:t xml:space="preserve"> </w:t>
      </w:r>
      <w:r>
        <w:t xml:space="preserve">3.</w:t>
      </w:r>
      <w:r>
        <w:t xml:space="preserve"> </w:t>
      </w:r>
      <w:r>
        <w:rPr>
          <w:b/>
        </w:rPr>
        <w:t xml:space="preserve">La variabilité de l’accord allégué</w:t>
      </w:r>
      <w:r>
        <w:t xml:space="preserve"> </w:t>
      </w:r>
      <w:r>
        <w:t xml:space="preserve">: sa naissance est située à</w:t>
      </w:r>
      <w:r>
        <w:t xml:space="preserve"> </w:t>
      </w:r>
      <w:r>
        <w:rPr>
          <w:b/>
        </w:rPr>
        <w:t xml:space="preserve">trois dates incompatibles</w:t>
      </w:r>
      <w:r>
        <w:t xml:space="preserve"> </w:t>
      </w:r>
      <w:r>
        <w:t xml:space="preserve">(13 février / 7 avril / 21 avril), toutes du même camp, dont l’une (13 février) précède la séparation, ce que le §14 de la même Requête contredit — et l’inexistence est confirmée</w:t>
      </w:r>
      <w:r>
        <w:t xml:space="preserve"> </w:t>
      </w:r>
      <w:r>
        <w:rPr>
          <w:i/>
        </w:rPr>
        <w:t xml:space="preserve">au présent</w:t>
      </w:r>
      <w:r>
        <w:t xml:space="preserve"> </w:t>
      </w:r>
      <w:r>
        <w:t xml:space="preserve">par la demanderesse en septembre 2016.</w:t>
      </w:r>
    </w:p>
    <w:p>
      <w:pPr>
        <w:pStyle w:val="BodyText"/>
      </w:pPr>
      <w:r>
        <w:t xml:space="preserve">L’objectif n’est</w:t>
      </w:r>
      <w:r>
        <w:t xml:space="preserve"> </w:t>
      </w:r>
      <w:r>
        <w:rPr>
          <w:b/>
        </w:rPr>
        <w:t xml:space="preserve">pas</w:t>
      </w:r>
      <w:r>
        <w:t xml:space="preserve"> </w:t>
      </w:r>
      <w:r>
        <w:t xml:space="preserve">de nier que la mère ait exercé la garde de fait, ni qu’il y ait eu des négociations. Il est plus étroit : contester l’existence de l’</w:t>
      </w:r>
      <w:r>
        <w:rPr>
          <w:b/>
        </w:rPr>
        <w:t xml:space="preserve">accord</w:t>
      </w:r>
      <w:r>
        <w:t xml:space="preserve"> </w:t>
      </w:r>
      <w:r>
        <w:t xml:space="preserve">allégué.</w:t>
      </w:r>
    </w:p>
    <w:p>
      <w:pPr>
        <w:pStyle w:val="Heading2"/>
      </w:pPr>
      <w:bookmarkStart w:id="110" w:name="force-probatoire-5"/>
      <w:r>
        <w:t xml:space="preserve">3. Force probatoire</w:t>
      </w:r>
      <w:bookmarkEnd w:id="110"/>
    </w:p>
    <w:p>
      <w:pPr>
        <w:pStyle w:val="FirstParagraph"/>
      </w:pPr>
      <w:r>
        <w:rPr>
          <w:b/>
        </w:rPr>
        <w:t xml:space="preserve">Très forte.</w:t>
      </w:r>
    </w:p>
    <w:p>
      <w:pPr>
        <w:pStyle w:val="Compact"/>
        <w:numPr>
          <w:numId w:val="1051"/>
          <w:ilvl w:val="0"/>
        </w:numPr>
      </w:pPr>
      <w:r>
        <w:t xml:space="preserve">La contradiction est établie par la</w:t>
      </w:r>
      <w:r>
        <w:t xml:space="preserve"> </w:t>
      </w:r>
      <w:r>
        <w:rPr>
          <w:b/>
        </w:rPr>
        <w:t xml:space="preserve">pièce même</w:t>
      </w:r>
      <w:r>
        <w:t xml:space="preserve"> </w:t>
      </w:r>
      <w:r>
        <w:t xml:space="preserve">que la demanderesse produit au soutien de son allégation (P-2) — elle n’exige aucune preuve externe pour tomber.</w:t>
      </w:r>
    </w:p>
    <w:p>
      <w:pPr>
        <w:pStyle w:val="Compact"/>
        <w:numPr>
          <w:numId w:val="1051"/>
          <w:ilvl w:val="0"/>
        </w:numPr>
      </w:pPr>
      <w:r>
        <w:t xml:space="preserve">La</w:t>
      </w:r>
      <w:r>
        <w:t xml:space="preserve"> </w:t>
      </w:r>
      <w:r>
        <w:rPr>
          <w:b/>
        </w:rPr>
        <w:t xml:space="preserve">date</w:t>
      </w:r>
      <w:r>
        <w:t xml:space="preserve"> </w:t>
      </w:r>
      <w:r>
        <w:t xml:space="preserve">du transfert (le lendemain de l’offre contraire) est objective et documentée.</w:t>
      </w:r>
    </w:p>
    <w:p>
      <w:pPr>
        <w:pStyle w:val="Compact"/>
        <w:numPr>
          <w:numId w:val="1051"/>
          <w:ilvl w:val="0"/>
        </w:numPr>
      </w:pPr>
      <w:r>
        <w:t xml:space="preserve">La position du père (garde partagée) est</w:t>
      </w:r>
      <w:r>
        <w:t xml:space="preserve"> </w:t>
      </w:r>
      <w:r>
        <w:rPr>
          <w:b/>
        </w:rPr>
        <w:t xml:space="preserve">constante et sourcée</w:t>
      </w:r>
      <w:r>
        <w:t xml:space="preserve"> </w:t>
      </w:r>
      <w:r>
        <w:t xml:space="preserve">de juin 2013 à avril 2015, et</w:t>
      </w:r>
      <w:r>
        <w:t xml:space="preserve"> </w:t>
      </w:r>
      <w:r>
        <w:rPr>
          <w:b/>
        </w:rPr>
        <w:t xml:space="preserve">confirmée rétrospectivement par la demanderesse elle-même</w:t>
      </w:r>
      <w:r>
        <w:t xml:space="preserve">.</w:t>
      </w:r>
    </w:p>
    <w:p>
      <w:pPr>
        <w:pStyle w:val="Compact"/>
        <w:numPr>
          <w:numId w:val="1051"/>
          <w:ilvl w:val="0"/>
        </w:numPr>
      </w:pPr>
      <w:r>
        <w:t xml:space="preserve">La version la plus ancienne de l’« accord » (13 février) est posée</w:t>
      </w:r>
      <w:r>
        <w:t xml:space="preserve"> </w:t>
      </w:r>
      <w:r>
        <w:rPr>
          <w:b/>
        </w:rPr>
        <w:t xml:space="preserve">par l’avocate</w:t>
      </w:r>
      <w:r>
        <w:t xml:space="preserve">, par écrit, à l’avocat adverse.</w:t>
      </w:r>
    </w:p>
    <w:p>
      <w:pPr>
        <w:pStyle w:val="FirstParagraph"/>
      </w:pPr>
      <w:r>
        <w:t xml:space="preserve">Prudence principale :</w:t>
      </w:r>
      <w:r>
        <w:t xml:space="preserve"> </w:t>
      </w:r>
      <w:r>
        <w:rPr>
          <w:b/>
        </w:rPr>
        <w:t xml:space="preserve">concéder</w:t>
      </w:r>
      <w:r>
        <w:t xml:space="preserve"> </w:t>
      </w:r>
      <w:r>
        <w:t xml:space="preserve">d’emblée la garde de fait et l’existence de négociations, pour resserrer le débat sur le seul point contesté — le consentement.</w:t>
      </w:r>
    </w:p>
    <w:p>
      <w:pPr>
        <w:pStyle w:val="Heading2"/>
      </w:pPr>
      <w:bookmarkStart w:id="111" w:name="faits-essentiels-plaidables-5"/>
      <w:r>
        <w:t xml:space="preserve">4. Faits essentiels plaidables</w:t>
      </w:r>
      <w:bookmarkEnd w:id="111"/>
    </w:p>
    <w:p>
      <w:pPr>
        <w:pStyle w:val="FirstParagraph"/>
      </w:pPr>
      <w:r>
        <w:rPr>
          <w:i/>
        </w:rPr>
        <w:t xml:space="preserve">(Deux faits d’ancrage et de concession, puis ordre chronologique strict — à l’image du fichier de faits bruts.)</w:t>
      </w:r>
    </w:p>
    <w:p>
      <w:pPr>
        <w:pStyle w:val="Compact"/>
        <w:numPr>
          <w:numId w:val="1052"/>
          <w:ilvl w:val="0"/>
        </w:numPr>
      </w:pPr>
      <w:r>
        <w:t xml:space="preserve">Le 19 novembre 2015, la demanderesse a allégué sous serment que les parties avaient convenu que la demanderesse aurait la garde des enfants, en renvoyant aux « échanges des messages textes datés du 21 avril 2015 » produits sous la pièce P-2.</w:t>
      </w:r>
    </w:p>
    <w:p>
      <w:pPr>
        <w:pStyle w:val="Compact"/>
        <w:numPr>
          <w:numId w:val="1052"/>
          <w:ilvl w:val="0"/>
        </w:numPr>
      </w:pPr>
      <w:r>
        <w:t xml:space="preserve">Il n’est pas contesté que, à la suite du départ du défendeur, la demanderesse a exercé de fait la garde des enfants, ni que des négociations ont eu lieu entre les parties.</w:t>
      </w:r>
    </w:p>
    <w:p>
      <w:pPr>
        <w:pStyle w:val="Compact"/>
        <w:numPr>
          <w:numId w:val="1052"/>
          <w:ilvl w:val="0"/>
        </w:numPr>
      </w:pPr>
      <w:r>
        <w:t xml:space="preserve">Le 11 juin 2013, Me Marie-Josée Ayoub, sœur de la demanderesse et avocate, écrivait à la demanderesse, au sujet du défendeur : « Il veut avoir une coupure avec toi et avoir les enfants une semaine sur deux ».</w:t>
      </w:r>
    </w:p>
    <w:p>
      <w:pPr>
        <w:pStyle w:val="Compact"/>
        <w:numPr>
          <w:numId w:val="1052"/>
          <w:ilvl w:val="0"/>
        </w:numPr>
      </w:pPr>
      <w:r>
        <w:t xml:space="preserve">Selon la lettre de Me Marie-Josée Ayoub du 27 avril 2015, un entretien téléphonique a eu lieu le ou vers le 13 février 2015, au cours duquel serait intervenu « le consentement entre les parties à l’effet que les enfants soient en garde exclusive chez la mère et les droits d’accès du père d’une fin de semaine sur deux ».</w:t>
      </w:r>
    </w:p>
    <w:p>
      <w:pPr>
        <w:pStyle w:val="Compact"/>
        <w:numPr>
          <w:numId w:val="1052"/>
          <w:ilvl w:val="0"/>
        </w:numPr>
      </w:pPr>
      <w:r>
        <w:t xml:space="preserve">Le défendeur a quitté la résidence familiale le ou vers le 23 février 2015, soit postérieurement au 13 février 2015.</w:t>
      </w:r>
    </w:p>
    <w:p>
      <w:pPr>
        <w:pStyle w:val="Compact"/>
        <w:numPr>
          <w:numId w:val="1052"/>
          <w:ilvl w:val="0"/>
        </w:numPr>
      </w:pPr>
      <w:r>
        <w:t xml:space="preserve">Le 4 mars 2015, le procureur du défendeur préparait une ébauche de lettre proposant la garde partagée selon un horaire 2-2-3.</w:t>
      </w:r>
    </w:p>
    <w:p>
      <w:pPr>
        <w:pStyle w:val="Compact"/>
        <w:numPr>
          <w:numId w:val="1052"/>
          <w:ilvl w:val="0"/>
        </w:numPr>
      </w:pPr>
      <w:r>
        <w:t xml:space="preserve">Le 7 avril 2015, le défendeur écrivait à la demanderesse, par messages textes : « je vais t’envoyer une lettre pour officialiser […] ma position par rapport à la garde » et « Pour la garde je ne vais pas poursuivre quelque procédure que ce soit pour changer la situation ».</w:t>
      </w:r>
    </w:p>
    <w:p>
      <w:pPr>
        <w:pStyle w:val="Compact"/>
        <w:numPr>
          <w:numId w:val="1052"/>
          <w:ilvl w:val="0"/>
        </w:numPr>
      </w:pPr>
      <w:r>
        <w:t xml:space="preserve">Le 20 avril 2015, le défendeur transmettait à la demanderesse, par l’entremise de son procureur, une offre formelle de garde partagée 2-2-3, soit la lettre annoncée dans les messages du 7 avril.</w:t>
      </w:r>
    </w:p>
    <w:p>
      <w:pPr>
        <w:pStyle w:val="Compact"/>
        <w:numPr>
          <w:numId w:val="1052"/>
          <w:ilvl w:val="0"/>
        </w:numPr>
      </w:pPr>
      <w:r>
        <w:t xml:space="preserve">Le 21 avril 2015, soit le lendemain de la réception de cette offre, la demanderesse transférait à sa procureure les messages du 7 avril sous l’objet « Voici quand il me confirme qu’il me donne la garde ».</w:t>
      </w:r>
    </w:p>
    <w:p>
      <w:pPr>
        <w:pStyle w:val="Compact"/>
        <w:numPr>
          <w:numId w:val="1052"/>
          <w:ilvl w:val="0"/>
        </w:numPr>
      </w:pPr>
      <w:r>
        <w:t xml:space="preserve">Les messages ainsi produits sous la pièce P-2 sont datés du 7 avril 2015, et non du 21 avril 2015.</w:t>
      </w:r>
    </w:p>
    <w:p>
      <w:pPr>
        <w:pStyle w:val="Compact"/>
        <w:numPr>
          <w:numId w:val="1052"/>
          <w:ilvl w:val="0"/>
        </w:numPr>
      </w:pPr>
      <w:r>
        <w:t xml:space="preserve">Le 27 avril 2015, Me Marie-Josée Ayoub accusait réception de l’offre du 20 avril (« votre missive datée du 20 avril dernier ») et y opposait « une entente déjà intervenue entre les parties ».</w:t>
      </w:r>
    </w:p>
    <w:p>
      <w:pPr>
        <w:pStyle w:val="Compact"/>
        <w:numPr>
          <w:numId w:val="1052"/>
          <w:ilvl w:val="0"/>
        </w:numPr>
      </w:pPr>
      <w:r>
        <w:t xml:space="preserve">Au paragraphe 14 de la Requête du 19 novembre 2015, la demanderesse allègue que « dès la rupture, le défendeur voulait instaurer une garde partagée, que la demanderesse a refusé ».</w:t>
      </w:r>
    </w:p>
    <w:p>
      <w:pPr>
        <w:pStyle w:val="Compact"/>
        <w:numPr>
          <w:numId w:val="1052"/>
          <w:ilvl w:val="0"/>
        </w:numPr>
      </w:pPr>
      <w:r>
        <w:t xml:space="preserve">Le 16 septembre 2016, la demanderesse écrivait au défendeur : « La situation est que les deux n’avons pas ce que nous voulions. On le sait ça » et « Je ne te demande pas de revenir sur le sujet sur lequel NOUS on ne s’entendait pas ».</w:t>
      </w:r>
    </w:p>
    <w:p>
      <w:pPr>
        <w:pStyle w:val="Heading2"/>
      </w:pPr>
      <w:bookmarkStart w:id="112" w:name="inférences-réservées-aux-moyens-5"/>
      <w:r>
        <w:t xml:space="preserve">5. Inférences réservées aux moyens</w:t>
      </w:r>
      <w:bookmarkEnd w:id="112"/>
    </w:p>
    <w:p>
      <w:pPr>
        <w:pStyle w:val="Compact"/>
        <w:numPr>
          <w:numId w:val="1053"/>
          <w:ilvl w:val="0"/>
        </w:numPr>
      </w:pPr>
      <w:r>
        <w:t xml:space="preserve">Le contenu de la pièce P-2 (messages du 7 avril annonçant une lettre qui réclamera la garde partagée)</w:t>
      </w:r>
      <w:r>
        <w:t xml:space="preserve"> </w:t>
      </w:r>
      <w:r>
        <w:rPr>
          <w:b/>
        </w:rPr>
        <w:t xml:space="preserve">ne soutient pas</w:t>
      </w:r>
      <w:r>
        <w:t xml:space="preserve"> </w:t>
      </w:r>
      <w:r>
        <w:t xml:space="preserve">l’objet que lui prête le courriel de transfert (« il me confirme qu’il me donne la garde ») : la qualification excède la pièce.</w:t>
      </w:r>
    </w:p>
    <w:p>
      <w:pPr>
        <w:pStyle w:val="Compact"/>
        <w:numPr>
          <w:numId w:val="1053"/>
          <w:ilvl w:val="0"/>
        </w:numPr>
      </w:pPr>
      <w:r>
        <w:t xml:space="preserve">Le transfert des messages</w:t>
      </w:r>
      <w:r>
        <w:t xml:space="preserve"> </w:t>
      </w:r>
      <w:r>
        <w:rPr>
          <w:b/>
        </w:rPr>
        <w:t xml:space="preserve">le lendemain</w:t>
      </w:r>
      <w:r>
        <w:t xml:space="preserve"> </w:t>
      </w:r>
      <w:r>
        <w:t xml:space="preserve">de la réception d’une position officielle contraire, sous un objet qui en inverse le sens, permet de soutenir que la qualification était</w:t>
      </w:r>
      <w:r>
        <w:t xml:space="preserve"> </w:t>
      </w:r>
      <w:r>
        <w:rPr>
          <w:b/>
        </w:rPr>
        <w:t xml:space="preserve">construite</w:t>
      </w:r>
      <w:r>
        <w:t xml:space="preserve">, et non une perception sincère d’un accord.</w:t>
      </w:r>
    </w:p>
    <w:p>
      <w:pPr>
        <w:pStyle w:val="Compact"/>
        <w:numPr>
          <w:numId w:val="1053"/>
          <w:ilvl w:val="0"/>
        </w:numPr>
      </w:pPr>
      <w:r>
        <w:t xml:space="preserve">Trois versions incompatibles de la naissance de l’accord (13 février / 7 avril / 21 avril), toutes du même camp, permettent de soutenir qu’aucune réalité datable ne correspond à l’accord allégué.</w:t>
      </w:r>
    </w:p>
    <w:p>
      <w:pPr>
        <w:pStyle w:val="Compact"/>
        <w:numPr>
          <w:numId w:val="1053"/>
          <w:ilvl w:val="0"/>
        </w:numPr>
      </w:pPr>
      <w:r>
        <w:t xml:space="preserve">La coexistence, dans la même Requête assermentée, d’un accord au §18 et d’un désaccord « dès la rupture » au §14 — l’« accord » du 13 février étant en outre antérieur à la séparation du 23 février — permet de soutenir l’inexactitude de l’un ou l’autre énoncé.</w:t>
      </w:r>
    </w:p>
    <w:p>
      <w:pPr>
        <w:pStyle w:val="Compact"/>
        <w:numPr>
          <w:numId w:val="1053"/>
          <w:ilvl w:val="0"/>
        </w:numPr>
      </w:pPr>
      <w:r>
        <w:t xml:space="preserve">La version la plus ancienne étant posée par l’avocate elle-même, avant la séparation, l’assertion de l’accord peut soutenir une responsabilité personnelle de celle-ci (solidarité).</w:t>
      </w:r>
    </w:p>
    <w:p>
      <w:pPr>
        <w:pStyle w:val="Compact"/>
        <w:numPr>
          <w:numId w:val="1053"/>
          <w:ilvl w:val="0"/>
        </w:numPr>
      </w:pPr>
      <w:r>
        <w:t xml:space="preserve">L’accord allégué produit un</w:t>
      </w:r>
      <w:r>
        <w:t xml:space="preserve"> </w:t>
      </w:r>
      <w:r>
        <w:rPr>
          <w:b/>
        </w:rPr>
        <w:t xml:space="preserve">double effet procédural</w:t>
      </w:r>
      <w:r>
        <w:t xml:space="preserve"> </w:t>
      </w:r>
      <w:r>
        <w:t xml:space="preserve">: requalifier la garde de fait en exécution d’un accord, et neutraliser l’offre de garde partagée en la présentant comme une tentative de modifier une entente préalable — la soustrayant à l’évaluation au regard de l’intérêt des enfants, critère d’ordre public qu’aucune entente ne lie.</w:t>
      </w:r>
    </w:p>
    <w:p>
      <w:pPr>
        <w:pStyle w:val="Compact"/>
        <w:numPr>
          <w:numId w:val="1053"/>
          <w:ilvl w:val="0"/>
        </w:numPr>
      </w:pPr>
      <w:r>
        <w:t xml:space="preserve">Le §18 peut se lire comme l’aboutissement du plan documenté au 11 juin 2013 (installer un précédent de garde exclusive, puis le faire valider comme accord).</w:t>
      </w:r>
    </w:p>
    <w:p>
      <w:pPr>
        <w:pStyle w:val="Compact"/>
        <w:numPr>
          <w:numId w:val="1053"/>
          <w:ilvl w:val="0"/>
        </w:numPr>
      </w:pPr>
      <w:r>
        <w:t xml:space="preserve">La qualification de faute, d’abus de procédure ou de connaissance de l’inexactitude doit être</w:t>
      </w:r>
      <w:r>
        <w:t xml:space="preserve"> </w:t>
      </w:r>
      <w:r>
        <w:rPr>
          <w:b/>
        </w:rPr>
        <w:t xml:space="preserve">réservée aux moyens de droit</w:t>
      </w:r>
      <w:r>
        <w:t xml:space="preserve">.</w:t>
      </w:r>
    </w:p>
    <w:p>
      <w:pPr>
        <w:pStyle w:val="Heading2"/>
      </w:pPr>
      <w:bookmarkStart w:id="113" w:name="pièces-nécessaires-4"/>
      <w:r>
        <w:t xml:space="preserve">6. Pièces nécessaires</w:t>
      </w:r>
      <w:bookmarkEnd w:id="1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Pièce ou source</w:t>
            </w:r>
          </w:p>
        </w:tc>
        <w:tc>
          <w:tcPr>
            <w:tcBorders>
              <w:bottom w:val="single"/>
            </w:tcBorders>
            <w:vAlign w:val="bottom"/>
          </w:tcPr>
          <w:p>
            <w:pPr>
              <w:pStyle w:val="Compact"/>
              <w:jc w:val="left"/>
            </w:pPr>
            <w:r>
              <w:t xml:space="preserve">Statut</w:t>
            </w:r>
          </w:p>
        </w:tc>
      </w:tr>
      <w:tr>
        <w:tc>
          <w:p>
            <w:pPr>
              <w:pStyle w:val="Compact"/>
              <w:jc w:val="left"/>
            </w:pPr>
            <w:r>
              <w:t xml:space="preserve">1, 12</w:t>
            </w:r>
          </w:p>
        </w:tc>
        <w:tc>
          <w:p>
            <w:pPr>
              <w:pStyle w:val="Compact"/>
              <w:jc w:val="left"/>
            </w:pPr>
            <w:r>
              <w:t xml:space="preserve">Requête du 19 novembre 2015, §18 et §14 ;</w:t>
            </w:r>
            <w:r>
              <w:t xml:space="preserve"> </w:t>
            </w:r>
            <w:r>
              <w:rPr>
                <w:rStyle w:val="VerbatimChar"/>
              </w:rPr>
              <w:t xml:space="preserve">piece_document-1.md</w:t>
            </w:r>
          </w:p>
        </w:tc>
        <w:tc>
          <w:p>
            <w:pPr>
              <w:pStyle w:val="Compact"/>
              <w:jc w:val="left"/>
            </w:pPr>
            <w:r>
              <w:t xml:space="preserve">à coter</w:t>
            </w:r>
          </w:p>
        </w:tc>
      </w:tr>
      <w:tr>
        <w:tc>
          <w:p>
            <w:pPr>
              <w:pStyle w:val="Compact"/>
              <w:jc w:val="left"/>
            </w:pPr>
            <w:r>
              <w:t xml:space="preserve">2</w:t>
            </w:r>
          </w:p>
        </w:tc>
        <w:tc>
          <w:p>
            <w:pPr>
              <w:pStyle w:val="Compact"/>
              <w:jc w:val="left"/>
            </w:pPr>
            <w:r>
              <w:t xml:space="preserve">Situation de fait admise ; corroborée</w:t>
            </w:r>
            <w:r>
              <w:t xml:space="preserve"> </w:t>
            </w:r>
            <w:r>
              <w:rPr>
                <w:rStyle w:val="VerbatimChar"/>
              </w:rPr>
              <w:t xml:space="preserve">piece_pdf-3.md</w:t>
            </w:r>
          </w:p>
        </w:tc>
        <w:tc>
          <w:p>
            <w:pPr>
              <w:pStyle w:val="Compact"/>
              <w:jc w:val="left"/>
            </w:pPr>
            <w:r>
              <w:t xml:space="preserve">admis</w:t>
            </w:r>
          </w:p>
        </w:tc>
      </w:tr>
      <w:tr>
        <w:tc>
          <w:p>
            <w:pPr>
              <w:pStyle w:val="Compact"/>
              <w:jc w:val="left"/>
            </w:pPr>
            <w:r>
              <w:t xml:space="preserve">3</w:t>
            </w:r>
          </w:p>
        </w:tc>
        <w:tc>
          <w:p>
            <w:pPr>
              <w:pStyle w:val="Compact"/>
              <w:jc w:val="left"/>
            </w:pPr>
            <w:r>
              <w:t xml:space="preserve">Courriel du 11 juin 2013 ;</w:t>
            </w:r>
            <w:r>
              <w:t xml:space="preserve"> </w:t>
            </w:r>
            <w:r>
              <w:rPr>
                <w:rStyle w:val="VerbatimChar"/>
              </w:rPr>
              <w:t xml:space="preserve">piece_pdf-1.md</w:t>
            </w:r>
            <w:r>
              <w:t xml:space="preserve"> </w:t>
            </w:r>
            <w:r>
              <w:t xml:space="preserve">(P-1)</w:t>
            </w:r>
          </w:p>
        </w:tc>
        <w:tc>
          <w:p>
            <w:pPr>
              <w:pStyle w:val="Compact"/>
              <w:jc w:val="left"/>
            </w:pPr>
            <w:r>
              <w:t xml:space="preserve">à coter</w:t>
            </w:r>
          </w:p>
        </w:tc>
      </w:tr>
      <w:tr>
        <w:tc>
          <w:p>
            <w:pPr>
              <w:pStyle w:val="Compact"/>
              <w:jc w:val="left"/>
            </w:pPr>
            <w:r>
              <w:t xml:space="preserve">4, 11</w:t>
            </w:r>
          </w:p>
        </w:tc>
        <w:tc>
          <w:p>
            <w:pPr>
              <w:pStyle w:val="Compact"/>
              <w:jc w:val="left"/>
            </w:pPr>
            <w:r>
              <w:t xml:space="preserve">Lettre de la procureure du 27 avril 2015 (entente du 13 février ; « entente déjà intervenue ») ;</w:t>
            </w:r>
            <w:r>
              <w:t xml:space="preserve"> </w:t>
            </w:r>
            <w:r>
              <w:rPr>
                <w:rStyle w:val="VerbatimChar"/>
              </w:rPr>
              <w:t xml:space="preserve">piece_pdf-3.md</w:t>
            </w:r>
            <w:r>
              <w:t xml:space="preserve"> </w:t>
            </w:r>
            <w:r>
              <w:t xml:space="preserve">(C4)</w:t>
            </w:r>
          </w:p>
        </w:tc>
        <w:tc>
          <w:p>
            <w:pPr>
              <w:pStyle w:val="Compact"/>
              <w:jc w:val="left"/>
            </w:pPr>
            <w:r>
              <w:t xml:space="preserve">à coter</w:t>
            </w:r>
          </w:p>
        </w:tc>
      </w:tr>
      <w:tr>
        <w:tc>
          <w:p>
            <w:pPr>
              <w:pStyle w:val="Compact"/>
              <w:jc w:val="left"/>
            </w:pPr>
            <w:r>
              <w:t xml:space="preserve">5</w:t>
            </w:r>
          </w:p>
        </w:tc>
        <w:tc>
          <w:p>
            <w:pPr>
              <w:pStyle w:val="Compact"/>
              <w:jc w:val="left"/>
            </w:pPr>
            <w:r>
              <w:t xml:space="preserve">Départ du 23 février 2015 ;</w:t>
            </w:r>
            <w:r>
              <w:t xml:space="preserve"> </w:t>
            </w:r>
            <w:r>
              <w:rPr>
                <w:rStyle w:val="VerbatimChar"/>
              </w:rPr>
              <w:t xml:space="preserve">piece_pdf-3.md</w:t>
            </w:r>
            <w:r>
              <w:t xml:space="preserve"> </w:t>
            </w:r>
            <w:r>
              <w:t xml:space="preserve">(C4) ;</w:t>
            </w:r>
            <w:r>
              <w:t xml:space="preserve"> </w:t>
            </w:r>
            <w:r>
              <w:rPr>
                <w:rStyle w:val="VerbatimChar"/>
              </w:rPr>
              <w:t xml:space="preserve">piece_pdf-5.md</w:t>
            </w:r>
          </w:p>
        </w:tc>
        <w:tc>
          <w:p>
            <w:pPr>
              <w:pStyle w:val="Compact"/>
              <w:jc w:val="left"/>
            </w:pPr>
            <w:r>
              <w:t xml:space="preserve">à coter</w:t>
            </w:r>
          </w:p>
        </w:tc>
      </w:tr>
      <w:tr>
        <w:tc>
          <w:p>
            <w:pPr>
              <w:pStyle w:val="Compact"/>
              <w:jc w:val="left"/>
            </w:pPr>
            <w:r>
              <w:t xml:space="preserve">6, 8</w:t>
            </w:r>
          </w:p>
        </w:tc>
        <w:tc>
          <w:p>
            <w:pPr>
              <w:pStyle w:val="Compact"/>
              <w:jc w:val="left"/>
            </w:pPr>
            <w:r>
              <w:t xml:space="preserve">Offre de garde partagée 2-2-3 (ébauche du 4 mars ; transmise le 20 avril) ;</w:t>
            </w:r>
            <w:r>
              <w:t xml:space="preserve"> </w:t>
            </w:r>
            <w:r>
              <w:rPr>
                <w:rStyle w:val="VerbatimChar"/>
              </w:rPr>
              <w:t xml:space="preserve">piece_pdf-2.md</w:t>
            </w:r>
          </w:p>
        </w:tc>
        <w:tc>
          <w:p>
            <w:pPr>
              <w:pStyle w:val="Compact"/>
              <w:jc w:val="left"/>
            </w:pPr>
            <w:r>
              <w:t xml:space="preserve">à coter</w:t>
            </w:r>
          </w:p>
        </w:tc>
      </w:tr>
      <w:tr>
        <w:tc>
          <w:p>
            <w:pPr>
              <w:pStyle w:val="Compact"/>
              <w:jc w:val="left"/>
            </w:pPr>
            <w:r>
              <w:t xml:space="preserve">7, 9, 10</w:t>
            </w:r>
          </w:p>
        </w:tc>
        <w:tc>
          <w:p>
            <w:pPr>
              <w:pStyle w:val="Compact"/>
              <w:jc w:val="left"/>
            </w:pPr>
            <w:r>
              <w:t xml:space="preserve">Messages du 7 avril / transfert du 21 avril ;</w:t>
            </w:r>
            <w:r>
              <w:t xml:space="preserve"> </w:t>
            </w:r>
            <w:r>
              <w:rPr>
                <w:rStyle w:val="VerbatimChar"/>
              </w:rPr>
              <w:t xml:space="preserve">piece_p2_messages_7avril2015.md</w:t>
            </w:r>
            <w:r>
              <w:t xml:space="preserve"> </w:t>
            </w:r>
            <w:r>
              <w:t xml:space="preserve">(P-2)</w:t>
            </w:r>
          </w:p>
        </w:tc>
        <w:tc>
          <w:p>
            <w:pPr>
              <w:pStyle w:val="Compact"/>
              <w:jc w:val="left"/>
            </w:pPr>
            <w:r>
              <w:t xml:space="preserve">à coter</w:t>
            </w:r>
          </w:p>
        </w:tc>
      </w:tr>
      <w:tr>
        <w:tc>
          <w:p>
            <w:pPr>
              <w:pStyle w:val="Compact"/>
              <w:jc w:val="left"/>
            </w:pPr>
            <w:r>
              <w:t xml:space="preserve">13</w:t>
            </w:r>
          </w:p>
        </w:tc>
        <w:tc>
          <w:p>
            <w:pPr>
              <w:pStyle w:val="Compact"/>
              <w:jc w:val="left"/>
            </w:pPr>
            <w:r>
              <w:t xml:space="preserve">Courriel du 16 septembre 2016 ; Email id=267 ;</w:t>
            </w:r>
            <w:r>
              <w:t xml:space="preserve"> </w:t>
            </w:r>
            <w:r>
              <w:rPr>
                <w:rStyle w:val="VerbatimChar"/>
              </w:rPr>
              <w:t xml:space="preserve">piece_thread-6_reconstruction.md</w:t>
            </w:r>
          </w:p>
        </w:tc>
        <w:tc>
          <w:p>
            <w:pPr>
              <w:pStyle w:val="Compact"/>
              <w:jc w:val="left"/>
            </w:pPr>
            <w:r>
              <w:t xml:space="preserve">à coter (créer</w:t>
            </w:r>
            <w:r>
              <w:t xml:space="preserve"> </w:t>
            </w:r>
            <w:r>
              <w:rPr>
                <w:rStyle w:val="VerbatimChar"/>
              </w:rPr>
              <w:t xml:space="preserve">piece_thread-6_email-267</w:t>
            </w:r>
            <w:r>
              <w:t xml:space="preserve"> </w:t>
            </w:r>
            <w:r>
              <w:t xml:space="preserve">au besoin)</w:t>
            </w:r>
          </w:p>
        </w:tc>
      </w:tr>
    </w:tbl>
    <w:p>
      <w:pPr>
        <w:pStyle w:val="Heading2"/>
      </w:pPr>
      <w:bookmarkStart w:id="114" w:name="prudences-de-rédaction-5"/>
      <w:r>
        <w:t xml:space="preserve">7. Prudences de rédaction</w:t>
      </w:r>
      <w:bookmarkEnd w:id="114"/>
    </w:p>
    <w:p>
      <w:pPr>
        <w:pStyle w:val="Compact"/>
        <w:numPr>
          <w:numId w:val="1054"/>
          <w:ilvl w:val="0"/>
        </w:numPr>
      </w:pPr>
      <w:r>
        <w:rPr>
          <w:b/>
        </w:rPr>
        <w:t xml:space="preserve">Concéder</w:t>
      </w:r>
      <w:r>
        <w:t xml:space="preserve"> </w:t>
      </w:r>
      <w:r>
        <w:t xml:space="preserve">expressément la garde de fait exercée par la mère et l’existence de négociations ; ne contester que le</w:t>
      </w:r>
      <w:r>
        <w:t xml:space="preserve"> </w:t>
      </w:r>
      <w:r>
        <w:rPr>
          <w:b/>
        </w:rPr>
        <w:t xml:space="preserve">consentement</w:t>
      </w:r>
      <w:r>
        <w:t xml:space="preserve">.</w:t>
      </w:r>
    </w:p>
    <w:p>
      <w:pPr>
        <w:pStyle w:val="Compact"/>
        <w:numPr>
          <w:numId w:val="1054"/>
          <w:ilvl w:val="0"/>
        </w:numPr>
      </w:pPr>
      <w:r>
        <w:t xml:space="preserve">Ne</w:t>
      </w:r>
      <w:r>
        <w:t xml:space="preserve"> </w:t>
      </w:r>
      <w:r>
        <w:rPr>
          <w:b/>
        </w:rPr>
        <w:t xml:space="preserve">pas</w:t>
      </w:r>
      <w:r>
        <w:t xml:space="preserve"> </w:t>
      </w:r>
      <w:r>
        <w:t xml:space="preserve">alléguer, dans l’exposé des faits, que l’attribution unilatérale de la garde équivaudrait à un « enlèvement » : c’est un</w:t>
      </w:r>
      <w:r>
        <w:t xml:space="preserve"> </w:t>
      </w:r>
      <w:r>
        <w:rPr>
          <w:b/>
        </w:rPr>
        <w:t xml:space="preserve">argument de droit</w:t>
      </w:r>
      <w:r>
        <w:t xml:space="preserve">, à formuler au conditionnel et à réserver au procureur.</w:t>
      </w:r>
    </w:p>
    <w:p>
      <w:pPr>
        <w:pStyle w:val="Compact"/>
        <w:numPr>
          <w:numId w:val="1054"/>
          <w:ilvl w:val="0"/>
        </w:numPr>
      </w:pPr>
      <w:r>
        <w:t xml:space="preserve">Traiter l’</w:t>
      </w:r>
      <w:r>
        <w:rPr>
          <w:b/>
        </w:rPr>
        <w:t xml:space="preserve">imprécision de date</w:t>
      </w:r>
      <w:r>
        <w:t xml:space="preserve"> </w:t>
      </w:r>
      <w:r>
        <w:t xml:space="preserve">de la Requête (P-2 dite du « 21 avril » alors que les messages sont du 7 avril) comme un point secondaire : le cœur est le</w:t>
      </w:r>
      <w:r>
        <w:t xml:space="preserve"> </w:t>
      </w:r>
      <w:r>
        <w:rPr>
          <w:b/>
        </w:rPr>
        <w:t xml:space="preserve">contenu</w:t>
      </w:r>
      <w:r>
        <w:t xml:space="preserve">, non la date.</w:t>
      </w:r>
    </w:p>
    <w:p>
      <w:pPr>
        <w:pStyle w:val="Compact"/>
        <w:numPr>
          <w:numId w:val="1054"/>
          <w:ilvl w:val="0"/>
        </w:numPr>
      </w:pPr>
      <w:r>
        <w:t xml:space="preserve">Ne pas présenter le courriel de septembre 2016 comme une preuve absolue ; il est</w:t>
      </w:r>
      <w:r>
        <w:t xml:space="preserve"> </w:t>
      </w:r>
      <w:r>
        <w:rPr>
          <w:b/>
        </w:rPr>
        <w:t xml:space="preserve">confirmatif</w:t>
      </w:r>
      <w:r>
        <w:t xml:space="preserve"> </w:t>
      </w:r>
      <w:r>
        <w:t xml:space="preserve">de l’inexistence de l’accord, au présent.</w:t>
      </w:r>
    </w:p>
    <w:p>
      <w:pPr>
        <w:pStyle w:val="Compact"/>
        <w:numPr>
          <w:numId w:val="1054"/>
          <w:ilvl w:val="0"/>
        </w:numPr>
      </w:pPr>
      <w:r>
        <w:t xml:space="preserve">Ne pas qualifier la demanderesse de « menteuse » ni affirmer qu’elle « fabrique » ; exposer la pièce, sa date et son objet, et laisser le tribunal constater l’écart.</w:t>
      </w:r>
    </w:p>
    <w:p>
      <w:pPr>
        <w:pStyle w:val="Compact"/>
        <w:numPr>
          <w:numId w:val="1054"/>
          <w:ilvl w:val="0"/>
        </w:numPr>
      </w:pPr>
      <w:r>
        <w:t xml:space="preserve">Remplacer les références internes par les cotes finales lorsque le bordereau sera stabilisé.</w:t>
      </w:r>
    </w:p>
    <w:p>
      <w:pPr>
        <w:pStyle w:val="Heading2"/>
      </w:pPr>
      <w:bookmarkStart w:id="115" w:name="X8def4cbd2e15ae9e349f4b34745bf9a02717573"/>
      <w:r>
        <w:t xml:space="preserve">8. Usage proposé dans la demande introductive</w:t>
      </w:r>
      <w:bookmarkEnd w:id="115"/>
    </w:p>
    <w:p>
      <w:pPr>
        <w:pStyle w:val="FirstParagraph"/>
      </w:pPr>
      <w:r>
        <w:t xml:space="preserve">Le fait 1 sert d’ancrage procédural ; le fait 2, de concession cadrante. Le fait 3 établit la</w:t>
      </w:r>
      <w:r>
        <w:t xml:space="preserve"> </w:t>
      </w:r>
      <w:r>
        <w:rPr>
          <w:b/>
        </w:rPr>
        <w:t xml:space="preserve">constance</w:t>
      </w:r>
      <w:r>
        <w:t xml:space="preserve"> </w:t>
      </w:r>
      <w:r>
        <w:t xml:space="preserve">de la position paternelle (garde partagée) dès 2013. Les faits 4 et 5 posent l’</w:t>
      </w:r>
      <w:r>
        <w:rPr>
          <w:b/>
        </w:rPr>
        <w:t xml:space="preserve">entente alléguée du 13 février</w:t>
      </w:r>
      <w:r>
        <w:t xml:space="preserve">, antérieure au départ du 23 février. Les faits 6 à 11 forment le</w:t>
      </w:r>
      <w:r>
        <w:t xml:space="preserve"> </w:t>
      </w:r>
      <w:r>
        <w:rPr>
          <w:b/>
        </w:rPr>
        <w:t xml:space="preserve">cœur auto-suffisant</w:t>
      </w:r>
      <w:r>
        <w:t xml:space="preserve"> </w:t>
      </w:r>
      <w:r>
        <w:t xml:space="preserve">: l’ébauche du 4 mars, les messages du 7 avril, l’offre formelle du 20 avril, le transfert du 21 avril (le lendemain), la date réelle de la pièce P-2 et l’opposition de l’« entente déjà intervenue » du 27 avril. Le fait 12 ajoute la</w:t>
      </w:r>
      <w:r>
        <w:t xml:space="preserve"> </w:t>
      </w:r>
      <w:r>
        <w:rPr>
          <w:b/>
        </w:rPr>
        <w:t xml:space="preserve">contradiction interne</w:t>
      </w:r>
      <w:r>
        <w:t xml:space="preserve"> </w:t>
      </w:r>
      <w:r>
        <w:t xml:space="preserve">avec le §14. Le fait 13 clôt par la</w:t>
      </w:r>
      <w:r>
        <w:t xml:space="preserve"> </w:t>
      </w:r>
      <w:r>
        <w:rPr>
          <w:b/>
        </w:rPr>
        <w:t xml:space="preserve">confirmation rétrospective</w:t>
      </w:r>
      <w:r>
        <w:t xml:space="preserve"> </w:t>
      </w:r>
      <w:r>
        <w:t xml:space="preserve">de septembre 2016. Le double effet procédural et l’autorat de l’avocate sont réservés aux moyens.</w:t>
      </w:r>
    </w:p>
    <w:p>
      <w:pPr>
        <w:pStyle w:val="Heading2"/>
      </w:pPr>
      <w:bookmarkStart w:id="116" w:name="version-procédurale-distillée-5"/>
      <w:r>
        <w:t xml:space="preserve">9. Version procédurale distillée</w:t>
      </w:r>
      <w:bookmarkEnd w:id="116"/>
    </w:p>
    <w:p>
      <w:pPr>
        <w:pStyle w:val="BlockText"/>
      </w:pPr>
      <w:r>
        <w:t xml:space="preserve">Les références internes ci-dessous servent au travail de rédaction ; elles seront remplacées par les cotes de pièces lorsque le bordereau sera stabilisé.</w:t>
      </w:r>
    </w:p>
    <w:p>
      <w:pPr>
        <w:pStyle w:val="Heading3"/>
      </w:pPr>
      <w:bookmarkStart w:id="117" w:name="version-courte-3"/>
      <w:r>
        <w:t xml:space="preserve">Version courte</w:t>
      </w:r>
      <w:bookmarkEnd w:id="117"/>
    </w:p>
    <w:p>
      <w:pPr>
        <w:pStyle w:val="FirstParagraph"/>
      </w:pPr>
      <w:r>
        <w:t xml:space="preserve">Contrairement à l’allégation du paragraphe 18 voulant que les parties aient « convenu » que la demanderesse aurait la garde, aucun consentement du défendeur à la garde exclusive n’existe. La pièce même produite au soutien de cette allégation — des messages textes du 7 avril 2015 — annonce l’envoi d’une lettre officialisant la position du défendeur, laquelle, reçue le 20 avril 2015, réclame la garde partagée. La demanderesse a transféré ces messages à sa procureure le lendemain de la réception de cette offre contraire, en les qualifiant de confirmation d’un accord. La naissance de cet accord est par ailleurs située à trois dates incompatibles par la partie demanderesse, dont l’une précède la séparation.</w:t>
      </w:r>
    </w:p>
    <w:p>
      <w:pPr>
        <w:pStyle w:val="Heading3"/>
      </w:pPr>
      <w:bookmarkStart w:id="118" w:name="paragraphes-proposés-3"/>
      <w:r>
        <w:t xml:space="preserve">Paragraphes proposés</w:t>
      </w:r>
      <w:bookmarkEnd w:id="118"/>
    </w:p>
    <w:p>
      <w:pPr>
        <w:pStyle w:val="Compact"/>
        <w:numPr>
          <w:numId w:val="1055"/>
          <w:ilvl w:val="0"/>
        </w:numPr>
      </w:pPr>
      <w:r>
        <w:t xml:space="preserve">Le 19 novembre 2015, la demanderesse a allégué sous serment que les parties avaient convenu que la demanderesse aurait la garde des enfants, en renvoyant aux messages textes « datés du 21 avril 2015 » produits sous la pièce P-2 (</w:t>
      </w:r>
      <w:r>
        <w:rPr>
          <w:rStyle w:val="VerbatimChar"/>
        </w:rPr>
        <w:t xml:space="preserve">piece_document-1.md</w:t>
      </w:r>
      <w:r>
        <w:t xml:space="preserve">, §18).</w:t>
      </w:r>
    </w:p>
    <w:p>
      <w:pPr>
        <w:pStyle w:val="Compact"/>
        <w:numPr>
          <w:numId w:val="1055"/>
          <w:ilvl w:val="0"/>
        </w:numPr>
      </w:pPr>
      <w:r>
        <w:t xml:space="preserve">La demanderesse a exercé de fait la garde des enfants à la suite du départ du défendeur, et des négociations ont eu lieu entre les parties ; ce que le défendeur conteste est l’existence d’un accord par lequel il aurait consenti à la garde exclusive.</w:t>
      </w:r>
    </w:p>
    <w:p>
      <w:pPr>
        <w:pStyle w:val="Compact"/>
        <w:numPr>
          <w:numId w:val="1055"/>
          <w:ilvl w:val="0"/>
        </w:numPr>
      </w:pPr>
      <w:r>
        <w:t xml:space="preserve">Dès juin 2013, la position du défendeur était documentée comme étant la garde partagée : Me Marie-Josée Ayoub écrivait alors, à son sujet, qu’« il veut avoir […] les enfants une semaine sur deux » (</w:t>
      </w:r>
      <w:r>
        <w:rPr>
          <w:rStyle w:val="VerbatimChar"/>
        </w:rPr>
        <w:t xml:space="preserve">piece_pdf-1.md</w:t>
      </w:r>
      <w:r>
        <w:t xml:space="preserve">).</w:t>
      </w:r>
    </w:p>
    <w:p>
      <w:pPr>
        <w:pStyle w:val="Compact"/>
        <w:numPr>
          <w:numId w:val="1055"/>
          <w:ilvl w:val="0"/>
        </w:numPr>
      </w:pPr>
      <w:r>
        <w:t xml:space="preserve">Selon la lettre de Me Marie-Josée Ayoub du 27 avril 2015, le « consentement […] à l’effet que les enfants soient en garde exclusive chez la mère » serait intervenu lors d’un entretien téléphonique du 13 février 2015, soit dix jours avant le départ du défendeur de la résidence familiale, survenu le ou vers le 23 février 2015 (</w:t>
      </w:r>
      <w:r>
        <w:rPr>
          <w:rStyle w:val="VerbatimChar"/>
        </w:rPr>
        <w:t xml:space="preserve">piece_pdf-3.md</w:t>
      </w:r>
      <w:r>
        <w:t xml:space="preserve">).</w:t>
      </w:r>
    </w:p>
    <w:p>
      <w:pPr>
        <w:pStyle w:val="Compact"/>
        <w:numPr>
          <w:numId w:val="1055"/>
          <w:ilvl w:val="0"/>
        </w:numPr>
      </w:pPr>
      <w:r>
        <w:t xml:space="preserve">Le 7 avril 2015, le défendeur écrivait à la demanderesse, par messages textes, qu’il lui enverrait « une lettre pour officialiser [sa] position par rapport à la garde » et qu’il ne « poursuivr[ait] [pas] quelque procédure que ce soit pour changer la situation » (</w:t>
      </w:r>
      <w:r>
        <w:rPr>
          <w:rStyle w:val="VerbatimChar"/>
        </w:rPr>
        <w:t xml:space="preserve">piece_p2_messages_7avril2015.md</w:t>
      </w:r>
      <w:r>
        <w:t xml:space="preserve">).</w:t>
      </w:r>
    </w:p>
    <w:p>
      <w:pPr>
        <w:pStyle w:val="Compact"/>
        <w:numPr>
          <w:numId w:val="1055"/>
          <w:ilvl w:val="0"/>
        </w:numPr>
      </w:pPr>
      <w:r>
        <w:t xml:space="preserve">Le 20 avril 2015, le défendeur transmettait à la demanderesse, par l’entremise de son procureur, la lettre ainsi annoncée : une offre formelle de garde partagée 2-2-3 (</w:t>
      </w:r>
      <w:r>
        <w:rPr>
          <w:rStyle w:val="VerbatimChar"/>
        </w:rPr>
        <w:t xml:space="preserve">piece_pdf-2.md</w:t>
      </w:r>
      <w:r>
        <w:t xml:space="preserve">).</w:t>
      </w:r>
    </w:p>
    <w:p>
      <w:pPr>
        <w:pStyle w:val="Compact"/>
        <w:numPr>
          <w:numId w:val="1055"/>
          <w:ilvl w:val="0"/>
        </w:numPr>
      </w:pPr>
      <w:r>
        <w:t xml:space="preserve">Le 21 avril 2015, soit le lendemain de la réception de cette offre, la demanderesse transférait à sa procureure les messages du 7 avril — datés du 7 avril, et non du 21 avril — sous l’objet « Voici quand il me confirme qu’il me donne la garde » (</w:t>
      </w:r>
      <w:r>
        <w:rPr>
          <w:rStyle w:val="VerbatimChar"/>
        </w:rPr>
        <w:t xml:space="preserve">piece_p2_messages_7avril2015.md</w:t>
      </w:r>
      <w:r>
        <w:t xml:space="preserve">).</w:t>
      </w:r>
    </w:p>
    <w:p>
      <w:pPr>
        <w:pStyle w:val="Compact"/>
        <w:numPr>
          <w:numId w:val="1055"/>
          <w:ilvl w:val="0"/>
        </w:numPr>
      </w:pPr>
      <w:r>
        <w:t xml:space="preserve">Le 27 avril 2015, Me Marie-Josée Ayoub accusait réception de l’offre du 20 avril et y opposait « une entente déjà intervenue entre les parties » (</w:t>
      </w:r>
      <w:r>
        <w:rPr>
          <w:rStyle w:val="VerbatimChar"/>
        </w:rPr>
        <w:t xml:space="preserve">piece_pdf-3.md</w:t>
      </w:r>
      <w:r>
        <w:t xml:space="preserve">).</w:t>
      </w:r>
    </w:p>
    <w:p>
      <w:pPr>
        <w:pStyle w:val="Compact"/>
        <w:numPr>
          <w:numId w:val="1055"/>
          <w:ilvl w:val="0"/>
        </w:numPr>
      </w:pPr>
      <w:r>
        <w:t xml:space="preserve">Au paragraphe 14 de la même Requête, la demanderesse allègue au contraire que « dès la rupture, le défendeur voulait instaurer une garde partagée, que la demanderesse a refusé » (</w:t>
      </w:r>
      <w:r>
        <w:rPr>
          <w:rStyle w:val="VerbatimChar"/>
        </w:rPr>
        <w:t xml:space="preserve">piece_document-1.md</w:t>
      </w:r>
      <w:r>
        <w:t xml:space="preserve">, §14).</w:t>
      </w:r>
    </w:p>
    <w:p>
      <w:pPr>
        <w:pStyle w:val="Compact"/>
        <w:numPr>
          <w:numId w:val="1055"/>
          <w:ilvl w:val="0"/>
        </w:numPr>
      </w:pPr>
      <w:r>
        <w:t xml:space="preserve">Le 16 septembre 2016, la demanderesse écrivait au défendeur : « La situation est que les deux n’avons pas ce que nous voulions […] Je ne te demande pas de revenir sur le sujet sur lequel NOUS on ne s’entendait pas » (Email id=267 ;</w:t>
      </w:r>
      <w:r>
        <w:t xml:space="preserve"> </w:t>
      </w:r>
      <w:r>
        <w:rPr>
          <w:rStyle w:val="VerbatimChar"/>
        </w:rPr>
        <w:t xml:space="preserve">piece_thread-6_reconstruction.md</w:t>
      </w:r>
      <w:r>
        <w:t xml:space="preserve">).</w:t>
      </w:r>
    </w:p>
    <w:p>
      <w:pPr>
        <w:pStyle w:val="Heading3"/>
      </w:pPr>
      <w:bookmarkStart w:id="119" w:name="portée-à-réserver-aux-moyens-3"/>
      <w:r>
        <w:t xml:space="preserve">Portée à réserver aux moyens</w:t>
      </w:r>
      <w:bookmarkEnd w:id="119"/>
    </w:p>
    <w:p>
      <w:pPr>
        <w:pStyle w:val="FirstParagraph"/>
      </w:pPr>
      <w:r>
        <w:t xml:space="preserve">Ces faits permettent de soutenir que le §18 présente au tribunal, comme un accord bilatéral spontané, une situation de garde qui n’a fait l’objet d’aucun consentement du défendeur — et que cette qualification a eu pour effet de soustraire l’offre de garde partagée du 20 avril à son évaluation au regard de l’intérêt des enfants. La qualification de faute, la connaissance de l’inexactitude et la responsabilité de l’avocate appartiennent aux moyens et ne devraient pas être plaidées comme des faits autonomes.</w:t>
      </w:r>
    </w:p>
    <w:p>
      <w:r>
        <w:pict>
          <v:rect style="width:0;height:1.5pt" o:hralign="center" o:hrstd="t" o:hr="t"/>
        </w:pict>
      </w:r>
    </w:p>
    <w:p>
      <w:pPr>
        <w:pStyle w:val="Heading1"/>
      </w:pPr>
      <w:bookmarkStart w:id="120" w:name="Xa2546d0d2dd76a2780165bcbf4b281e484edf77"/>
      <w:r>
        <w:t xml:space="preserve">Pont — §20 et §21 de la Requête du 19 novembre 2015</w:t>
      </w:r>
      <w:bookmarkEnd w:id="120"/>
    </w:p>
    <w:p>
      <w:pPr>
        <w:pStyle w:val="Heading2"/>
      </w:pPr>
      <w:bookmarkStart w:id="121" w:name="allégations-visées-2"/>
      <w:r>
        <w:t xml:space="preserve">1. Allégations visées</w:t>
      </w:r>
      <w:bookmarkEnd w:id="121"/>
    </w:p>
    <w:p>
      <w:pPr>
        <w:pStyle w:val="BlockText"/>
      </w:pPr>
      <w:r>
        <w:rPr>
          <w:b/>
        </w:rPr>
        <w:t xml:space="preserve">§20</w:t>
      </w:r>
      <w:r>
        <w:t xml:space="preserve"> </w:t>
      </w:r>
      <w:r>
        <w:t xml:space="preserve">— « À la demande du défendeur, des droits d’accès du dimanche entre 16h00 et 20h00 ont été établis coïncidant ainsi avec ses visites hebdomadaires chez ses parents. »</w:t>
      </w:r>
    </w:p>
    <w:p>
      <w:pPr>
        <w:pStyle w:val="BlockText"/>
      </w:pPr>
      <w:r>
        <w:rPr>
          <w:b/>
        </w:rPr>
        <w:t xml:space="preserve">§21</w:t>
      </w:r>
      <w:r>
        <w:t xml:space="preserve"> </w:t>
      </w:r>
      <w:r>
        <w:t xml:space="preserve">— « Lorsque les parents du défendeur s’absentent pour la fin de semaine, ce dernier refuse d’exercer son droit d’accès auprès des enfants. »</w:t>
      </w:r>
    </w:p>
    <w:p>
      <w:pPr>
        <w:pStyle w:val="Heading2"/>
      </w:pPr>
      <w:bookmarkStart w:id="122" w:name="classification-et-objectif"/>
      <w:r>
        <w:t xml:space="preserve">2. Classification et objectif</w:t>
      </w:r>
      <w:bookmarkEnd w:id="122"/>
    </w:p>
    <w:p>
      <w:pPr>
        <w:pStyle w:val="FirstParagraph"/>
      </w:pPr>
      <w:r>
        <w:rPr>
          <w:b/>
        </w:rPr>
        <w:t xml:space="preserve">Classification : demi-vérité ou omission de contexte.</w:t>
      </w:r>
    </w:p>
    <w:p>
      <w:pPr>
        <w:pStyle w:val="BodyText"/>
      </w:pPr>
      <w:r>
        <w:t xml:space="preserve">Le cadre initial du dimanche chez les grands-parents est concédé. L’état actuel de la preuve ne permet pas de réfuter directement chaque occurrence visée au §21 ni d’établir le motif pour lequel le défendeur exerçait ses accès au domicile de ses parents.</w:t>
      </w:r>
    </w:p>
    <w:p>
      <w:pPr>
        <w:pStyle w:val="BodyText"/>
      </w:pPr>
      <w:r>
        <w:t xml:space="preserve">L’objectif raisonnable du pont est donc limité : empêcher que ce cadre initial soit présenté comme l’expression complète et durable de la volonté parentale du défendeur, alors que ses positions formelles d’avril à septembre 2015 demandaient ou acceptaient un élargissement substantiel des accès.</w:t>
      </w:r>
    </w:p>
    <w:p>
      <w:pPr>
        <w:pStyle w:val="Heading2"/>
      </w:pPr>
      <w:bookmarkStart w:id="123" w:name="force-probatoire-6"/>
      <w:r>
        <w:t xml:space="preserve">3. Force probatoire</w:t>
      </w:r>
      <w:bookmarkEnd w:id="123"/>
    </w:p>
    <w:p>
      <w:pPr>
        <w:pStyle w:val="FirstParagraph"/>
      </w:pPr>
      <w:r>
        <w:rPr>
          <w:b/>
        </w:rPr>
        <w:t xml:space="preserve">Moyenne.</w:t>
      </w:r>
    </w:p>
    <w:p>
      <w:pPr>
        <w:pStyle w:val="BodyText"/>
      </w:pPr>
      <w:r>
        <w:t xml:space="preserve">La preuve est forte quant aux positions formelles du défendeur et à leur omission dans la Requête. Elle est faible quant au motif des visites chez les grands-parents et quant à une réfutation directe du §21.</w:t>
      </w:r>
    </w:p>
    <w:p>
      <w:pPr>
        <w:pStyle w:val="BodyText"/>
      </w:pPr>
      <w:r>
        <w:t xml:space="preserve">Ce bloc ne constitue pas un noyau autonome de fausseté. Sa valeur est principalement contextuelle : il corrige l’impression cumulative de désintérêt créée par l’isolement d’un horaire initial.</w:t>
      </w:r>
    </w:p>
    <w:p>
      <w:pPr>
        <w:pStyle w:val="Heading2"/>
      </w:pPr>
      <w:bookmarkStart w:id="124" w:name="concessions"/>
      <w:r>
        <w:t xml:space="preserve">4. Concessions</w:t>
      </w:r>
      <w:bookmarkEnd w:id="124"/>
    </w:p>
    <w:p>
      <w:pPr>
        <w:pStyle w:val="Compact"/>
        <w:numPr>
          <w:numId w:val="1056"/>
          <w:ilvl w:val="0"/>
        </w:numPr>
      </w:pPr>
      <w:r>
        <w:t xml:space="preserve">Le défendeur a lui-même proposé ou instauré, après la séparation, un cadre d’accès d’environ quatre heures le dimanche au domicile de ses parents.</w:t>
      </w:r>
    </w:p>
    <w:p>
      <w:pPr>
        <w:pStyle w:val="Compact"/>
        <w:numPr>
          <w:numId w:val="1056"/>
          <w:ilvl w:val="0"/>
        </w:numPr>
      </w:pPr>
      <w:r>
        <w:t xml:space="preserve">Le demandeur ne doit pas nier les occasions précises où un accès n’a pas été exercé lorsque ses parents étaient absents, si ces occasions sont établies.</w:t>
      </w:r>
    </w:p>
    <w:p>
      <w:pPr>
        <w:pStyle w:val="Compact"/>
        <w:numPr>
          <w:numId w:val="1056"/>
          <w:ilvl w:val="0"/>
        </w:numPr>
      </w:pPr>
      <w:r>
        <w:t xml:space="preserve">En l’absence d’un inventaire daté, le demandeur ne concède toutefois pas la portée générale suggérée par le mot « lorsque » au §21.</w:t>
      </w:r>
    </w:p>
    <w:p>
      <w:pPr>
        <w:pStyle w:val="Compact"/>
        <w:numPr>
          <w:numId w:val="1056"/>
          <w:ilvl w:val="0"/>
        </w:numPr>
      </w:pPr>
      <w:r>
        <w:t xml:space="preserve">Aucune source contemporaine actuellement identifiée n’explique directement pourquoi les accès se déroulaient chez les grands-parents.</w:t>
      </w:r>
    </w:p>
    <w:p>
      <w:pPr>
        <w:pStyle w:val="Heading2"/>
      </w:pPr>
      <w:bookmarkStart w:id="125" w:name="faits-essentiels-plaidables-6"/>
      <w:r>
        <w:t xml:space="preserve">5. Faits essentiels plaidables</w:t>
      </w:r>
      <w:bookmarkEnd w:id="125"/>
    </w:p>
    <w:p>
      <w:pPr>
        <w:pStyle w:val="Compact"/>
        <w:numPr>
          <w:numId w:val="1057"/>
          <w:ilvl w:val="0"/>
        </w:numPr>
      </w:pPr>
      <w:r>
        <w:t xml:space="preserve">Le 19 novembre 2015, la demanderesse a allégué que les accès du défendeur avaient été établis le dimanche de 16 h à 20 h pour coïncider avec ses visites chez ses parents et qu’il refusait de les exercer lorsque ceux-ci s’absentaient.</w:t>
      </w:r>
    </w:p>
    <w:p>
      <w:pPr>
        <w:pStyle w:val="Compact"/>
        <w:numPr>
          <w:numId w:val="1057"/>
          <w:ilvl w:val="0"/>
        </w:numPr>
      </w:pPr>
      <w:r>
        <w:t xml:space="preserve">Le demandeur ne conteste pas que l’horaire initial du dimanche se déroulait au domicile de ses parents et qu’il avait participé à l’établissement de ce cadre.</w:t>
      </w:r>
    </w:p>
    <w:p>
      <w:pPr>
        <w:pStyle w:val="Compact"/>
        <w:numPr>
          <w:numId w:val="1057"/>
          <w:ilvl w:val="0"/>
        </w:numPr>
      </w:pPr>
      <w:r>
        <w:t xml:space="preserve">Le 20 avril 2015, le demandeur avait transmis une offre formelle de garde partagée selon un horaire 2-2-3.</w:t>
      </w:r>
    </w:p>
    <w:p>
      <w:pPr>
        <w:pStyle w:val="Compact"/>
        <w:numPr>
          <w:numId w:val="1057"/>
          <w:ilvl w:val="0"/>
        </w:numPr>
      </w:pPr>
      <w:r>
        <w:t xml:space="preserve">Le 27 avril 2015, la demanderesse avait refusé cette offre en invoquant le jeune âge des enfants et le maintien d’une routine établie depuis plus de deux mois.</w:t>
      </w:r>
    </w:p>
    <w:p>
      <w:pPr>
        <w:pStyle w:val="Compact"/>
        <w:numPr>
          <w:numId w:val="1057"/>
          <w:ilvl w:val="0"/>
        </w:numPr>
      </w:pPr>
      <w:r>
        <w:t xml:space="preserve">Dans cette même correspondance, la demanderesse offrait au demandeur des accès comprenant des nuitées non supervisées en semaine et la fin de semaine.</w:t>
      </w:r>
    </w:p>
    <w:p>
      <w:pPr>
        <w:pStyle w:val="Compact"/>
        <w:numPr>
          <w:numId w:val="1057"/>
          <w:ilvl w:val="0"/>
        </w:numPr>
      </w:pPr>
      <w:r>
        <w:t xml:space="preserve">Le 13 août 2015, Me Marie-Josée Ayoub avait transmis un projet non signé prévoyant un accroissement progressif des accès et, dès la première phase, deux nuitées consécutives du dimanche au mardi matin.</w:t>
      </w:r>
    </w:p>
    <w:p>
      <w:pPr>
        <w:pStyle w:val="Compact"/>
        <w:numPr>
          <w:numId w:val="1057"/>
          <w:ilvl w:val="0"/>
        </w:numPr>
      </w:pPr>
      <w:r>
        <w:t xml:space="preserve">Le 2 septembre 2015, le demandeur avait répondu qu’il était disposé à établir cette progression et demandait qu’elle mène à un horaire 2-2-3 à compter du 7 février 2016.</w:t>
      </w:r>
    </w:p>
    <w:p>
      <w:pPr>
        <w:pStyle w:val="Compact"/>
        <w:numPr>
          <w:numId w:val="1057"/>
          <w:ilvl w:val="0"/>
        </w:numPr>
      </w:pPr>
      <w:r>
        <w:t xml:space="preserve">Dans cette même réponse, il laissait à la demanderesse le choix des jours afin de tenir compte de ses cours de danse.</w:t>
      </w:r>
    </w:p>
    <w:p>
      <w:pPr>
        <w:pStyle w:val="Compact"/>
        <w:numPr>
          <w:numId w:val="1057"/>
          <w:ilvl w:val="0"/>
        </w:numPr>
      </w:pPr>
      <w:r>
        <w:t xml:space="preserve">La Requête ne mentionne ni le projet progressif du 13 août ni la réponse favorable du 2 septembre 2015.</w:t>
      </w:r>
    </w:p>
    <w:p>
      <w:pPr>
        <w:pStyle w:val="FirstParagraph"/>
      </w:pPr>
      <w:r>
        <w:t xml:space="preserve">Les faits 3 à 9 sont déjà intégrés dans le bloc procédural relatif aux §14-17. Ils ne doivent pas être répétés intégralement dans la section consacrée aux §20-21.</w:t>
      </w:r>
    </w:p>
    <w:p>
      <w:pPr>
        <w:pStyle w:val="Heading2"/>
      </w:pPr>
      <w:bookmarkStart w:id="126" w:name="contexte-documenté-mais-non-causal"/>
      <w:r>
        <w:t xml:space="preserve">6. Contexte documenté, mais non causal</w:t>
      </w:r>
      <w:bookmarkEnd w:id="126"/>
    </w:p>
    <w:p>
      <w:pPr>
        <w:pStyle w:val="Compact"/>
        <w:numPr>
          <w:numId w:val="1058"/>
          <w:ilvl w:val="0"/>
        </w:numPr>
      </w:pPr>
      <w:r>
        <w:t xml:space="preserve">Le 11 juin 2013, Me Marie-Josée Ayoub avait écrit que la situation pouvait être présentée comme de la violence conjugale depuis la naissance et comme compromettant la sécurité et le développement d’Alexia.</w:t>
      </w:r>
    </w:p>
    <w:p>
      <w:pPr>
        <w:pStyle w:val="Compact"/>
        <w:numPr>
          <w:numId w:val="1058"/>
          <w:ilvl w:val="0"/>
        </w:numPr>
      </w:pPr>
      <w:r>
        <w:t xml:space="preserve">Le même courriel envisageait des droits d’accès sans coucher et une relocalisation du père.</w:t>
      </w:r>
    </w:p>
    <w:p>
      <w:pPr>
        <w:pStyle w:val="Compact"/>
        <w:numPr>
          <w:numId w:val="1058"/>
          <w:ilvl w:val="0"/>
        </w:numPr>
      </w:pPr>
      <w:r>
        <w:t xml:space="preserve">Le 26 juin 2013, le défendeur avait consulté une avocate en écrivant qu’il craignait d’être piégé par des accusations d’agressivité et de peur.</w:t>
      </w:r>
    </w:p>
    <w:p>
      <w:pPr>
        <w:pStyle w:val="Compact"/>
        <w:numPr>
          <w:numId w:val="1058"/>
          <w:ilvl w:val="0"/>
        </w:numPr>
      </w:pPr>
      <w:r>
        <w:t xml:space="preserve">Le 30 juin 2013, la demanderesse avait elle-même relié certains comportements du défendeur à Alexia dans un échange portant sur une fin de semaine au chalet.</w:t>
      </w:r>
    </w:p>
    <w:p>
      <w:pPr>
        <w:pStyle w:val="FirstParagraph"/>
      </w:pPr>
      <w:r>
        <w:t xml:space="preserve">Ces faits établissent un contexte conflictuel et une préoccupation exprimée en matière de sécurité. Ils n’établissent pas que le défendeur a choisi le domicile de ses parents comme dispositif de protection ni que leur absence causait son non-exercice des accès.</w:t>
      </w:r>
    </w:p>
    <w:p>
      <w:pPr>
        <w:pStyle w:val="Heading2"/>
      </w:pPr>
      <w:bookmarkStart w:id="127" w:name="inférences-réservées-aux-moyens-6"/>
      <w:r>
        <w:t xml:space="preserve">7. Inférences réservées aux moyens</w:t>
      </w:r>
      <w:bookmarkEnd w:id="127"/>
    </w:p>
    <w:p>
      <w:pPr>
        <w:pStyle w:val="Compact"/>
        <w:numPr>
          <w:numId w:val="1059"/>
          <w:ilvl w:val="0"/>
        </w:numPr>
      </w:pPr>
      <w:r>
        <w:t xml:space="preserve">Les §20-21 isolent un comportement initial sans exposer les positions formelles plus récentes qui montrent une volonté d’élargissement.</w:t>
      </w:r>
    </w:p>
    <w:p>
      <w:pPr>
        <w:pStyle w:val="Compact"/>
        <w:numPr>
          <w:numId w:val="1059"/>
          <w:ilvl w:val="0"/>
        </w:numPr>
      </w:pPr>
      <w:r>
        <w:t xml:space="preserve">Cette sélection peut produire l’impression d’un refus parental structurel alors que la chronologie documentaire montre une position plus complexe et évolutive.</w:t>
      </w:r>
    </w:p>
    <w:p>
      <w:pPr>
        <w:pStyle w:val="Compact"/>
        <w:numPr>
          <w:numId w:val="1059"/>
          <w:ilvl w:val="0"/>
        </w:numPr>
      </w:pPr>
      <w:r>
        <w:t xml:space="preserve">La Requête pouvait relater les accès non exercés, mais une présentation complète devait également permettre au tribunal d’apprécier l’offre 2-2-3, le projet progressif et la réponse du 2 septembre.</w:t>
      </w:r>
    </w:p>
    <w:p>
      <w:pPr>
        <w:pStyle w:val="Compact"/>
        <w:numPr>
          <w:numId w:val="1059"/>
          <w:ilvl w:val="0"/>
        </w:numPr>
      </w:pPr>
      <w:r>
        <w:t xml:space="preserve">Les offres de nuitées par la demanderesse et l’acceptation d’une progression par le défendeur sont incompatibles avec une lecture selon laquelle l’horaire dominical épuisait toute sa volonté parentale.</w:t>
      </w:r>
    </w:p>
    <w:p>
      <w:pPr>
        <w:pStyle w:val="Heading2"/>
      </w:pPr>
      <w:bookmarkStart w:id="128" w:name="inférences-exclues-1"/>
      <w:r>
        <w:t xml:space="preserve">8. Inférences exclues</w:t>
      </w:r>
      <w:bookmarkEnd w:id="128"/>
    </w:p>
    <w:p>
      <w:pPr>
        <w:pStyle w:val="Compact"/>
        <w:numPr>
          <w:numId w:val="1060"/>
          <w:ilvl w:val="0"/>
        </w:numPr>
      </w:pPr>
      <w:r>
        <w:t xml:space="preserve">Ne pas affirmer que les grands-parents servaient de témoins protecteurs.</w:t>
      </w:r>
    </w:p>
    <w:p>
      <w:pPr>
        <w:pStyle w:val="Compact"/>
        <w:numPr>
          <w:numId w:val="1060"/>
          <w:ilvl w:val="0"/>
        </w:numPr>
      </w:pPr>
      <w:r>
        <w:t xml:space="preserve">Ne pas affirmer que les accusations de 2013 ont causé le choix du lieu ou les accès non exercés.</w:t>
      </w:r>
    </w:p>
    <w:p>
      <w:pPr>
        <w:pStyle w:val="Compact"/>
        <w:numPr>
          <w:numId w:val="1060"/>
          <w:ilvl w:val="0"/>
        </w:numPr>
      </w:pPr>
      <w:r>
        <w:t xml:space="preserve">Ne pas qualifier les accès de « supervisés » : aucune supervision ordonnée n’est documentée.</w:t>
      </w:r>
    </w:p>
    <w:p>
      <w:pPr>
        <w:pStyle w:val="Compact"/>
        <w:numPr>
          <w:numId w:val="1060"/>
          <w:ilvl w:val="0"/>
        </w:numPr>
      </w:pPr>
      <w:r>
        <w:t xml:space="preserve">Ne pas affirmer que le §21 est faux sans identifier des fins de semaine précises où les grands-parents étaient absents et où le demandeur a exercé ou proposé d’exercer ses accès autrement.</w:t>
      </w:r>
    </w:p>
    <w:p>
      <w:pPr>
        <w:pStyle w:val="Compact"/>
        <w:numPr>
          <w:numId w:val="1060"/>
          <w:ilvl w:val="0"/>
        </w:numPr>
      </w:pPr>
      <w:r>
        <w:t xml:space="preserve">Ne pas affirmer que l’absence de rétractation rendait juridiquement obligatoires les restrictions initiales.</w:t>
      </w:r>
    </w:p>
    <w:p>
      <w:pPr>
        <w:pStyle w:val="Heading2"/>
      </w:pPr>
      <w:bookmarkStart w:id="129" w:name="pièces-nécessaires-5"/>
      <w:r>
        <w:t xml:space="preserve">9. Pièces nécessaires</w:t>
      </w:r>
      <w:bookmarkEnd w:id="1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Portée</w:t>
            </w:r>
          </w:p>
        </w:tc>
        <w:tc>
          <w:tcPr>
            <w:tcBorders>
              <w:bottom w:val="single"/>
            </w:tcBorders>
            <w:vAlign w:val="bottom"/>
          </w:tcPr>
          <w:p>
            <w:pPr>
              <w:pStyle w:val="Compact"/>
              <w:jc w:val="left"/>
            </w:pPr>
            <w:r>
              <w:t xml:space="preserve">Statut</w:t>
            </w:r>
          </w:p>
        </w:tc>
      </w:tr>
      <w:tr>
        <w:tc>
          <w:p>
            <w:pPr>
              <w:pStyle w:val="Compact"/>
              <w:jc w:val="left"/>
            </w:pPr>
            <w:r>
              <w:t xml:space="preserve">1-2</w:t>
            </w:r>
          </w:p>
        </w:tc>
        <w:tc>
          <w:p>
            <w:pPr>
              <w:pStyle w:val="Compact"/>
              <w:jc w:val="left"/>
            </w:pPr>
            <w:r>
              <w:rPr>
                <w:rStyle w:val="VerbatimChar"/>
              </w:rPr>
              <w:t xml:space="preserve">piece_document-1.md</w:t>
            </w:r>
            <w:r>
              <w:t xml:space="preserve">, §20-21</w:t>
            </w:r>
          </w:p>
        </w:tc>
        <w:tc>
          <w:p>
            <w:pPr>
              <w:pStyle w:val="Compact"/>
              <w:jc w:val="left"/>
            </w:pPr>
            <w:r>
              <w:t xml:space="preserve">Allégations et cadre concédé</w:t>
            </w:r>
          </w:p>
        </w:tc>
        <w:tc>
          <w:p>
            <w:pPr>
              <w:pStyle w:val="Compact"/>
              <w:jc w:val="left"/>
            </w:pPr>
            <w:r>
              <w:t xml:space="preserve">disponible</w:t>
            </w:r>
          </w:p>
        </w:tc>
      </w:tr>
      <w:tr>
        <w:tc>
          <w:p>
            <w:pPr>
              <w:pStyle w:val="Compact"/>
              <w:jc w:val="left"/>
            </w:pPr>
            <w:r>
              <w:t xml:space="preserve">3</w:t>
            </w:r>
          </w:p>
        </w:tc>
        <w:tc>
          <w:p>
            <w:pPr>
              <w:pStyle w:val="Compact"/>
              <w:jc w:val="left"/>
            </w:pPr>
            <w:r>
              <w:rPr>
                <w:rStyle w:val="VerbatimChar"/>
              </w:rPr>
              <w:t xml:space="preserve">piece_pdf-2.md</w:t>
            </w:r>
          </w:p>
        </w:tc>
        <w:tc>
          <w:p>
            <w:pPr>
              <w:pStyle w:val="Compact"/>
              <w:jc w:val="left"/>
            </w:pPr>
            <w:r>
              <w:t xml:space="preserve">Offre 2-2-3</w:t>
            </w:r>
          </w:p>
        </w:tc>
        <w:tc>
          <w:p>
            <w:pPr>
              <w:pStyle w:val="Compact"/>
              <w:jc w:val="left"/>
            </w:pPr>
            <w:r>
              <w:t xml:space="preserve">disponible</w:t>
            </w:r>
          </w:p>
        </w:tc>
      </w:tr>
      <w:tr>
        <w:tc>
          <w:p>
            <w:pPr>
              <w:pStyle w:val="Compact"/>
              <w:jc w:val="left"/>
            </w:pPr>
            <w:r>
              <w:t xml:space="preserve">4-5</w:t>
            </w:r>
          </w:p>
        </w:tc>
        <w:tc>
          <w:p>
            <w:pPr>
              <w:pStyle w:val="Compact"/>
              <w:jc w:val="left"/>
            </w:pPr>
            <w:r>
              <w:rPr>
                <w:rStyle w:val="VerbatimChar"/>
              </w:rPr>
              <w:t xml:space="preserve">piece_pdf-3.md</w:t>
            </w:r>
            <w:r>
              <w:t xml:space="preserve">, C2-C3</w:t>
            </w:r>
          </w:p>
        </w:tc>
        <w:tc>
          <w:p>
            <w:pPr>
              <w:pStyle w:val="Compact"/>
              <w:jc w:val="left"/>
            </w:pPr>
            <w:r>
              <w:t xml:space="preserve">Refus et offre de nuitées</w:t>
            </w:r>
          </w:p>
        </w:tc>
        <w:tc>
          <w:p>
            <w:pPr>
              <w:pStyle w:val="Compact"/>
              <w:jc w:val="left"/>
            </w:pPr>
            <w:r>
              <w:t xml:space="preserve">disponible</w:t>
            </w:r>
          </w:p>
        </w:tc>
      </w:tr>
      <w:tr>
        <w:tc>
          <w:p>
            <w:pPr>
              <w:pStyle w:val="Compact"/>
              <w:jc w:val="left"/>
            </w:pPr>
            <w:r>
              <w:t xml:space="preserve">6</w:t>
            </w:r>
          </w:p>
        </w:tc>
        <w:tc>
          <w:p>
            <w:pPr>
              <w:pStyle w:val="Compact"/>
              <w:jc w:val="left"/>
            </w:pPr>
            <w:r>
              <w:rPr>
                <w:rStyle w:val="VerbatimChar"/>
              </w:rPr>
              <w:t xml:space="preserve">piece_pdf-5.md</w:t>
            </w:r>
            <w:r>
              <w:t xml:space="preserve">, C3</w:t>
            </w:r>
          </w:p>
        </w:tc>
        <w:tc>
          <w:p>
            <w:pPr>
              <w:pStyle w:val="Compact"/>
              <w:jc w:val="left"/>
            </w:pPr>
            <w:r>
              <w:t xml:space="preserve">Projet progressif avec nuitées</w:t>
            </w:r>
          </w:p>
        </w:tc>
        <w:tc>
          <w:p>
            <w:pPr>
              <w:pStyle w:val="Compact"/>
              <w:jc w:val="left"/>
            </w:pPr>
            <w:r>
              <w:t xml:space="preserve">disponible</w:t>
            </w:r>
          </w:p>
        </w:tc>
      </w:tr>
      <w:tr>
        <w:tc>
          <w:p>
            <w:pPr>
              <w:pStyle w:val="Compact"/>
              <w:jc w:val="left"/>
            </w:pPr>
            <w:r>
              <w:t xml:space="preserve">7-8</w:t>
            </w:r>
          </w:p>
        </w:tc>
        <w:tc>
          <w:p>
            <w:pPr>
              <w:pStyle w:val="Compact"/>
              <w:jc w:val="left"/>
            </w:pPr>
            <w:r>
              <w:rPr>
                <w:rStyle w:val="VerbatimChar"/>
              </w:rPr>
              <w:t xml:space="preserve">piece_pdf-6.md</w:t>
            </w:r>
          </w:p>
        </w:tc>
        <w:tc>
          <w:p>
            <w:pPr>
              <w:pStyle w:val="Compact"/>
              <w:jc w:val="left"/>
            </w:pPr>
            <w:r>
              <w:t xml:space="preserve">Acceptation de la progression et transition vers 2-2-3</w:t>
            </w:r>
          </w:p>
        </w:tc>
        <w:tc>
          <w:p>
            <w:pPr>
              <w:pStyle w:val="Compact"/>
              <w:jc w:val="left"/>
            </w:pPr>
            <w:r>
              <w:t xml:space="preserve">disponible</w:t>
            </w:r>
          </w:p>
        </w:tc>
      </w:tr>
      <w:tr>
        <w:tc>
          <w:p>
            <w:pPr>
              <w:pStyle w:val="Compact"/>
              <w:jc w:val="left"/>
            </w:pPr>
            <w:r>
              <w:t xml:space="preserve">Contexte 1-2</w:t>
            </w:r>
          </w:p>
        </w:tc>
        <w:tc>
          <w:p>
            <w:pPr>
              <w:pStyle w:val="Compact"/>
              <w:jc w:val="left"/>
            </w:pPr>
            <w:r>
              <w:rPr>
                <w:rStyle w:val="VerbatimChar"/>
              </w:rPr>
              <w:t xml:space="preserve">piece_pdf-1.md</w:t>
            </w:r>
            <w:r>
              <w:t xml:space="preserve">, C1, C3, C5</w:t>
            </w:r>
          </w:p>
        </w:tc>
        <w:tc>
          <w:p>
            <w:pPr>
              <w:pStyle w:val="Compact"/>
              <w:jc w:val="left"/>
            </w:pPr>
            <w:r>
              <w:t xml:space="preserve">Allégations et mesures envisagées en 2013</w:t>
            </w:r>
          </w:p>
        </w:tc>
        <w:tc>
          <w:p>
            <w:pPr>
              <w:pStyle w:val="Compact"/>
              <w:jc w:val="left"/>
            </w:pPr>
            <w:r>
              <w:t xml:space="preserve">disponible</w:t>
            </w:r>
          </w:p>
        </w:tc>
      </w:tr>
      <w:tr>
        <w:tc>
          <w:p>
            <w:pPr>
              <w:pStyle w:val="Compact"/>
              <w:jc w:val="left"/>
            </w:pPr>
            <w:r>
              <w:t xml:space="preserve">Contexte 3</w:t>
            </w:r>
          </w:p>
        </w:tc>
        <w:tc>
          <w:p>
            <w:pPr>
              <w:pStyle w:val="Compact"/>
              <w:jc w:val="left"/>
            </w:pPr>
            <w:r>
              <w:t xml:space="preserve">Email id=365</w:t>
            </w:r>
          </w:p>
        </w:tc>
        <w:tc>
          <w:p>
            <w:pPr>
              <w:pStyle w:val="Compact"/>
              <w:jc w:val="left"/>
            </w:pPr>
            <w:r>
              <w:t xml:space="preserve">Consultation de Me Pringle</w:t>
            </w:r>
          </w:p>
        </w:tc>
        <w:tc>
          <w:p>
            <w:pPr>
              <w:pStyle w:val="Compact"/>
              <w:jc w:val="left"/>
            </w:pPr>
            <w:r>
              <w:t xml:space="preserve">pièce à formaliser</w:t>
            </w:r>
          </w:p>
        </w:tc>
      </w:tr>
      <w:tr>
        <w:tc>
          <w:p>
            <w:pPr>
              <w:pStyle w:val="Compact"/>
              <w:jc w:val="left"/>
            </w:pPr>
            <w:r>
              <w:t xml:space="preserve">Contexte 4</w:t>
            </w:r>
          </w:p>
        </w:tc>
        <w:tc>
          <w:p>
            <w:pPr>
              <w:pStyle w:val="Compact"/>
              <w:jc w:val="left"/>
            </w:pPr>
            <w:r>
              <w:rPr>
                <w:rStyle w:val="VerbatimChar"/>
              </w:rPr>
              <w:t xml:space="preserve">piece_thread-109.md</w:t>
            </w:r>
            <w:r>
              <w:t xml:space="preserve">, C3</w:t>
            </w:r>
          </w:p>
        </w:tc>
        <w:tc>
          <w:p>
            <w:pPr>
              <w:pStyle w:val="Compact"/>
              <w:jc w:val="left"/>
            </w:pPr>
            <w:r>
              <w:t xml:space="preserve">Propos de la demanderesse sur Alexia</w:t>
            </w:r>
          </w:p>
        </w:tc>
        <w:tc>
          <w:p>
            <w:pPr>
              <w:pStyle w:val="Compact"/>
              <w:jc w:val="left"/>
            </w:pPr>
            <w:r>
              <w:t xml:space="preserve">disponible</w:t>
            </w:r>
          </w:p>
        </w:tc>
      </w:tr>
    </w:tbl>
    <w:p>
      <w:pPr>
        <w:pStyle w:val="Heading2"/>
      </w:pPr>
      <w:bookmarkStart w:id="130" w:name="prudences-de-rédaction-6"/>
      <w:r>
        <w:t xml:space="preserve">10. Prudences de rédaction</w:t>
      </w:r>
      <w:bookmarkEnd w:id="130"/>
    </w:p>
    <w:p>
      <w:pPr>
        <w:pStyle w:val="Compact"/>
        <w:numPr>
          <w:numId w:val="1061"/>
          <w:ilvl w:val="0"/>
        </w:numPr>
      </w:pPr>
      <w:r>
        <w:t xml:space="preserve">Conduire avec la concession, non avec une accusation de fausseté.</w:t>
      </w:r>
    </w:p>
    <w:p>
      <w:pPr>
        <w:pStyle w:val="Compact"/>
        <w:numPr>
          <w:numId w:val="1061"/>
          <w:ilvl w:val="0"/>
        </w:numPr>
      </w:pPr>
      <w:r>
        <w:t xml:space="preserve">Ne pas faire de ce bloc un duplicata des §14-17.</w:t>
      </w:r>
    </w:p>
    <w:p>
      <w:pPr>
        <w:pStyle w:val="Compact"/>
        <w:numPr>
          <w:numId w:val="1061"/>
          <w:ilvl w:val="0"/>
        </w:numPr>
      </w:pPr>
      <w:r>
        <w:t xml:space="preserve">Dans la procédure, renvoyer narrativement aux positions formelles déjà exposées, sans répéter les pièces ni les verbatims.</w:t>
      </w:r>
    </w:p>
    <w:p>
      <w:pPr>
        <w:pStyle w:val="Compact"/>
        <w:numPr>
          <w:numId w:val="1061"/>
          <w:ilvl w:val="0"/>
        </w:numPr>
      </w:pPr>
      <w:r>
        <w:t xml:space="preserve">Réserver l’effet cumulatif de l’omission aux moyens de droit.</w:t>
      </w:r>
    </w:p>
    <w:p>
      <w:pPr>
        <w:pStyle w:val="Compact"/>
        <w:numPr>
          <w:numId w:val="1061"/>
          <w:ilvl w:val="0"/>
        </w:numPr>
      </w:pPr>
      <w:r>
        <w:t xml:space="preserve">Maintenir ce bloc au second rang par rapport aux contradictions documentaires plus fortes des §9, §14-18.</w:t>
      </w:r>
    </w:p>
    <w:p>
      <w:pPr>
        <w:pStyle w:val="Heading2"/>
      </w:pPr>
      <w:bookmarkStart w:id="131" w:name="version-procédurale-distillée-6"/>
      <w:r>
        <w:t xml:space="preserve">11. Version procédurale distillée</w:t>
      </w:r>
      <w:bookmarkEnd w:id="131"/>
    </w:p>
    <w:p>
      <w:pPr>
        <w:pStyle w:val="Compact"/>
        <w:numPr>
          <w:numId w:val="1062"/>
          <w:ilvl w:val="0"/>
        </w:numPr>
      </w:pPr>
      <w:r>
        <w:t xml:space="preserve">La Requête alléguait également que les accès du demandeur avaient été fixés le dimanche de 16 h à 20 h pour coïncider avec ses visites chez ses parents et qu’il refusait de les exercer lorsque ceux-ci s’absentaient.</w:t>
      </w:r>
    </w:p>
    <w:p>
      <w:pPr>
        <w:pStyle w:val="Compact"/>
        <w:numPr>
          <w:numId w:val="1062"/>
          <w:ilvl w:val="0"/>
        </w:numPr>
      </w:pPr>
      <w:r>
        <w:t xml:space="preserve">Le demandeur ne conteste pas que l’horaire initial du dimanche se déroulait au domicile de ses parents ni qu’il avait participé à l’établissement de ce cadre.</w:t>
      </w:r>
    </w:p>
    <w:p>
      <w:pPr>
        <w:pStyle w:val="Compact"/>
        <w:numPr>
          <w:numId w:val="1062"/>
          <w:ilvl w:val="0"/>
        </w:numPr>
      </w:pPr>
      <w:r>
        <w:t xml:space="preserve">Le demandeur conteste toutefois que ce cadre initial puisse être présenté isolément comme l’expression complète de sa volonté parentale, compte tenu des positions formelles d’élargissement déjà exposées dans la procédure.</w:t>
      </w:r>
    </w:p>
    <w:p>
      <w:pPr>
        <w:pStyle w:val="Heading2"/>
      </w:pPr>
      <w:bookmarkStart w:id="132" w:name="usage-dans-la-demande-introductive-1"/>
      <w:r>
        <w:t xml:space="preserve">12. Usage dans la demande introductive</w:t>
      </w:r>
      <w:bookmarkEnd w:id="132"/>
    </w:p>
    <w:p>
      <w:pPr>
        <w:pStyle w:val="FirstParagraph"/>
      </w:pPr>
      <w:r>
        <w:t xml:space="preserve">Les trois paragraphes distillés doivent être placés immédiatement après le bloc §14-17. Les faits relatifs aux offres d’avril, août et septembre ne doivent pas être répétés puisqu’ils figurent déjà dans ce bloc.</w:t>
      </w:r>
    </w:p>
    <w:p>
      <w:pPr>
        <w:pStyle w:val="BodyText"/>
      </w:pPr>
      <w:r>
        <w:t xml:space="preserve">La contribution exacte du pont à la thèse générale est la suivante : les §20-21 ajoutent un exemple de</w:t>
      </w:r>
      <w:r>
        <w:t xml:space="preserve"> </w:t>
      </w:r>
      <w:r>
        <w:rPr>
          <w:b/>
        </w:rPr>
        <w:t xml:space="preserve">sélection d’un fait défavorable réel</w:t>
      </w:r>
      <w:r>
        <w:t xml:space="preserve">, présenté sans l’évolution documentaire qui en limite la portée. Ils renforcent une thèse d’omission cumulative, mais non une thèse de fabrication autonome.</w:t>
      </w:r>
    </w:p>
    <w:p>
      <w:r>
        <w:pict>
          <v:rect style="width:0;height:1.5pt" o:hralign="center" o:hrstd="t" o:hr="t"/>
        </w:pict>
      </w:r>
    </w:p>
    <w:p>
      <w:pPr>
        <w:pStyle w:val="Heading1"/>
      </w:pPr>
      <w:bookmarkStart w:id="133" w:name="Xf707dca7e19cda0975a9ffb6b8a03a10712a640"/>
      <w:r>
        <w:t xml:space="preserve">Pont — §23 et §24 de la Requête du 19 novembre 2015</w:t>
      </w:r>
      <w:bookmarkEnd w:id="133"/>
    </w:p>
    <w:p>
      <w:pPr>
        <w:pStyle w:val="Heading2"/>
      </w:pPr>
      <w:bookmarkStart w:id="134" w:name="allégations-visées-3"/>
      <w:r>
        <w:t xml:space="preserve">1. Allégations visées</w:t>
      </w:r>
      <w:bookmarkEnd w:id="134"/>
    </w:p>
    <w:p>
      <w:pPr>
        <w:pStyle w:val="BlockText"/>
      </w:pPr>
      <w:r>
        <w:rPr>
          <w:b/>
        </w:rPr>
        <w:t xml:space="preserve">§23</w:t>
      </w:r>
      <w:r>
        <w:t xml:space="preserve"> </w:t>
      </w:r>
      <w:r>
        <w:t xml:space="preserve">— « Bien que la demanderesse ait à plusieurs reprises offert au défendeur de prendre les enfants sur une base plus régulière et lui a proposé plus d’un scénario de garde, il a refusé et refuse toujours de les recevoir à son nouvel appartement. »</w:t>
      </w:r>
    </w:p>
    <w:p>
      <w:pPr>
        <w:pStyle w:val="BlockText"/>
      </w:pPr>
      <w:r>
        <w:rPr>
          <w:b/>
        </w:rPr>
        <w:t xml:space="preserve">§24</w:t>
      </w:r>
      <w:r>
        <w:t xml:space="preserve"> </w:t>
      </w:r>
      <w:r>
        <w:t xml:space="preserve">— « Depuis la rupture des parties, le défendeur a accepté de voir ses enfants sporadiquement au printemps 2015 et régulièrement les dimanches soirs depuis la période estivale 2015. »</w:t>
      </w:r>
    </w:p>
    <w:p>
      <w:pPr>
        <w:pStyle w:val="Heading2"/>
      </w:pPr>
      <w:bookmarkStart w:id="135" w:name="classification-et-objectif-1"/>
      <w:r>
        <w:t xml:space="preserve">2. Classification et objectif</w:t>
      </w:r>
      <w:bookmarkEnd w:id="135"/>
    </w:p>
    <w:p>
      <w:pPr>
        <w:pStyle w:val="FirstParagraph"/>
      </w:pPr>
      <w:r>
        <w:rPr>
          <w:b/>
        </w:rPr>
        <w:t xml:space="preserve">Classification : fait historique concédé ; refus fabriqué par un cadre de négociation que la demanderesse a elle-même fermé ; contradiction temporelle connue en renfort.</w:t>
      </w:r>
    </w:p>
    <w:p>
      <w:pPr>
        <w:pStyle w:val="BodyText"/>
      </w:pPr>
      <w:r>
        <w:t xml:space="preserve">Le demandeur ne nie ni son refus initial de certains scénarios d’accès à son appartement ni la fréquence limitée des accès effectivement exercés. Ses communications internes expliquent son motif, sans démontrer que la demanderesse le connaissait. Le cœur plaidable est la position formelle ultérieure, communiquée à Me Ayoub, qui acceptait une progression vers la garde partagée.</w:t>
      </w:r>
    </w:p>
    <w:p>
      <w:pPr>
        <w:pStyle w:val="BodyText"/>
      </w:pPr>
      <w:r>
        <w:rPr>
          <w:b/>
        </w:rPr>
        <w:t xml:space="preserve">Socle admissible (sans privilège) — l’incohérence interne de la Requête.</w:t>
      </w:r>
      <w:r>
        <w:t xml:space="preserve"> </w:t>
      </w:r>
      <w:r>
        <w:t xml:space="preserve">La Requête établit elle-même que l’horaire d’accès a été</w:t>
      </w:r>
      <w:r>
        <w:t xml:space="preserve"> </w:t>
      </w:r>
      <w:r>
        <w:rPr>
          <w:i/>
        </w:rPr>
        <w:t xml:space="preserve">« établi à la demande du défendeur »</w:t>
      </w:r>
      <w:r>
        <w:t xml:space="preserve"> </w:t>
      </w:r>
      <w:r>
        <w:t xml:space="preserve">(§20) et que le défendeur</w:t>
      </w:r>
      <w:r>
        <w:t xml:space="preserve"> </w:t>
      </w:r>
      <w:r>
        <w:rPr>
          <w:i/>
        </w:rPr>
        <w:t xml:space="preserve">« a accepté de voir ses enfants […] régulièrement les dimanches »</w:t>
      </w:r>
      <w:r>
        <w:t xml:space="preserve"> </w:t>
      </w:r>
      <w:r>
        <w:t xml:space="preserve">(§24). Au</w:t>
      </w:r>
      <w:r>
        <w:t xml:space="preserve"> </w:t>
      </w:r>
      <w:r>
        <w:rPr>
          <w:b/>
        </w:rPr>
        <w:t xml:space="preserve">§26</w:t>
      </w:r>
      <w:r>
        <w:t xml:space="preserve">, la demanderesse</w:t>
      </w:r>
      <w:r>
        <w:t xml:space="preserve"> </w:t>
      </w:r>
      <w:r>
        <w:rPr>
          <w:b/>
        </w:rPr>
        <w:t xml:space="preserve">demande au tribunal</w:t>
      </w:r>
      <w:r>
        <w:t xml:space="preserve"> </w:t>
      </w:r>
      <w:r>
        <w:t xml:space="preserve">de prendre acte qu’elle</w:t>
      </w:r>
      <w:r>
        <w:t xml:space="preserve"> </w:t>
      </w:r>
      <w:r>
        <w:rPr>
          <w:i/>
        </w:rPr>
        <w:t xml:space="preserve">« offre »</w:t>
      </w:r>
      <w:r>
        <w:t xml:space="preserve"> </w:t>
      </w:r>
      <w:r>
        <w:t xml:space="preserve">au défendeur des accès</w:t>
      </w:r>
      <w:r>
        <w:t xml:space="preserve"> </w:t>
      </w:r>
      <w:r>
        <w:rPr>
          <w:i/>
        </w:rPr>
        <w:t xml:space="preserve">« à raison d’une (1) fois par semaine »</w:t>
      </w:r>
      <w:r>
        <w:t xml:space="preserve"> </w:t>
      </w:r>
      <w:r>
        <w:t xml:space="preserve">— soit</w:t>
      </w:r>
      <w:r>
        <w:t xml:space="preserve"> </w:t>
      </w:r>
      <w:r>
        <w:rPr>
          <w:b/>
        </w:rPr>
        <w:t xml:space="preserve">l’arrangement même que le défendeur avait établi</w:t>
      </w:r>
      <w:r>
        <w:t xml:space="preserve">. La demanderesse ne peut, sans se contredire,</w:t>
      </w:r>
      <w:r>
        <w:t xml:space="preserve"> </w:t>
      </w:r>
      <w:r>
        <w:rPr>
          <w:i/>
        </w:rPr>
        <w:t xml:space="preserve">(i)</w:t>
      </w:r>
      <w:r>
        <w:t xml:space="preserve"> </w:t>
      </w:r>
      <w:r>
        <w:t xml:space="preserve">requérir cet accès hebdomadaire comme la mesure appropriée (§26)</w:t>
      </w:r>
      <w:r>
        <w:t xml:space="preserve"> </w:t>
      </w:r>
      <w:r>
        <w:rPr>
          <w:b/>
        </w:rPr>
        <w:t xml:space="preserve">et</w:t>
      </w:r>
      <w:r>
        <w:t xml:space="preserve"> </w:t>
      </w:r>
      <w:r>
        <w:rPr>
          <w:i/>
        </w:rPr>
        <w:t xml:space="preserve">(ii)</w:t>
      </w:r>
      <w:r>
        <w:t xml:space="preserve"> </w:t>
      </w:r>
      <w:r>
        <w:t xml:space="preserve">faire grief au défendeur (§23) que l’accès soit demeuré limité : le</w:t>
      </w:r>
      <w:r>
        <w:t xml:space="preserve"> </w:t>
      </w:r>
      <w:r>
        <w:rPr>
          <w:b/>
        </w:rPr>
        <w:t xml:space="preserve">même arrangement</w:t>
      </w:r>
      <w:r>
        <w:t xml:space="preserve"> </w:t>
      </w:r>
      <w:r>
        <w:t xml:space="preserve">est présenté à la fois comme son offre raisonnable et comme le refus du défendeur. Cette incohérence est</w:t>
      </w:r>
      <w:r>
        <w:t xml:space="preserve"> </w:t>
      </w:r>
      <w:r>
        <w:rPr>
          <w:b/>
        </w:rPr>
        <w:t xml:space="preserve">interne à la Requête</w:t>
      </w:r>
      <w:r>
        <w:t xml:space="preserve"> </w:t>
      </w:r>
      <w:r>
        <w:t xml:space="preserve">— aucune pièce de négociation, aucun privilège en jeu. Le §20 (accès établi</w:t>
      </w:r>
      <w:r>
        <w:t xml:space="preserve"> </w:t>
      </w:r>
      <w:r>
        <w:rPr>
          <w:i/>
        </w:rPr>
        <w:t xml:space="preserve">à la demande du défendeur</w:t>
      </w:r>
      <w:r>
        <w:t xml:space="preserve">) confirme de surcroît que la mesure restreinte est un</w:t>
      </w:r>
      <w:r>
        <w:t xml:space="preserve"> </w:t>
      </w:r>
      <w:r>
        <w:rPr>
          <w:b/>
        </w:rPr>
        <w:t xml:space="preserve">choix du défendeur</w:t>
      </w:r>
      <w:r>
        <w:t xml:space="preserve">, compatible avec la priorité qu’il donne à l’intérêt des enfants (préservation de leur routine) — et non un désintérêt : le §23</w:t>
      </w:r>
      <w:r>
        <w:t xml:space="preserve"> </w:t>
      </w:r>
      <w:r>
        <w:rPr>
          <w:b/>
        </w:rPr>
        <w:t xml:space="preserve">dénature ce choix en refus</w:t>
      </w:r>
      <w:r>
        <w:t xml:space="preserve">.</w:t>
      </w:r>
    </w:p>
    <w:p>
      <w:pPr>
        <w:pStyle w:val="BodyText"/>
      </w:pPr>
      <w:r>
        <w:rPr>
          <w:b/>
        </w:rPr>
        <w:t xml:space="preserve">Socle secondaire (grevé de privilège) — le cadre fermé par la demanderesse (les offres étaient irrecevables).</w:t>
      </w:r>
      <w:r>
        <w:t xml:space="preserve"> </w:t>
      </w:r>
      <w:r>
        <w:t xml:space="preserve">Le 27 avril 2015, la demanderesse a</w:t>
      </w:r>
      <w:r>
        <w:t xml:space="preserve"> </w:t>
      </w:r>
      <w:r>
        <w:rPr>
          <w:b/>
        </w:rPr>
        <w:t xml:space="preserve">elle-même</w:t>
      </w:r>
      <w:r>
        <w:t xml:space="preserve"> </w:t>
      </w:r>
      <w:r>
        <w:t xml:space="preserve">posé le cadre normatif des négociations :</w:t>
      </w:r>
      <w:r>
        <w:t xml:space="preserve"> </w:t>
      </w:r>
      <w:r>
        <w:rPr>
          <w:i/>
        </w:rPr>
        <w:t xml:space="preserve">« il y a contre-indication à l’établissement de la garde partagée des deux (2) enfants mineurs vu leur jeune âge et […] il n’est pas dans leur intérêt de modifier une routine établie depuis plus de deux mois »</w:t>
      </w:r>
      <w:r>
        <w:t xml:space="preserve"> </w:t>
      </w:r>
      <w:r>
        <w:t xml:space="preserve">(</w:t>
      </w:r>
      <w:hyperlink r:id="rId136">
        <w:r>
          <w:rPr>
            <w:rStyle w:val="Hyperlink"/>
          </w:rPr>
          <w:t xml:space="preserve">piece_pdf-3.md</w:t>
        </w:r>
      </w:hyperlink>
      <w:r>
        <w:t xml:space="preserve"> </w:t>
      </w:r>
      <w:r>
        <w:t xml:space="preserve">C2). Ce cadre</w:t>
      </w:r>
      <w:r>
        <w:t xml:space="preserve"> </w:t>
      </w:r>
      <w:r>
        <w:rPr>
          <w:b/>
        </w:rPr>
        <w:t xml:space="preserve">exclut a priori</w:t>
      </w:r>
      <w:r>
        <w:t xml:space="preserve"> </w:t>
      </w:r>
      <w:r>
        <w:t xml:space="preserve">la garde partagée 2-2-3 que le défendeur avait offerte le 20 avril comme</w:t>
      </w:r>
      <w:r>
        <w:t xml:space="preserve"> </w:t>
      </w:r>
      <w:r>
        <w:rPr>
          <w:b/>
        </w:rPr>
        <w:t xml:space="preserve">option d’implication accrue</w:t>
      </w:r>
      <w:r>
        <w:t xml:space="preserve"> </w:t>
      </w:r>
      <w:r>
        <w:t xml:space="preserve">(</w:t>
      </w:r>
      <w:hyperlink r:id="rId137">
        <w:r>
          <w:rPr>
            <w:rStyle w:val="Hyperlink"/>
          </w:rPr>
          <w:t xml:space="preserve">piece_pdf-2.md</w:t>
        </w:r>
      </w:hyperlink>
      <w:r>
        <w:t xml:space="preserve">) — le défendeur ayant par ailleurs lui-même établi l’accès mesuré (§20). Dès lors, toute « offre » que la demanderesse pouvait formuler pour « satisfaire » le défendeur était</w:t>
      </w:r>
      <w:r>
        <w:t xml:space="preserve"> </w:t>
      </w:r>
      <w:r>
        <w:rPr>
          <w:b/>
        </w:rPr>
        <w:t xml:space="preserve">structurellement irrecevable</w:t>
      </w:r>
      <w:r>
        <w:t xml:space="preserve"> </w:t>
      </w:r>
      <w:r>
        <w:t xml:space="preserve">: aucune ne pouvait accommoder ce que le cadre déclarait contre-indiqué. Le §23 — qui</w:t>
      </w:r>
      <w:r>
        <w:t xml:space="preserve"> </w:t>
      </w:r>
      <w:r>
        <w:rPr>
          <w:b/>
        </w:rPr>
        <w:t xml:space="preserve">reproduit presque mot pour mot</w:t>
      </w:r>
      <w:r>
        <w:t xml:space="preserve"> </w:t>
      </w:r>
      <w:r>
        <w:t xml:space="preserve">la lettre du 27 avril (</w:t>
      </w:r>
      <w:hyperlink r:id="rId136">
        <w:r>
          <w:rPr>
            <w:rStyle w:val="Hyperlink"/>
          </w:rPr>
          <w:t xml:space="preserve">piece_pdf-3.md</w:t>
        </w:r>
      </w:hyperlink>
      <w:r>
        <w:t xml:space="preserve"> </w:t>
      </w:r>
      <w:r>
        <w:t xml:space="preserve">C5) — présente alors comme</w:t>
      </w:r>
      <w:r>
        <w:t xml:space="preserve"> </w:t>
      </w:r>
      <w:r>
        <w:rPr>
          <w:i/>
        </w:rPr>
        <w:t xml:space="preserve">le refus du défendeur</w:t>
      </w:r>
      <w:r>
        <w:t xml:space="preserve"> </w:t>
      </w:r>
      <w:r>
        <w:t xml:space="preserve">ce qui est la</w:t>
      </w:r>
      <w:r>
        <w:t xml:space="preserve"> </w:t>
      </w:r>
      <w:r>
        <w:rPr>
          <w:b/>
        </w:rPr>
        <w:t xml:space="preserve">conséquence nécessaire d’un cadre fermé par la demanderesse elle-même</w:t>
      </w:r>
      <w:r>
        <w:t xml:space="preserve">.</w:t>
      </w:r>
    </w:p>
    <w:p>
      <w:pPr>
        <w:pStyle w:val="BodyText"/>
      </w:pPr>
      <w:r>
        <w:t xml:space="preserve">La « routine » invoquée est de surcroît</w:t>
      </w:r>
      <w:r>
        <w:t xml:space="preserve"> </w:t>
      </w:r>
      <w:r>
        <w:rPr>
          <w:b/>
        </w:rPr>
        <w:t xml:space="preserve">sa propre création</w:t>
      </w:r>
      <w:r>
        <w:t xml:space="preserve"> </w:t>
      </w:r>
      <w:r>
        <w:t xml:space="preserve">: l’arrangement post-séparation (départ du défendeur le 23 février 2015), érigé deux mois plus tard en « routine établie depuis plus de deux mois » dont la modification nuirait aux enfants —</w:t>
      </w:r>
      <w:r>
        <w:t xml:space="preserve"> </w:t>
      </w:r>
      <w:r>
        <w:rPr>
          <w:b/>
        </w:rPr>
        <w:t xml:space="preserve">ancre temporelle auto-limitante</w:t>
      </w:r>
      <w:r>
        <w:t xml:space="preserve"> </w:t>
      </w:r>
      <w:r>
        <w:t xml:space="preserve">(créer le statu quo, puis le geler contre tout changement). L’« intérêt des enfants / routine » fonctionne ici comme</w:t>
      </w:r>
      <w:r>
        <w:t xml:space="preserve"> </w:t>
      </w:r>
      <w:r>
        <w:rPr>
          <w:b/>
        </w:rPr>
        <w:t xml:space="preserve">instrument</w:t>
      </w:r>
      <w:r>
        <w:t xml:space="preserve"> </w:t>
      </w:r>
      <w:r>
        <w:t xml:space="preserve">de fermeture du cadre : voir</w:t>
      </w:r>
      <w:r>
        <w:t xml:space="preserve"> </w:t>
      </w:r>
      <w:hyperlink r:id="rId138">
        <w:r>
          <w:rPr>
            <w:rStyle w:val="Hyperlink"/>
          </w:rPr>
          <w:t xml:space="preserve">these_norme_instrument_soumission.md</w:t>
        </w:r>
      </w:hyperlink>
      <w:r>
        <w:t xml:space="preserve"> </w:t>
      </w:r>
      <w:r>
        <w:t xml:space="preserve">et [[feedback_stabilite_inversee]] (la stabilité invoquée pour exclure le père).</w:t>
      </w:r>
    </w:p>
    <w:p>
      <w:pPr>
        <w:pStyle w:val="BodyText"/>
      </w:pPr>
      <w:r>
        <w:rPr>
          <w:b/>
        </w:rPr>
        <w:t xml:space="preserve">Précision — la bonne foi garantie, retournée en épée (elle</w:t>
      </w:r>
      <w:r>
        <w:rPr>
          <w:b/>
        </w:rPr>
        <w:t xml:space="preserve"> </w:t>
      </w:r>
      <w:r>
        <w:rPr>
          <w:i/>
          <w:b/>
        </w:rPr>
        <w:t xml:space="preserve">exclut</w:t>
      </w:r>
      <w:r>
        <w:rPr>
          <w:b/>
        </w:rPr>
        <w:t xml:space="preserve"> </w:t>
      </w:r>
      <w:r>
        <w:rPr>
          <w:b/>
        </w:rPr>
        <w:t xml:space="preserve">et</w:t>
      </w:r>
      <w:r>
        <w:rPr>
          <w:b/>
        </w:rPr>
        <w:t xml:space="preserve"> </w:t>
      </w:r>
      <w:r>
        <w:rPr>
          <w:i/>
          <w:b/>
        </w:rPr>
        <w:t xml:space="preserve">explique</w:t>
      </w:r>
      <w:r>
        <w:rPr>
          <w:b/>
        </w:rPr>
        <w:t xml:space="preserve">).</w:t>
      </w:r>
      <w:r>
        <w:t xml:space="preserve"> </w:t>
      </w:r>
      <w:r>
        <w:t xml:space="preserve">On ne cherche</w:t>
      </w:r>
      <w:r>
        <w:t xml:space="preserve"> </w:t>
      </w:r>
      <w:r>
        <w:rPr>
          <w:b/>
        </w:rPr>
        <w:t xml:space="preserve">pas</w:t>
      </w:r>
      <w:r>
        <w:t xml:space="preserve"> </w:t>
      </w:r>
      <w:r>
        <w:t xml:space="preserve">à percer la présomption de bonne foi : on l’</w:t>
      </w:r>
      <w:r>
        <w:rPr>
          <w:b/>
        </w:rPr>
        <w:t xml:space="preserve">affirme</w:t>
      </w:r>
      <w:r>
        <w:t xml:space="preserve"> </w:t>
      </w:r>
      <w:r>
        <w:t xml:space="preserve">et l’on y</w:t>
      </w:r>
      <w:r>
        <w:t xml:space="preserve"> </w:t>
      </w:r>
      <w:r>
        <w:rPr>
          <w:b/>
        </w:rPr>
        <w:t xml:space="preserve">tient</w:t>
      </w:r>
      <w:r>
        <w:t xml:space="preserve"> </w:t>
      </w:r>
      <w:r>
        <w:t xml:space="preserve">Me Ayoub. Son code garantit sa sincérité ; on prend donc sa lettre du 27 avril pour sa position sincère. Or,</w:t>
      </w:r>
      <w:r>
        <w:t xml:space="preserve"> </w:t>
      </w:r>
      <w:r>
        <w:rPr>
          <w:b/>
        </w:rPr>
        <w:t xml:space="preserve">dans sa seule lettre du 27 avril</w:t>
      </w:r>
      <w:r>
        <w:t xml:space="preserve"> </w:t>
      </w:r>
      <w:r>
        <w:t xml:space="preserve">(pdf-3), elle</w:t>
      </w:r>
      <w:r>
        <w:t xml:space="preserve"> </w:t>
      </w:r>
      <w:r>
        <w:rPr>
          <w:b/>
        </w:rPr>
        <w:t xml:space="preserve">exclut</w:t>
      </w:r>
      <w:r>
        <w:t xml:space="preserve"> </w:t>
      </w:r>
      <w:r>
        <w:t xml:space="preserve">(C2 : le cadre retranche a priori l’option d’implication accrue que le défendeur avait offerte, la garde partagée)</w:t>
      </w:r>
      <w:r>
        <w:t xml:space="preserve"> </w:t>
      </w:r>
      <w:r>
        <w:rPr>
          <w:b/>
        </w:rPr>
        <w:t xml:space="preserve">et elle explique</w:t>
      </w:r>
      <w:r>
        <w:t xml:space="preserve"> </w:t>
      </w:r>
      <w:r>
        <w:t xml:space="preserve">(C5, même lettre) : « votre client a refusé et refuse toujours de les recevoir à son nouvel appartement » — narrant comme le refus du défendeur la non-acceptation qu’elle a elle-même</w:t>
      </w:r>
      <w:r>
        <w:t xml:space="preserve"> </w:t>
      </w:r>
      <w:r>
        <w:rPr>
          <w:b/>
        </w:rPr>
        <w:t xml:space="preserve">fabriquée</w:t>
      </w:r>
      <w:r>
        <w:t xml:space="preserve">, taisant la cause qu’elle a posée. Elle est ainsi,</w:t>
      </w:r>
      <w:r>
        <w:t xml:space="preserve"> </w:t>
      </w:r>
      <w:r>
        <w:rPr>
          <w:b/>
        </w:rPr>
        <w:t xml:space="preserve">dans son propre écrit</w:t>
      </w:r>
      <w:r>
        <w:t xml:space="preserve">,</w:t>
      </w:r>
      <w:r>
        <w:t xml:space="preserve"> </w:t>
      </w:r>
      <w:r>
        <w:rPr>
          <w:b/>
        </w:rPr>
        <w:t xml:space="preserve">à la fois l’auteure de l’impossibilité et la narratrice du blâme</w:t>
      </w:r>
      <w:r>
        <w:t xml:space="preserve">.</w:t>
      </w:r>
      <w:r>
        <w:t xml:space="preserve"> </w:t>
      </w:r>
      <w:r>
        <w:rPr>
          <w:i/>
        </w:rPr>
        <w:t xml:space="preserve">(La requête de novembre 2015 — rédigée par Me</w:t>
      </w:r>
      <w:r>
        <w:rPr>
          <w:i/>
        </w:rPr>
        <w:t xml:space="preserve"> </w:t>
      </w:r>
      <w:r>
        <w:rPr>
          <w:b/>
          <w:i/>
        </w:rPr>
        <w:t xml:space="preserve">Ferreira</w:t>
      </w:r>
      <w:r>
        <w:rPr>
          <w:i/>
        </w:rPr>
        <w:t xml:space="preserve">, jurée par</w:t>
      </w:r>
      <w:r>
        <w:rPr>
          <w:i/>
        </w:rPr>
        <w:t xml:space="preserve"> </w:t>
      </w:r>
      <w:r>
        <w:rPr>
          <w:b/>
          <w:i/>
        </w:rPr>
        <w:t xml:space="preserve">Élise</w:t>
      </w:r>
      <w:r>
        <w:rPr>
          <w:i/>
        </w:rPr>
        <w:t xml:space="preserve"> </w:t>
      </w:r>
      <w:r>
        <w:rPr>
          <w:i/>
        </w:rPr>
        <w:t xml:space="preserve">— ne fait que</w:t>
      </w:r>
      <w:r>
        <w:rPr>
          <w:i/>
        </w:rPr>
        <w:t xml:space="preserve"> </w:t>
      </w:r>
      <w:r>
        <w:rPr>
          <w:b/>
          <w:i/>
        </w:rPr>
        <w:t xml:space="preserve">reproduire</w:t>
      </w:r>
      <w:r>
        <w:rPr>
          <w:i/>
        </w:rPr>
        <w:t xml:space="preserve"> </w:t>
      </w:r>
      <w:r>
        <w:rPr>
          <w:i/>
        </w:rPr>
        <w:t xml:space="preserve">au §23 cette caractérisation d’avril ; l’autorat du récit est celui de Me Ayoub, avril, non de la requête.)</w:t>
      </w:r>
      <w:r>
        <w:t xml:space="preserve"> </w:t>
      </w:r>
      <w:r>
        <w:t xml:space="preserve">Dilemme :</w:t>
      </w:r>
      <w:r>
        <w:t xml:space="preserve"> </w:t>
      </w:r>
      <w:r>
        <w:rPr>
          <w:i/>
        </w:rPr>
        <w:t xml:space="preserve">(A)</w:t>
      </w:r>
      <w:r>
        <w:t xml:space="preserve"> </w:t>
      </w:r>
      <w:r>
        <w:t xml:space="preserve">si le cadre est sincère, ce n’était pas une négociation (refus déguisé, la légitimité tombe) ;</w:t>
      </w:r>
      <w:r>
        <w:t xml:space="preserve"> </w:t>
      </w:r>
      <w:r>
        <w:rPr>
          <w:i/>
        </w:rPr>
        <w:t xml:space="preserve">(B)</w:t>
      </w:r>
      <w:r>
        <w:t xml:space="preserve"> </w:t>
      </w:r>
      <w:r>
        <w:t xml:space="preserve">s’il ne l’est pas, la garantie est violée. Sa conduite tranche pour B : dans la</w:t>
      </w:r>
      <w:r>
        <w:t xml:space="preserve"> </w:t>
      </w:r>
      <w:r>
        <w:rPr>
          <w:b/>
        </w:rPr>
        <w:t xml:space="preserve">même lettre</w:t>
      </w:r>
      <w:r>
        <w:t xml:space="preserve"> </w:t>
      </w:r>
      <w:r>
        <w:t xml:space="preserve">elle offre des nuitées (pdf-3 C3), incompatibles avec la « contre-indication » invoquée → motif</w:t>
      </w:r>
      <w:r>
        <w:t xml:space="preserve"> </w:t>
      </w:r>
      <w:r>
        <w:rPr>
          <w:b/>
        </w:rPr>
        <w:t xml:space="preserve">prétexte</w:t>
      </w:r>
      <w:r>
        <w:t xml:space="preserve">, et</w:t>
      </w:r>
      <w:r>
        <w:t xml:space="preserve"> </w:t>
      </w:r>
      <w:r>
        <w:rPr>
          <w:b/>
        </w:rPr>
        <w:t xml:space="preserve">scienter</w:t>
      </w:r>
      <w:r>
        <w:t xml:space="preserve"> </w:t>
      </w:r>
      <w:r>
        <w:t xml:space="preserve">(sa lettre contient</w:t>
      </w:r>
      <w:r>
        <w:t xml:space="preserve"> </w:t>
      </w:r>
      <w:r>
        <w:rPr>
          <w:i/>
        </w:rPr>
        <w:t xml:space="preserve">simultanément</w:t>
      </w:r>
      <w:r>
        <w:t xml:space="preserve"> </w:t>
      </w:r>
      <w:r>
        <w:t xml:space="preserve">l’exclusion C2 et l’offre de nuitées C3 qui la dément). Abus mesuré</w:t>
      </w:r>
      <w:r>
        <w:t xml:space="preserve"> </w:t>
      </w:r>
      <w:r>
        <w:rPr>
          <w:b/>
        </w:rPr>
        <w:t xml:space="preserve">à l’aune de son propre code</w:t>
      </w:r>
      <w:r>
        <w:t xml:space="preserve"> </w:t>
      </w:r>
      <w:r>
        <w:t xml:space="preserve">—</w:t>
      </w:r>
      <w:r>
        <w:t xml:space="preserve"> </w:t>
      </w:r>
      <w:r>
        <w:rPr>
          <w:i/>
        </w:rPr>
        <w:t xml:space="preserve">Code de déontologie des avocats</w:t>
      </w:r>
      <w:r>
        <w:t xml:space="preserve"> </w:t>
      </w:r>
      <w:r>
        <w:t xml:space="preserve">art.</w:t>
      </w:r>
      <w:r>
        <w:t xml:space="preserve"> </w:t>
      </w:r>
      <w:r>
        <w:rPr>
          <w:b/>
        </w:rPr>
        <w:t xml:space="preserve">119</w:t>
      </w:r>
      <w:r>
        <w:t xml:space="preserve"> </w:t>
      </w:r>
      <w:r>
        <w:t xml:space="preserve">(ne pas induire en erreur une partie ni surprendre sa bonne foi), art.</w:t>
      </w:r>
      <w:r>
        <w:t xml:space="preserve"> </w:t>
      </w:r>
      <w:r>
        <w:rPr>
          <w:b/>
        </w:rPr>
        <w:t xml:space="preserve">19</w:t>
      </w:r>
      <w:r>
        <w:t xml:space="preserve"> </w:t>
      </w:r>
      <w:r>
        <w:t xml:space="preserve">(ne pas transmettre un écrit « faux</w:t>
      </w:r>
      <w:r>
        <w:t xml:space="preserve"> </w:t>
      </w:r>
      <w:r>
        <w:rPr>
          <w:b/>
        </w:rPr>
        <w:t xml:space="preserve">ou qu’il devrait savoir faux</w:t>
      </w:r>
      <w:r>
        <w:t xml:space="preserve"> </w:t>
      </w:r>
      <w:r>
        <w:t xml:space="preserve">» — standard de scienter intégré), art.</w:t>
      </w:r>
      <w:r>
        <w:t xml:space="preserve"> </w:t>
      </w:r>
      <w:r>
        <w:rPr>
          <w:b/>
        </w:rPr>
        <w:t xml:space="preserve">113</w:t>
      </w:r>
      <w:r>
        <w:t xml:space="preserve"> </w:t>
      </w:r>
      <w:r>
        <w:t xml:space="preserve">(bonne foi ; pas de procédure « dans le seul but de nuire ») (</w:t>
      </w:r>
      <w:hyperlink r:id="rId139">
        <w:r>
          <w:rPr>
            <w:rStyle w:val="Hyperlink"/>
          </w:rPr>
          <w:t xml:space="preserve">piece_pdf-92.md</w:t>
        </w:r>
      </w:hyperlink>
      <w:r>
        <w:t xml:space="preserve">) — prouvé par présomptions de fait (art. 2805 → 2849 C.c.Q.), sans accusation préalable. Développement :</w:t>
      </w:r>
      <w:r>
        <w:t xml:space="preserve"> </w:t>
      </w:r>
      <w:hyperlink r:id="rId138">
        <w:r>
          <w:rPr>
            <w:rStyle w:val="Hyperlink"/>
          </w:rPr>
          <w:t xml:space="preserve">these_norme_instrument_soumission.md</w:t>
        </w:r>
      </w:hyperlink>
      <w:r>
        <w:t xml:space="preserve"> </w:t>
      </w:r>
      <w:r>
        <w:t xml:space="preserve">§3-bis.</w:t>
      </w:r>
    </w:p>
    <w:p>
      <w:pPr>
        <w:pStyle w:val="Heading2"/>
      </w:pPr>
      <w:bookmarkStart w:id="140" w:name="force-probatoire-7"/>
      <w:r>
        <w:t xml:space="preserve">3. Force probatoire</w:t>
      </w:r>
      <w:bookmarkEnd w:id="140"/>
    </w:p>
    <w:p>
      <w:pPr>
        <w:pStyle w:val="FirstParagraph"/>
      </w:pPr>
      <w:r>
        <w:rPr>
          <w:b/>
        </w:rPr>
        <w:t xml:space="preserve">Moyenne à forte sur le plan documentaire; force procédurale conditionnelle.</w:t>
      </w:r>
    </w:p>
    <w:p>
      <w:pPr>
        <w:pStyle w:val="Compact"/>
        <w:numPr>
          <w:numId w:val="1063"/>
          <w:ilvl w:val="0"/>
        </w:numPr>
      </w:pPr>
      <w:r>
        <w:t xml:space="preserve">Le motif du refus est exprimé dans des courriels avocat-client, mais ceux-ci ne démontrent pas la connaissance de la demanderesse.</w:t>
      </w:r>
    </w:p>
    <w:p>
      <w:pPr>
        <w:pStyle w:val="Compact"/>
        <w:numPr>
          <w:numId w:val="1063"/>
          <w:ilvl w:val="0"/>
        </w:numPr>
      </w:pPr>
      <w:r>
        <w:t xml:space="preserve">La position ultérieure est exprimée formellement par son procureur le 2 septembre et adressée à Me Ayoub.</w:t>
      </w:r>
    </w:p>
    <w:p>
      <w:pPr>
        <w:pStyle w:val="Compact"/>
        <w:numPr>
          <w:numId w:val="1063"/>
          <w:ilvl w:val="0"/>
        </w:numPr>
      </w:pPr>
      <w:r>
        <w:t xml:space="preserve">La limite demeure que la progression n’est pas démontrée comme ayant été effectivement mise en œuvre avant novembre.</w:t>
      </w:r>
    </w:p>
    <w:p>
      <w:pPr>
        <w:pStyle w:val="Compact"/>
        <w:numPr>
          <w:numId w:val="1063"/>
          <w:ilvl w:val="0"/>
        </w:numPr>
      </w:pPr>
      <w:r>
        <w:t xml:space="preserve">Les échanges du 13 août et du 2 septembre peuvent relever du privilège relatif aux règlements; leur usage doit être validé.</w:t>
      </w:r>
    </w:p>
    <w:p>
      <w:pPr>
        <w:pStyle w:val="Heading2"/>
      </w:pPr>
      <w:bookmarkStart w:id="141" w:name="concessions-1"/>
      <w:r>
        <w:t xml:space="preserve">4. Concessions</w:t>
      </w:r>
      <w:bookmarkEnd w:id="141"/>
    </w:p>
    <w:p>
      <w:pPr>
        <w:pStyle w:val="Compact"/>
        <w:numPr>
          <w:numId w:val="1064"/>
          <w:ilvl w:val="0"/>
        </w:numPr>
      </w:pPr>
      <w:r>
        <w:t xml:space="preserve">Au printemps 2015, le demandeur a refusé de recevoir les enfants à son appartement selon les scénarios alors proposés.</w:t>
      </w:r>
    </w:p>
    <w:p>
      <w:pPr>
        <w:pStyle w:val="Compact"/>
        <w:numPr>
          <w:numId w:val="1064"/>
          <w:ilvl w:val="0"/>
        </w:numPr>
      </w:pPr>
      <w:r>
        <w:t xml:space="preserve">Les accès exercés ont été sporadiques au printemps puis réguliers les dimanches depuis l’été.</w:t>
      </w:r>
    </w:p>
    <w:p>
      <w:pPr>
        <w:pStyle w:val="Compact"/>
        <w:numPr>
          <w:numId w:val="1064"/>
          <w:ilvl w:val="0"/>
        </w:numPr>
      </w:pPr>
      <w:r>
        <w:t xml:space="preserve">Le demandeur a aussi mentionné ne pas vouloir poursuivre une discussion coûteuse qu’il croyait sans issue.</w:t>
      </w:r>
    </w:p>
    <w:p>
      <w:pPr>
        <w:pStyle w:val="Heading2"/>
      </w:pPr>
      <w:bookmarkStart w:id="142" w:name="faits-documentés-et-statut"/>
      <w:r>
        <w:t xml:space="preserve">5. Faits documentés et statut</w:t>
      </w:r>
      <w:bookmarkEnd w:id="142"/>
    </w:p>
    <w:p>
      <w:pPr>
        <w:pStyle w:val="Compact"/>
        <w:numPr>
          <w:numId w:val="1065"/>
          <w:ilvl w:val="0"/>
        </w:numPr>
      </w:pPr>
      <w:r>
        <w:t xml:space="preserve">Le 20 avril 2015, le demandeur a proposé une garde partagée 2-2-3.</w:t>
      </w:r>
    </w:p>
    <w:p>
      <w:pPr>
        <w:pStyle w:val="Compact"/>
        <w:numPr>
          <w:numId w:val="1065"/>
          <w:ilvl w:val="0"/>
        </w:numPr>
      </w:pPr>
      <w:r>
        <w:t xml:space="preserve">Le 27 avril, la demanderesse a refusé cette proposition en invoquant le jeune âge des enfants et leur intérêt à ne pas modifier une routine établie depuis plus de deux mois.</w:t>
      </w:r>
    </w:p>
    <w:p>
      <w:pPr>
        <w:pStyle w:val="Compact"/>
        <w:numPr>
          <w:numId w:val="1065"/>
          <w:ilvl w:val="0"/>
        </w:numPr>
      </w:pPr>
      <w:r>
        <w:t xml:space="preserve">La même lettre offrait des accès avec nuitées et affirmait que le demandeur refusait de recevoir les enfants à son appartement.</w:t>
      </w:r>
    </w:p>
    <w:p>
      <w:pPr>
        <w:pStyle w:val="Compact"/>
        <w:numPr>
          <w:numId w:val="1065"/>
          <w:ilvl w:val="0"/>
        </w:numPr>
      </w:pPr>
      <w:r>
        <w:t xml:space="preserve">Le jour même, le demandeur a écrit à son avocat qu’il maintiendrait les accès existants « dans le but de ne pas changer la routine établie des enfants »; cette communication demeure une source interne potentiellement privilégiée.</w:t>
      </w:r>
    </w:p>
    <w:p>
      <w:pPr>
        <w:pStyle w:val="Compact"/>
        <w:numPr>
          <w:numId w:val="1065"/>
          <w:ilvl w:val="0"/>
        </w:numPr>
      </w:pPr>
      <w:r>
        <w:t xml:space="preserve">Le 8 mai, il a écrit à son avocat qu’il estimait la garde partagée préférable, mais s’en remettait à l’opinion adverse selon laquelle modifier la routine n’était pas dans l’intérêt des enfants; cette communication demeure également interne.</w:t>
      </w:r>
    </w:p>
    <w:p>
      <w:pPr>
        <w:pStyle w:val="Compact"/>
        <w:numPr>
          <w:numId w:val="1065"/>
          <w:ilvl w:val="0"/>
        </w:numPr>
      </w:pPr>
      <w:r>
        <w:t xml:space="preserve">Il a conclu, dans cette communication interne, que, « toujours dans l’intérêt des enfants », il devait refuser la progression alors proposée et maintenir les accès existants.</w:t>
      </w:r>
    </w:p>
    <w:p>
      <w:pPr>
        <w:pStyle w:val="Compact"/>
        <w:numPr>
          <w:numId w:val="1065"/>
          <w:ilvl w:val="0"/>
        </w:numPr>
      </w:pPr>
      <w:r>
        <w:t xml:space="preserve">Le 13 août, un projet non signé de la demanderesse a proposé une progression comprenant des nuitées au demandeur.</w:t>
      </w:r>
    </w:p>
    <w:p>
      <w:pPr>
        <w:pStyle w:val="Compact"/>
        <w:numPr>
          <w:numId w:val="1065"/>
          <w:ilvl w:val="0"/>
        </w:numPr>
      </w:pPr>
      <w:r>
        <w:t xml:space="preserve">Le 2 septembre, le demandeur a formellement accepté le principe de cette progression et demandé qu’elle mène à une garde partagée 2-2-3 le 7 février 2016.</w:t>
      </w:r>
    </w:p>
    <w:p>
      <w:pPr>
        <w:pStyle w:val="Compact"/>
        <w:numPr>
          <w:numId w:val="1065"/>
          <w:ilvl w:val="0"/>
        </w:numPr>
      </w:pPr>
      <w:r>
        <w:t xml:space="preserve">La Requête du 19 novembre affirme néanmoins qu’il « refuse toujours » de recevoir les enfants à son appartement, sans mentionner la réponse du 2 septembre.</w:t>
      </w:r>
    </w:p>
    <w:p>
      <w:pPr>
        <w:pStyle w:val="Heading2"/>
      </w:pPr>
      <w:bookmarkStart w:id="143" w:name="inférences-réservées-aux-moyens-7"/>
      <w:r>
        <w:t xml:space="preserve">6. Inférences réservées aux moyens</w:t>
      </w:r>
      <w:bookmarkEnd w:id="143"/>
    </w:p>
    <w:p>
      <w:pPr>
        <w:pStyle w:val="Compact"/>
        <w:numPr>
          <w:numId w:val="1066"/>
          <w:ilvl w:val="0"/>
        </w:numPr>
      </w:pPr>
      <w:r>
        <w:t xml:space="preserve">Les communications internes permettent au demandeur d’expliquer son refus; elles ne permettent pas, sans preuve additionnelle, de reprocher à la demanderesse d’avoir tu un motif qu’elle ignorait.</w:t>
      </w:r>
    </w:p>
    <w:p>
      <w:pPr>
        <w:pStyle w:val="Compact"/>
        <w:numPr>
          <w:numId w:val="1066"/>
          <w:ilvl w:val="0"/>
        </w:numPr>
      </w:pPr>
      <w:r>
        <w:t xml:space="preserve">La formulation « refuse toujours » fige une position du printemps et omet la réponse formelle plus récente acceptant une progression avec nuitées.</w:t>
      </w:r>
    </w:p>
    <w:p>
      <w:pPr>
        <w:pStyle w:val="Compact"/>
        <w:numPr>
          <w:numId w:val="1066"/>
          <w:ilvl w:val="0"/>
        </w:numPr>
      </w:pPr>
      <w:r>
        <w:t xml:space="preserve">Le §24 décrit les accès exercés, mais ne suffit pas à établir que cette fréquence représentait l’objectif parental du demandeur.</w:t>
      </w:r>
    </w:p>
    <w:p>
      <w:pPr>
        <w:pStyle w:val="Compact"/>
        <w:numPr>
          <w:numId w:val="1066"/>
          <w:ilvl w:val="0"/>
        </w:numPr>
      </w:pPr>
      <w:r>
        <w:t xml:space="preserve">La juxtaposition des §23-24 transforme un refus historique, suivi d’une évolution formelle, en refus persistant.</w:t>
      </w:r>
    </w:p>
    <w:p>
      <w:pPr>
        <w:pStyle w:val="Compact"/>
        <w:numPr>
          <w:numId w:val="1066"/>
          <w:ilvl w:val="0"/>
        </w:numPr>
      </w:pPr>
      <w:r>
        <w:rPr>
          <w:b/>
        </w:rPr>
        <w:t xml:space="preserve">Le refus était structurellement inévitable dans le cadre posé par la demanderesse.</w:t>
      </w:r>
      <w:r>
        <w:t xml:space="preserve"> </w:t>
      </w:r>
      <w:r>
        <w:t xml:space="preserve">Ayant déclaré la garde partagée contre-indiquée et la modification de la routine contraire à l’intérêt des enfants, la demanderesse a fermé la négociation autour de la position même du défendeur ; les « offres » du §23 ne pouvaient donc l’accommoder. Reprocher le refus d’offres rendues inacceptables par son propre cadre est incohérent.</w:t>
      </w:r>
    </w:p>
    <w:p>
      <w:pPr>
        <w:pStyle w:val="Compact"/>
        <w:numPr>
          <w:numId w:val="1066"/>
          <w:ilvl w:val="0"/>
        </w:numPr>
      </w:pPr>
      <w:r>
        <w:rPr>
          <w:b/>
        </w:rPr>
        <w:t xml:space="preserve">La « routine » invoquée est la création de la demanderesse</w:t>
      </w:r>
      <w:r>
        <w:t xml:space="preserve"> </w:t>
      </w:r>
      <w:r>
        <w:t xml:space="preserve">: arrangement issu de la séparation qu’elle a provoquée, érigé deux mois plus tard en motif d’exclusion du changement. Le critère de stabilité, appliqué à la réalité, se retourne (cf. [[feedback_stabilite_inversee]]).</w:t>
      </w:r>
    </w:p>
    <w:p>
      <w:pPr>
        <w:pStyle w:val="Compact"/>
        <w:numPr>
          <w:numId w:val="1066"/>
          <w:ilvl w:val="0"/>
        </w:numPr>
      </w:pPr>
      <w:r>
        <w:rPr>
          <w:b/>
        </w:rPr>
        <w:t xml:space="preserve">Le « refus » du défendeur consistait à adopter le propre critère de la demanderesse</w:t>
      </w:r>
      <w:r>
        <w:t xml:space="preserve"> </w:t>
      </w:r>
      <w:r>
        <w:t xml:space="preserve">: dans sa communication du 8 mai (fait 6 —</w:t>
      </w:r>
      <w:r>
        <w:t xml:space="preserve"> </w:t>
      </w:r>
      <w:r>
        <w:rPr>
          <w:i/>
        </w:rPr>
        <w:t xml:space="preserve">avocat-client, à ne produire que sur renonciation du défendeur</w:t>
      </w:r>
      <w:r>
        <w:t xml:space="preserve">), il reprend mot pour mot le motif « intérêt des enfants / routine établie » pour maintenir les accès existants. §23 présente comme son refus une acquiescence à la position qu’elle avait posée.</w:t>
      </w:r>
    </w:p>
    <w:p>
      <w:pPr>
        <w:pStyle w:val="Heading2"/>
      </w:pPr>
      <w:bookmarkStart w:id="144" w:name="inférences-exclues-2"/>
      <w:r>
        <w:t xml:space="preserve">7. Inférences exclues</w:t>
      </w:r>
      <w:bookmarkEnd w:id="144"/>
    </w:p>
    <w:p>
      <w:pPr>
        <w:pStyle w:val="Compact"/>
        <w:numPr>
          <w:numId w:val="1067"/>
          <w:ilvl w:val="0"/>
        </w:numPr>
      </w:pPr>
      <w:r>
        <w:t xml:space="preserve">Ne pas nier le refus initial ni les accès limités.</w:t>
      </w:r>
    </w:p>
    <w:p>
      <w:pPr>
        <w:pStyle w:val="Compact"/>
        <w:numPr>
          <w:numId w:val="1067"/>
          <w:ilvl w:val="0"/>
        </w:numPr>
      </w:pPr>
      <w:r>
        <w:t xml:space="preserve">Ne pas affirmer que les accusations de 2013 ont causé ce refus.</w:t>
      </w:r>
    </w:p>
    <w:p>
      <w:pPr>
        <w:pStyle w:val="Compact"/>
        <w:numPr>
          <w:numId w:val="1067"/>
          <w:ilvl w:val="0"/>
        </w:numPr>
      </w:pPr>
      <w:r>
        <w:t xml:space="preserve">Ne pas qualifier les scénarios de « choix empoisonné » comme fait.</w:t>
      </w:r>
    </w:p>
    <w:p>
      <w:pPr>
        <w:pStyle w:val="Compact"/>
        <w:numPr>
          <w:numId w:val="1067"/>
          <w:ilvl w:val="0"/>
        </w:numPr>
      </w:pPr>
      <w:r>
        <w:t xml:space="preserve">Ne pas affirmer que la progression a été mise en œuvre avant novembre.</w:t>
      </w:r>
    </w:p>
    <w:p>
      <w:pPr>
        <w:pStyle w:val="Compact"/>
        <w:numPr>
          <w:numId w:val="1067"/>
          <w:ilvl w:val="0"/>
        </w:numPr>
      </w:pPr>
      <w:r>
        <w:t xml:space="preserve">Ne pas effacer le motif additionnel relatif au coût et à l’absence anticipée d’issue des discussions.</w:t>
      </w:r>
    </w:p>
    <w:p>
      <w:pPr>
        <w:pStyle w:val="Compact"/>
        <w:numPr>
          <w:numId w:val="1067"/>
          <w:ilvl w:val="0"/>
        </w:numPr>
      </w:pPr>
      <w:r>
        <w:t xml:space="preserve">Ne pas attribuer à la demanderesse la connaissance des courriels internes des 27 avril et 8 mai.</w:t>
      </w:r>
    </w:p>
    <w:p>
      <w:pPr>
        <w:pStyle w:val="Heading2"/>
      </w:pPr>
      <w:bookmarkStart w:id="145" w:name="pièces-nécessaires-6"/>
      <w:r>
        <w:t xml:space="preserve">8. Pièces nécessaires</w:t>
      </w:r>
      <w:bookmarkEnd w:id="1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rPr>
                <w:rStyle w:val="VerbatimChar"/>
              </w:rPr>
              <w:t xml:space="preserve">piece_pdf-2.md</w:t>
            </w:r>
          </w:p>
        </w:tc>
        <w:tc>
          <w:p>
            <w:pPr>
              <w:pStyle w:val="Compact"/>
              <w:jc w:val="left"/>
            </w:pPr>
            <w:r>
              <w:t xml:space="preserve">disponible; privilège de règlement à évaluer</w:t>
            </w:r>
          </w:p>
        </w:tc>
      </w:tr>
      <w:tr>
        <w:tc>
          <w:p>
            <w:pPr>
              <w:pStyle w:val="Compact"/>
              <w:jc w:val="left"/>
            </w:pPr>
            <w:r>
              <w:t xml:space="preserve">2-3</w:t>
            </w:r>
          </w:p>
        </w:tc>
        <w:tc>
          <w:p>
            <w:pPr>
              <w:pStyle w:val="Compact"/>
              <w:jc w:val="left"/>
            </w:pPr>
            <w:r>
              <w:rPr>
                <w:rStyle w:val="VerbatimChar"/>
              </w:rPr>
              <w:t xml:space="preserve">piece_pdf-3.md</w:t>
            </w:r>
            <w:r>
              <w:t xml:space="preserve">, C2-C3-C5</w:t>
            </w:r>
          </w:p>
        </w:tc>
        <w:tc>
          <w:p>
            <w:pPr>
              <w:pStyle w:val="Compact"/>
              <w:jc w:val="left"/>
            </w:pPr>
            <w:r>
              <w:t xml:space="preserve">disponible; privilège de règlement à évaluer</w:t>
            </w:r>
          </w:p>
        </w:tc>
      </w:tr>
      <w:tr>
        <w:tc>
          <w:p>
            <w:pPr>
              <w:pStyle w:val="Compact"/>
              <w:jc w:val="left"/>
            </w:pPr>
            <w:r>
              <w:t xml:space="preserve">4</w:t>
            </w:r>
          </w:p>
        </w:tc>
        <w:tc>
          <w:p>
            <w:pPr>
              <w:pStyle w:val="Compact"/>
              <w:jc w:val="left"/>
            </w:pPr>
            <w:r>
              <w:rPr>
                <w:rStyle w:val="VerbatimChar"/>
              </w:rPr>
              <w:t xml:space="preserve">piece_thread-100_email-399.md</w:t>
            </w:r>
          </w:p>
        </w:tc>
        <w:tc>
          <w:p>
            <w:pPr>
              <w:pStyle w:val="Compact"/>
              <w:jc w:val="left"/>
            </w:pPr>
            <w:r>
              <w:t xml:space="preserve">disponible; privilège avocat-client à évaluer</w:t>
            </w:r>
          </w:p>
        </w:tc>
      </w:tr>
      <w:tr>
        <w:tc>
          <w:p>
            <w:pPr>
              <w:pStyle w:val="Compact"/>
              <w:jc w:val="left"/>
            </w:pPr>
            <w:r>
              <w:t xml:space="preserve">5-6</w:t>
            </w:r>
          </w:p>
        </w:tc>
        <w:tc>
          <w:p>
            <w:pPr>
              <w:pStyle w:val="Compact"/>
              <w:jc w:val="left"/>
            </w:pPr>
            <w:r>
              <w:rPr>
                <w:rStyle w:val="VerbatimChar"/>
              </w:rPr>
              <w:t xml:space="preserve">piece_thread-100_email-401.md</w:t>
            </w:r>
          </w:p>
        </w:tc>
        <w:tc>
          <w:p>
            <w:pPr>
              <w:pStyle w:val="Compact"/>
              <w:jc w:val="left"/>
            </w:pPr>
            <w:r>
              <w:t xml:space="preserve">disponible; privilège avocat-client à évaluer</w:t>
            </w:r>
          </w:p>
        </w:tc>
      </w:tr>
      <w:tr>
        <w:tc>
          <w:p>
            <w:pPr>
              <w:pStyle w:val="Compact"/>
              <w:jc w:val="left"/>
            </w:pPr>
            <w:r>
              <w:t xml:space="preserve">7</w:t>
            </w:r>
          </w:p>
        </w:tc>
        <w:tc>
          <w:p>
            <w:pPr>
              <w:pStyle w:val="Compact"/>
              <w:jc w:val="left"/>
            </w:pPr>
            <w:r>
              <w:rPr>
                <w:rStyle w:val="VerbatimChar"/>
              </w:rPr>
              <w:t xml:space="preserve">piece_pdf-5.md</w:t>
            </w:r>
            <w:r>
              <w:t xml:space="preserve">, art. 7 et 21</w:t>
            </w:r>
          </w:p>
        </w:tc>
        <w:tc>
          <w:p>
            <w:pPr>
              <w:pStyle w:val="Compact"/>
              <w:jc w:val="left"/>
            </w:pPr>
            <w:r>
              <w:t xml:space="preserve">disponible; privilège de règlement à évaluer</w:t>
            </w:r>
          </w:p>
        </w:tc>
      </w:tr>
      <w:tr>
        <w:tc>
          <w:p>
            <w:pPr>
              <w:pStyle w:val="Compact"/>
              <w:jc w:val="left"/>
            </w:pPr>
            <w:r>
              <w:t xml:space="preserve">8</w:t>
            </w:r>
          </w:p>
        </w:tc>
        <w:tc>
          <w:p>
            <w:pPr>
              <w:pStyle w:val="Compact"/>
              <w:jc w:val="left"/>
            </w:pPr>
            <w:r>
              <w:rPr>
                <w:rStyle w:val="VerbatimChar"/>
              </w:rPr>
              <w:t xml:space="preserve">piece_pdf-6.md</w:t>
            </w:r>
          </w:p>
        </w:tc>
        <w:tc>
          <w:p>
            <w:pPr>
              <w:pStyle w:val="Compact"/>
              <w:jc w:val="left"/>
            </w:pPr>
            <w:r>
              <w:t xml:space="preserve">disponible; privilège de règlement à évaluer</w:t>
            </w:r>
          </w:p>
        </w:tc>
      </w:tr>
      <w:tr>
        <w:tc>
          <w:p>
            <w:pPr>
              <w:pStyle w:val="Compact"/>
              <w:jc w:val="left"/>
            </w:pPr>
            <w:r>
              <w:t xml:space="preserve">9</w:t>
            </w:r>
          </w:p>
        </w:tc>
        <w:tc>
          <w:p>
            <w:pPr>
              <w:pStyle w:val="Compact"/>
              <w:jc w:val="left"/>
            </w:pPr>
            <w:r>
              <w:rPr>
                <w:rStyle w:val="VerbatimChar"/>
              </w:rPr>
              <w:t xml:space="preserve">piece_document-1.md</w:t>
            </w:r>
            <w:r>
              <w:t xml:space="preserve">, §23-24</w:t>
            </w:r>
          </w:p>
        </w:tc>
        <w:tc>
          <w:p>
            <w:pPr>
              <w:pStyle w:val="Compact"/>
              <w:jc w:val="left"/>
            </w:pPr>
            <w:r>
              <w:t xml:space="preserve">disponible</w:t>
            </w:r>
          </w:p>
        </w:tc>
      </w:tr>
    </w:tbl>
    <w:p>
      <w:pPr>
        <w:pStyle w:val="Heading2"/>
      </w:pPr>
      <w:bookmarkStart w:id="146" w:name="Xdc61d7c1e817c78e39906e59b3ac2d71c239cfb"/>
      <w:r>
        <w:t xml:space="preserve">9. Version procédurale distillée, sous réserve d’admissibilité</w:t>
      </w:r>
      <w:bookmarkEnd w:id="146"/>
    </w:p>
    <w:p>
      <w:pPr>
        <w:pStyle w:val="Compact"/>
        <w:numPr>
          <w:numId w:val="1068"/>
          <w:ilvl w:val="0"/>
        </w:numPr>
      </w:pPr>
      <w:r>
        <w:t xml:space="preserve">Le demandeur ne conteste pas avoir refusé, au printemps 2015, certains scénarios d’accès à son appartement ni avoir alors exercé des accès limités.</w:t>
      </w:r>
    </w:p>
    <w:p>
      <w:pPr>
        <w:pStyle w:val="Compact"/>
        <w:numPr>
          <w:numId w:val="1068"/>
          <w:ilvl w:val="0"/>
        </w:numPr>
      </w:pPr>
      <w:r>
        <w:t xml:space="preserve">Le 20 avril 2015, il avait néanmoins présenté une offre formelle de garde partagée 2-2-3.</w:t>
      </w:r>
    </w:p>
    <w:p>
      <w:pPr>
        <w:pStyle w:val="Compact"/>
        <w:numPr>
          <w:numId w:val="1068"/>
          <w:ilvl w:val="0"/>
        </w:numPr>
      </w:pPr>
      <w:r>
        <w:t xml:space="preserve">Le 27 avril, la demanderesse a refusé cette garde partagée tout en proposant une progression comprenant des nuitées au domicile du demandeur.</w:t>
      </w:r>
    </w:p>
    <w:p>
      <w:pPr>
        <w:pStyle w:val="Compact"/>
        <w:numPr>
          <w:numId w:val="1068"/>
          <w:ilvl w:val="0"/>
        </w:numPr>
      </w:pPr>
      <w:r>
        <w:t xml:space="preserve">Le 2 septembre, le demandeur a formellement accepté le principe de cette progression et demandé qu’elle mène à une garde partagée 2-2-3 à compter du 7 février 2016.</w:t>
      </w:r>
    </w:p>
    <w:p>
      <w:pPr>
        <w:pStyle w:val="Compact"/>
        <w:numPr>
          <w:numId w:val="1068"/>
          <w:ilvl w:val="0"/>
        </w:numPr>
      </w:pPr>
      <w:r>
        <w:t xml:space="preserve">La Requête a présenté le refus du printemps comme toujours actuel sans exposer cette position formelle ultérieure, pourtant communiquée à Me Ayoub.</w:t>
      </w:r>
    </w:p>
    <w:p>
      <w:pPr>
        <w:pStyle w:val="Heading2"/>
      </w:pPr>
      <w:bookmarkStart w:id="147" w:name="usage-dans-la-demande-introductive-2"/>
      <w:r>
        <w:t xml:space="preserve">10. Usage dans la demande introductive</w:t>
      </w:r>
      <w:bookmarkEnd w:id="147"/>
    </w:p>
    <w:p>
      <w:pPr>
        <w:pStyle w:val="FirstParagraph"/>
      </w:pPr>
      <w:r>
        <w:t xml:space="preserve">Ce bloc doit suivre les §20-21 sans répéter l’ensemble des négociations déjà exposées aux §14-17. Sa contribution propre est étroite : montrer comment un refus réel du printemps est maintenu au présent malgré l’acceptation formelle d’une progression. Le motif interne peut demeurer dans l’analyse de travail, mais ne devrait pas être plaidé sans décision éclairée sur le secret professionnel.</w:t>
      </w:r>
    </w:p>
    <w:p>
      <w:pPr>
        <w:pStyle w:val="Heading2"/>
      </w:pPr>
      <w:bookmarkStart w:id="148" w:name="prudence-secret-professionnel"/>
      <w:r>
        <w:t xml:space="preserve">11. Prudence — secret professionnel</w:t>
      </w:r>
      <w:bookmarkEnd w:id="148"/>
    </w:p>
    <w:p>
      <w:pPr>
        <w:pStyle w:val="FirstParagraph"/>
      </w:pPr>
      <w:r>
        <w:t xml:space="preserve">Les courriels internes des 27 avril et 8 mai entre le défendeur et son avocat sont potentiellement privilégiés. Leur production pourrait emporter une renonciation dont la portée doit être évaluée avec un avocat. Le projet du 13 août et la réponse « sous toutes réserves » du 2 septembre peuvent aussi relever du privilège relatif aux règlements. La version procédurale ci-dessus ne mobilise donc pas les courriels internes; l’usage des offres de règlement demeure à faire valider.</w:t>
      </w:r>
    </w:p>
    <w:p>
      <w:pPr>
        <w:pStyle w:val="BodyText"/>
      </w:pPr>
      <w:r>
        <w:t xml:space="preserve">En l’absence d’une exception applicable au privilège de règlement ou d’une preuve non privilégiée équivalente, la tension documentaire du 2 septembre doit rester dans l’analyse interne et ne peut pas, à elle seule, fonder une allégation procédurale.</w:t>
      </w:r>
    </w:p>
    <w:p>
      <w:pPr>
        <w:pStyle w:val="BodyText"/>
      </w:pPr>
      <w:r>
        <w:rPr>
          <w:b/>
        </w:rPr>
        <w:t xml:space="preserve">Levier de renonciation (épée-bouclier) — à faire valider.</w:t>
      </w:r>
      <w:r>
        <w:t xml:space="preserve"> </w:t>
      </w:r>
      <w:r>
        <w:t xml:space="preserve">Le §23</w:t>
      </w:r>
      <w:r>
        <w:t xml:space="preserve"> </w:t>
      </w:r>
      <w:r>
        <w:rPr>
          <w:b/>
        </w:rPr>
        <w:t xml:space="preserve">reproduit presque mot pour mot</w:t>
      </w:r>
      <w:r>
        <w:t xml:space="preserve"> </w:t>
      </w:r>
      <w:r>
        <w:t xml:space="preserve">la lettre du 27 avril (pdf-3, C5) et</w:t>
      </w:r>
      <w:r>
        <w:t xml:space="preserve"> </w:t>
      </w:r>
      <w:r>
        <w:rPr>
          <w:b/>
        </w:rPr>
        <w:t xml:space="preserve">plaide les négociations</w:t>
      </w:r>
      <w:r>
        <w:t xml:space="preserve"> </w:t>
      </w:r>
      <w:r>
        <w:t xml:space="preserve">(« la demanderesse a à plusieurs reprises offert […] il a refusé »). En mettant elle-même ses offres et le refus du défendeur en litige, la demanderesse peut être réputée avoir</w:t>
      </w:r>
      <w:r>
        <w:t xml:space="preserve"> </w:t>
      </w:r>
      <w:r>
        <w:rPr>
          <w:b/>
        </w:rPr>
        <w:t xml:space="preserve">renoncé</w:t>
      </w:r>
      <w:r>
        <w:t xml:space="preserve"> </w:t>
      </w:r>
      <w:r>
        <w:t xml:space="preserve">au privilège de règlement sur cette correspondance : on ne peut invoquer sélectivement une négociation comme épée et opposer le privilège comme bouclier sur la partie (offre de 2-2-3 du 20 avril, cadre fermé du 27 avril, acceptation du 2 septembre) qui la contredit. Si ce levier est retenu, le</w:t>
      </w:r>
      <w:r>
        <w:t xml:space="preserve"> </w:t>
      </w:r>
      <w:r>
        <w:rPr>
          <w:b/>
        </w:rPr>
        <w:t xml:space="preserve">socle primaire</w:t>
      </w:r>
      <w:r>
        <w:t xml:space="preserve"> </w:t>
      </w:r>
      <w:r>
        <w:t xml:space="preserve">(cadre fermé) et la contradiction du 2 septembre deviennent plaidables. À trancher avec le procureur avant emploi.</w:t>
      </w:r>
    </w:p>
    <w:p>
      <w:r>
        <w:pict>
          <v:rect style="width:0;height:1.5pt" o:hralign="center" o:hrstd="t" o:hr="t"/>
        </w:pict>
      </w:r>
    </w:p>
    <w:p>
      <w:pPr>
        <w:pStyle w:val="Heading1"/>
      </w:pPr>
      <w:bookmarkStart w:id="149" w:name="X69384e87cb34cdd14b6e59e9c210c30dd19d0a9"/>
      <w:r>
        <w:t xml:space="preserve">Pont — §28 et §29 de la Requête du 19 novembre 2015</w:t>
      </w:r>
      <w:bookmarkEnd w:id="149"/>
    </w:p>
    <w:p>
      <w:pPr>
        <w:pStyle w:val="Heading2"/>
      </w:pPr>
      <w:bookmarkStart w:id="150" w:name="allégations-visées-4"/>
      <w:r>
        <w:t xml:space="preserve">1. Allégations visées</w:t>
      </w:r>
      <w:bookmarkEnd w:id="150"/>
    </w:p>
    <w:p>
      <w:pPr>
        <w:pStyle w:val="BlockText"/>
      </w:pPr>
      <w:r>
        <w:rPr>
          <w:b/>
        </w:rPr>
        <w:t xml:space="preserve">§28</w:t>
      </w:r>
      <w:r>
        <w:t xml:space="preserve"> </w:t>
      </w:r>
      <w:r>
        <w:t xml:space="preserve">— « Afin de remédier au litige entre les parties, la demanderesse a également proposé au défendeur de participer à des séances de médiation, ce qu’il a refusé. »</w:t>
      </w:r>
    </w:p>
    <w:p>
      <w:pPr>
        <w:pStyle w:val="BlockText"/>
      </w:pPr>
      <w:r>
        <w:rPr>
          <w:b/>
        </w:rPr>
        <w:t xml:space="preserve">§29</w:t>
      </w:r>
      <w:r>
        <w:t xml:space="preserve"> </w:t>
      </w:r>
      <w:r>
        <w:t xml:space="preserve">— « Bien que le défendeur ait refusé de rencontrer le Dr. Claudia Écrement il a toutefois accepté de communiquer avec ledit docteur pour discuter de la situation et du bienêtre des enfants […] pièce P-4. »</w:t>
      </w:r>
    </w:p>
    <w:p>
      <w:pPr>
        <w:pStyle w:val="Heading2"/>
      </w:pPr>
      <w:bookmarkStart w:id="151" w:name="classification-et-objectif-2"/>
      <w:r>
        <w:t xml:space="preserve">2. Classification et objectif</w:t>
      </w:r>
      <w:bookmarkEnd w:id="151"/>
    </w:p>
    <w:p>
      <w:pPr>
        <w:pStyle w:val="FirstParagraph"/>
      </w:pPr>
      <w:r>
        <w:rPr>
          <w:b/>
        </w:rPr>
        <w:t xml:space="preserve">Classification : §29 concédé ; §28 conditionnellement réfutable.</w:t>
      </w:r>
    </w:p>
    <w:p>
      <w:pPr>
        <w:pStyle w:val="BodyText"/>
      </w:pPr>
      <w:r>
        <w:t xml:space="preserve">Le pont doit éviter une conclusion binaire non soutenue. Si le §28 vise l’intervention d’Écrement, il la requalifie inexactement en médiation refusée. S’il vise un événement distinct, cet événement n’est pas particularisé ni corroboré dans le corpus actuel, mais son inexistence ne peut être déduite de la seule absence de pièce.</w:t>
      </w:r>
    </w:p>
    <w:p>
      <w:pPr>
        <w:pStyle w:val="Heading2"/>
      </w:pPr>
      <w:bookmarkStart w:id="152" w:name="force-probatoire-8"/>
      <w:r>
        <w:t xml:space="preserve">3. Force probatoire</w:t>
      </w:r>
      <w:bookmarkEnd w:id="152"/>
    </w:p>
    <w:p>
      <w:pPr>
        <w:pStyle w:val="FirstParagraph"/>
      </w:pPr>
      <w:r>
        <w:rPr>
          <w:b/>
        </w:rPr>
        <w:t xml:space="preserve">Conditionnelle.</w:t>
      </w:r>
    </w:p>
    <w:p>
      <w:pPr>
        <w:pStyle w:val="Compact"/>
        <w:numPr>
          <w:numId w:val="1069"/>
          <w:ilvl w:val="0"/>
        </w:numPr>
      </w:pPr>
      <w:r>
        <w:rPr>
          <w:b/>
        </w:rPr>
        <w:t xml:space="preserve">Moyenne à forte</w:t>
      </w:r>
      <w:r>
        <w:t xml:space="preserve"> </w:t>
      </w:r>
      <w:r>
        <w:t xml:space="preserve">si les §28-29 renvoient au même événement.</w:t>
      </w:r>
    </w:p>
    <w:p>
      <w:pPr>
        <w:pStyle w:val="Compact"/>
        <w:numPr>
          <w:numId w:val="1069"/>
          <w:ilvl w:val="0"/>
        </w:numPr>
      </w:pPr>
      <w:r>
        <w:rPr>
          <w:b/>
        </w:rPr>
        <w:t xml:space="preserve">Faible</w:t>
      </w:r>
      <w:r>
        <w:t xml:space="preserve"> </w:t>
      </w:r>
      <w:r>
        <w:t xml:space="preserve">si une autre offre de médiation est invoquée sans précision.</w:t>
      </w:r>
    </w:p>
    <w:p>
      <w:pPr>
        <w:pStyle w:val="FirstParagraph"/>
      </w:pPr>
      <w:r>
        <w:t xml:space="preserve">Ce bloc ne doit pas devenir un pilier autonome tant que l’identité de l’événement n’est pas verrouillée.</w:t>
      </w:r>
    </w:p>
    <w:p>
      <w:pPr>
        <w:pStyle w:val="Heading2"/>
      </w:pPr>
      <w:bookmarkStart w:id="153" w:name="concessions-2"/>
      <w:r>
        <w:t xml:space="preserve">4. Concessions</w:t>
      </w:r>
      <w:bookmarkEnd w:id="153"/>
    </w:p>
    <w:p>
      <w:pPr>
        <w:pStyle w:val="Compact"/>
        <w:numPr>
          <w:numId w:val="1070"/>
          <w:ilvl w:val="0"/>
        </w:numPr>
      </w:pPr>
      <w:r>
        <w:t xml:space="preserve">Le demandeur a finalement refusé de rencontrer Écrement concernant la garde.</w:t>
      </w:r>
    </w:p>
    <w:p>
      <w:pPr>
        <w:pStyle w:val="Compact"/>
        <w:numPr>
          <w:numId w:val="1070"/>
          <w:ilvl w:val="0"/>
        </w:numPr>
      </w:pPr>
      <w:r>
        <w:t xml:space="preserve">Il a néanmoins communiqué avec elle et maintenu son accord aux services bénéfiques aux enfants.</w:t>
      </w:r>
    </w:p>
    <w:p>
      <w:pPr>
        <w:pStyle w:val="Compact"/>
        <w:numPr>
          <w:numId w:val="1070"/>
          <w:ilvl w:val="0"/>
        </w:numPr>
      </w:pPr>
      <w:r>
        <w:t xml:space="preserve">Le §29 décrit cette position de manière substantiellement exacte.</w:t>
      </w:r>
    </w:p>
    <w:p>
      <w:pPr>
        <w:pStyle w:val="Heading2"/>
      </w:pPr>
      <w:bookmarkStart w:id="154" w:name="faits-essentiels-plaidables-7"/>
      <w:r>
        <w:t xml:space="preserve">5. Faits essentiels plaidables</w:t>
      </w:r>
      <w:bookmarkEnd w:id="154"/>
    </w:p>
    <w:p>
      <w:pPr>
        <w:pStyle w:val="Compact"/>
        <w:numPr>
          <w:numId w:val="1071"/>
          <w:ilvl w:val="0"/>
        </w:numPr>
      </w:pPr>
      <w:r>
        <w:t xml:space="preserve">Le 16 septembre 2015, Écrement a offert au demandeur une rencontre individuelle pour le guider et répondre à ses questions sur la garde.</w:t>
      </w:r>
    </w:p>
    <w:p>
      <w:pPr>
        <w:pStyle w:val="Compact"/>
        <w:numPr>
          <w:numId w:val="1071"/>
          <w:ilvl w:val="0"/>
        </w:numPr>
      </w:pPr>
      <w:r>
        <w:t xml:space="preserve">Elle a précisé : « Je ne suis ni avocate, ni médiatrice ».</w:t>
      </w:r>
    </w:p>
    <w:p>
      <w:pPr>
        <w:pStyle w:val="Compact"/>
        <w:numPr>
          <w:numId w:val="1071"/>
          <w:ilvl w:val="0"/>
        </w:numPr>
      </w:pPr>
      <w:r>
        <w:t xml:space="preserve">Le demandeur a répondu : « Je veux vous rencontrer », puis a fixé un rendez-vous au 19 octobre.</w:t>
      </w:r>
    </w:p>
    <w:p>
      <w:pPr>
        <w:pStyle w:val="Compact"/>
        <w:numPr>
          <w:numId w:val="1071"/>
          <w:ilvl w:val="0"/>
        </w:numPr>
      </w:pPr>
      <w:r>
        <w:t xml:space="preserve">Le 7 octobre, il a annulé cette rencontre et précisé que son refus portait sur la garde, non sur les services bénéfiques aux enfants.</w:t>
      </w:r>
    </w:p>
    <w:p>
      <w:pPr>
        <w:pStyle w:val="Compact"/>
        <w:numPr>
          <w:numId w:val="1071"/>
          <w:ilvl w:val="0"/>
        </w:numPr>
      </w:pPr>
      <w:r>
        <w:t xml:space="preserve">Écrement a rapporté cette position à la demanderesse le même jour.</w:t>
      </w:r>
    </w:p>
    <w:p>
      <w:pPr>
        <w:pStyle w:val="Compact"/>
        <w:numPr>
          <w:numId w:val="1071"/>
          <w:ilvl w:val="0"/>
        </w:numPr>
      </w:pPr>
      <w:r>
        <w:t xml:space="preserve">Le §28 n’identifie aucun médiateur, aucune date, aucune séance, aucune communication ni aucune pièce distincte.</w:t>
      </w:r>
    </w:p>
    <w:p>
      <w:pPr>
        <w:pStyle w:val="Compact"/>
        <w:numPr>
          <w:numId w:val="1071"/>
          <w:ilvl w:val="0"/>
        </w:numPr>
      </w:pPr>
      <w:r>
        <w:t xml:space="preserve">Aucun autre processus de médiation n’est actuellement identifié dans les sources de 2015 examinées.</w:t>
      </w:r>
    </w:p>
    <w:p>
      <w:pPr>
        <w:pStyle w:val="Heading2"/>
      </w:pPr>
      <w:bookmarkStart w:id="155" w:name="deux-branches-danalyse"/>
      <w:r>
        <w:t xml:space="preserve">6. Deux branches d’analyse</w:t>
      </w:r>
      <w:bookmarkEnd w:id="155"/>
    </w:p>
    <w:p>
      <w:pPr>
        <w:pStyle w:val="Heading3"/>
      </w:pPr>
      <w:bookmarkStart w:id="156" w:name="a.-même-événement"/>
      <w:r>
        <w:t xml:space="preserve">A. Même événement</w:t>
      </w:r>
      <w:bookmarkEnd w:id="156"/>
    </w:p>
    <w:p>
      <w:pPr>
        <w:pStyle w:val="FirstParagraph"/>
      </w:pPr>
      <w:r>
        <w:t xml:space="preserve">La désignation « médiation » est contredite par l’autrice de l’offre elle-même (« Je ne suis ni avocate, ni médiatrice »). Le refus global est également inexact : le demandeur avait d’abord accepté la rencontre, puis limité son refus à la consultation sur la garde tout en maintenant les services aux enfants.</w:t>
      </w:r>
    </w:p>
    <w:p>
      <w:pPr>
        <w:pStyle w:val="BodyText"/>
      </w:pPr>
      <w:r>
        <w:rPr>
          <w:b/>
        </w:rPr>
        <w:t xml:space="preserve">Ancrage déontologique (contre Me Ayoub, non contre Écrement).</w:t>
      </w:r>
      <w:r>
        <w:t xml:space="preserve"> </w:t>
      </w:r>
      <w:r>
        <w:t xml:space="preserve">Sous cette branche, requalifier en « séances de médiation refusées »</w:t>
      </w:r>
      <w:r>
        <w:t xml:space="preserve"> </w:t>
      </w:r>
      <w:r>
        <w:rPr>
          <w:i/>
        </w:rPr>
        <w:t xml:space="preserve">(i)</w:t>
      </w:r>
      <w:r>
        <w:t xml:space="preserve"> </w:t>
      </w:r>
      <w:r>
        <w:t xml:space="preserve">une intervention qu’Écrement —</w:t>
      </w:r>
      <w:r>
        <w:t xml:space="preserve"> </w:t>
      </w:r>
      <w:r>
        <w:rPr>
          <w:b/>
        </w:rPr>
        <w:t xml:space="preserve">consultante de la demanderesse elle-même</w:t>
      </w:r>
      <w:r>
        <w:t xml:space="preserve"> </w:t>
      </w:r>
      <w:r>
        <w:t xml:space="preserve">— a expressément qualifiée de non-médiation, et</w:t>
      </w:r>
      <w:r>
        <w:t xml:space="preserve"> </w:t>
      </w:r>
      <w:r>
        <w:rPr>
          <w:i/>
        </w:rPr>
        <w:t xml:space="preserve">(ii)</w:t>
      </w:r>
      <w:r>
        <w:t xml:space="preserve"> </w:t>
      </w:r>
      <w:r>
        <w:t xml:space="preserve">un refus que la demanderesse savait</w:t>
      </w:r>
      <w:r>
        <w:t xml:space="preserve"> </w:t>
      </w:r>
      <w:r>
        <w:rPr>
          <w:b/>
        </w:rPr>
        <w:t xml:space="preserve">limité</w:t>
      </w:r>
      <w:r>
        <w:t xml:space="preserve"> </w:t>
      </w:r>
      <w:r>
        <w:t xml:space="preserve">(rapport d’Écrement du 7 octobre, fait 5), revient à soumettre un</w:t>
      </w:r>
      <w:r>
        <w:t xml:space="preserve"> </w:t>
      </w:r>
      <w:r>
        <w:rPr>
          <w:b/>
        </w:rPr>
        <w:t xml:space="preserve">écrit « faux ou qu’il devrait savoir faux »</w:t>
      </w:r>
      <w:r>
        <w:t xml:space="preserve"> </w:t>
      </w:r>
      <w:r>
        <w:t xml:space="preserve">(</w:t>
      </w:r>
      <w:r>
        <w:rPr>
          <w:i/>
        </w:rPr>
        <w:t xml:space="preserve">Code de déontologie des avocats</w:t>
      </w:r>
      <w:r>
        <w:t xml:space="preserve">,</w:t>
      </w:r>
      <w:r>
        <w:t xml:space="preserve"> </w:t>
      </w:r>
      <w:r>
        <w:rPr>
          <w:b/>
        </w:rPr>
        <w:t xml:space="preserve">art. 19</w:t>
      </w:r>
      <w:r>
        <w:t xml:space="preserve"> </w:t>
      </w:r>
      <w:r>
        <w:t xml:space="preserve">;</w:t>
      </w:r>
      <w:r>
        <w:t xml:space="preserve"> </w:t>
      </w:r>
      <w:hyperlink r:id="rId139">
        <w:r>
          <w:rPr>
            <w:rStyle w:val="Hyperlink"/>
          </w:rPr>
          <w:t xml:space="preserve">piece_pdf-92.md</w:t>
        </w:r>
      </w:hyperlink>
      <w:r>
        <w:t xml:space="preserve">). Le standard de scienter est celui du code : il suffit qu’elle</w:t>
      </w:r>
      <w:r>
        <w:t xml:space="preserve"> </w:t>
      </w:r>
      <w:r>
        <w:rPr>
          <w:i/>
        </w:rPr>
        <w:t xml:space="preserve">ait dû savoir</w:t>
      </w:r>
      <w:r>
        <w:t xml:space="preserve">. À plaider</w:t>
      </w:r>
      <w:r>
        <w:t xml:space="preserve"> </w:t>
      </w:r>
      <w:r>
        <w:rPr>
          <w:b/>
        </w:rPr>
        <w:t xml:space="preserve">seulement</w:t>
      </w:r>
      <w:r>
        <w:t xml:space="preserve"> </w:t>
      </w:r>
      <w:r>
        <w:t xml:space="preserve">si l’identité §28 = Écrement est admise ou établie ; à distinguer nettement de la déontologie d’Écrement (§7).</w:t>
      </w:r>
    </w:p>
    <w:p>
      <w:pPr>
        <w:pStyle w:val="BodyText"/>
      </w:pPr>
      <w:r>
        <w:rPr>
          <w:b/>
        </w:rPr>
        <w:t xml:space="preserve">Patron (cf. §23).</w:t>
      </w:r>
      <w:r>
        <w:t xml:space="preserve"> </w:t>
      </w:r>
      <w:r>
        <w:t xml:space="preserve">La décision</w:t>
      </w:r>
      <w:r>
        <w:t xml:space="preserve"> </w:t>
      </w:r>
      <w:r>
        <w:rPr>
          <w:b/>
        </w:rPr>
        <w:t xml:space="preserve">ciblée et raisonnée</w:t>
      </w:r>
      <w:r>
        <w:t xml:space="preserve"> </w:t>
      </w:r>
      <w:r>
        <w:t xml:space="preserve">du défendeur — décliner la consultation</w:t>
      </w:r>
      <w:r>
        <w:t xml:space="preserve"> </w:t>
      </w:r>
      <w:r>
        <w:rPr>
          <w:i/>
        </w:rPr>
        <w:t xml:space="preserve">sur la garde</w:t>
      </w:r>
      <w:r>
        <w:t xml:space="preserve"> </w:t>
      </w:r>
      <w:r>
        <w:t xml:space="preserve">tout en</w:t>
      </w:r>
      <w:r>
        <w:t xml:space="preserve"> </w:t>
      </w:r>
      <w:r>
        <w:rPr>
          <w:b/>
        </w:rPr>
        <w:t xml:space="preserve">maintenant les services</w:t>
      </w:r>
      <w:r>
        <w:t xml:space="preserve"> </w:t>
      </w:r>
      <w:r>
        <w:t xml:space="preserve">bénéfiques aux enfants — est</w:t>
      </w:r>
      <w:r>
        <w:t xml:space="preserve"> </w:t>
      </w:r>
      <w:r>
        <w:rPr>
          <w:b/>
        </w:rPr>
        <w:t xml:space="preserve">requalifiée en refus</w:t>
      </w:r>
      <w:r>
        <w:t xml:space="preserve"> </w:t>
      </w:r>
      <w:r>
        <w:t xml:space="preserve">(de « médiation »). Même structure qu’au §23, où une retenue motivée par l’intérêt des enfants est narrée comme un refus (voir</w:t>
      </w:r>
      <w:r>
        <w:t xml:space="preserve"> </w:t>
      </w:r>
      <w:hyperlink r:id="rId138">
        <w:r>
          <w:rPr>
            <w:rStyle w:val="Hyperlink"/>
          </w:rPr>
          <w:t xml:space="preserve">these_norme_instrument_soumission.md</w:t>
        </w:r>
      </w:hyperlink>
      <w:r>
        <w:t xml:space="preserve"> </w:t>
      </w:r>
      <w:r>
        <w:t xml:space="preserve">:</w:t>
      </w:r>
      <w:r>
        <w:t xml:space="preserve"> </w:t>
      </w:r>
      <w:r>
        <w:rPr>
          <w:i/>
        </w:rPr>
        <w:t xml:space="preserve">elle explique</w:t>
      </w:r>
      <w:r>
        <w:t xml:space="preserve">).</w:t>
      </w:r>
    </w:p>
    <w:p>
      <w:pPr>
        <w:pStyle w:val="Heading3"/>
      </w:pPr>
      <w:bookmarkStart w:id="157" w:name="b.-événement-distinct"/>
      <w:r>
        <w:t xml:space="preserve">B. Événement distinct</w:t>
      </w:r>
      <w:bookmarkEnd w:id="157"/>
    </w:p>
    <w:p>
      <w:pPr>
        <w:pStyle w:val="FirstParagraph"/>
      </w:pPr>
      <w:r>
        <w:t xml:space="preserve">Le §28 demeure sans ancrage identifiable dans le corpus actuel. Il peut être demandé à la partie adverse de préciser la date, le médiateur et la communication. À défaut, la preuve actuelle permet de qualifier l’allégation de non corroborée, non de démontrer catégoriquement sa fausseté.</w:t>
      </w:r>
    </w:p>
    <w:p>
      <w:pPr>
        <w:pStyle w:val="Heading2"/>
      </w:pPr>
      <w:bookmarkStart w:id="158" w:name="inférences-exclues-3"/>
      <w:r>
        <w:t xml:space="preserve">7. Inférences exclues</w:t>
      </w:r>
      <w:bookmarkEnd w:id="158"/>
    </w:p>
    <w:p>
      <w:pPr>
        <w:pStyle w:val="Compact"/>
        <w:numPr>
          <w:numId w:val="1072"/>
          <w:ilvl w:val="0"/>
        </w:numPr>
      </w:pPr>
      <w:r>
        <w:t xml:space="preserve">Ne pas affirmer sans condition que §28 et §29 décrivent nécessairement le même événement.</w:t>
      </w:r>
    </w:p>
    <w:p>
      <w:pPr>
        <w:pStyle w:val="Compact"/>
        <w:numPr>
          <w:numId w:val="1072"/>
          <w:ilvl w:val="0"/>
        </w:numPr>
      </w:pPr>
      <w:r>
        <w:t xml:space="preserve">Ne pas invoquer une violation déontologique ou une absence juridique de neutralité d’Écrement.</w:t>
      </w:r>
    </w:p>
    <w:p>
      <w:pPr>
        <w:pStyle w:val="Compact"/>
        <w:numPr>
          <w:numId w:val="1072"/>
          <w:ilvl w:val="0"/>
        </w:numPr>
      </w:pPr>
      <w:r>
        <w:t xml:space="preserve">Ne pas déduire l’inexistence absolue d’une offre orale de l’absence de pièce.</w:t>
      </w:r>
    </w:p>
    <w:p>
      <w:pPr>
        <w:pStyle w:val="Compact"/>
        <w:numPr>
          <w:numId w:val="1072"/>
          <w:ilvl w:val="0"/>
        </w:numPr>
      </w:pPr>
      <w:r>
        <w:t xml:space="preserve">Ne pas présenter le refus sur la garde comme un refus du suivi psychologique des enfants.</w:t>
      </w:r>
    </w:p>
    <w:p>
      <w:pPr>
        <w:pStyle w:val="Heading2"/>
      </w:pPr>
      <w:bookmarkStart w:id="159" w:name="pièces-nécessaires-7"/>
      <w:r>
        <w:t xml:space="preserve">8. Pièces nécessaires</w:t>
      </w:r>
      <w:bookmarkEnd w:id="159"/>
    </w:p>
    <w:tbl>
      <w:tblPr>
        <w:tblStyle w:val="Table"/>
        <w:tblW w:type="pct" w:w="0.0"/>
        <w:tblLook w:firstRow="1"/>
      </w:tblPr>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1-4</w:t>
            </w:r>
          </w:p>
        </w:tc>
        <w:tc>
          <w:p>
            <w:pPr>
              <w:pStyle w:val="Compact"/>
              <w:jc w:val="left"/>
            </w:pPr>
            <w:r>
              <w:rPr>
                <w:rStyle w:val="VerbatimChar"/>
              </w:rPr>
              <w:t xml:space="preserve">piece_thread-ecrement_2015.md</w:t>
            </w:r>
          </w:p>
        </w:tc>
        <w:tc>
          <w:p>
            <w:pPr>
              <w:pStyle w:val="Compact"/>
              <w:jc w:val="left"/>
            </w:pPr>
            <w:r>
              <w:t xml:space="preserve">disponible</w:t>
            </w:r>
          </w:p>
        </w:tc>
      </w:tr>
      <w:tr>
        <w:tc>
          <w:p>
            <w:pPr>
              <w:pStyle w:val="Compact"/>
              <w:jc w:val="left"/>
            </w:pPr>
            <w:r>
              <w:t xml:space="preserve">5</w:t>
            </w:r>
          </w:p>
        </w:tc>
        <w:tc>
          <w:p>
            <w:pPr>
              <w:pStyle w:val="Compact"/>
              <w:jc w:val="left"/>
            </w:pPr>
            <w:r>
              <w:rPr>
                <w:rStyle w:val="VerbatimChar"/>
              </w:rPr>
              <w:t xml:space="preserve">piece_photo-4551.md</w:t>
            </w:r>
          </w:p>
        </w:tc>
        <w:tc>
          <w:p>
            <w:pPr>
              <w:pStyle w:val="Compact"/>
              <w:jc w:val="left"/>
            </w:pPr>
            <w:r>
              <w:t xml:space="preserve">disponible</w:t>
            </w:r>
          </w:p>
        </w:tc>
      </w:tr>
      <w:tr>
        <w:tc>
          <w:p>
            <w:pPr>
              <w:pStyle w:val="Compact"/>
              <w:jc w:val="left"/>
            </w:pPr>
            <w:r>
              <w:t xml:space="preserve">6</w:t>
            </w:r>
          </w:p>
        </w:tc>
        <w:tc>
          <w:p>
            <w:pPr>
              <w:pStyle w:val="Compact"/>
              <w:jc w:val="left"/>
            </w:pPr>
            <w:r>
              <w:rPr>
                <w:rStyle w:val="VerbatimChar"/>
              </w:rPr>
              <w:t xml:space="preserve">piece_document-1.md</w:t>
            </w:r>
            <w:r>
              <w:t xml:space="preserve">, §28</w:t>
            </w:r>
          </w:p>
        </w:tc>
        <w:tc>
          <w:p>
            <w:pPr>
              <w:pStyle w:val="Compact"/>
              <w:jc w:val="left"/>
            </w:pPr>
            <w:r>
              <w:t xml:space="preserve">disponible</w:t>
            </w:r>
          </w:p>
        </w:tc>
      </w:tr>
      <w:tr>
        <w:tc>
          <w:p>
            <w:pPr>
              <w:pStyle w:val="Compact"/>
              <w:jc w:val="left"/>
            </w:pPr>
            <w:r>
              <w:t xml:space="preserve">Offre distincte éventuelle</w:t>
            </w:r>
          </w:p>
        </w:tc>
        <w:tc>
          <w:p>
            <w:pPr>
              <w:pStyle w:val="Compact"/>
              <w:jc w:val="left"/>
            </w:pPr>
            <w:r>
              <w:t xml:space="preserve">Date, médiateur, communication</w:t>
            </w:r>
          </w:p>
        </w:tc>
        <w:tc>
          <w:p>
            <w:pPr>
              <w:pStyle w:val="Compact"/>
              <w:jc w:val="left"/>
            </w:pPr>
            <w:r>
              <w:t xml:space="preserve">non identifiée</w:t>
            </w:r>
          </w:p>
        </w:tc>
      </w:tr>
    </w:tbl>
    <w:p>
      <w:pPr>
        <w:pStyle w:val="Heading2"/>
      </w:pPr>
      <w:bookmarkStart w:id="160" w:name="version-procédurale-distillée-7"/>
      <w:r>
        <w:t xml:space="preserve">9. Version procédurale distillée</w:t>
      </w:r>
      <w:bookmarkEnd w:id="160"/>
    </w:p>
    <w:p>
      <w:pPr>
        <w:pStyle w:val="Compact"/>
        <w:numPr>
          <w:numId w:val="1073"/>
          <w:ilvl w:val="0"/>
        </w:numPr>
      </w:pPr>
      <w:r>
        <w:t xml:space="preserve">Le demandeur concède avoir finalement refusé de rencontrer Claudia Écrement au sujet de la garde, tout en ayant communiqué avec elle et maintenu son accord aux services bénéfiques aux enfants.</w:t>
      </w:r>
    </w:p>
    <w:p>
      <w:pPr>
        <w:pStyle w:val="Compact"/>
        <w:numPr>
          <w:numId w:val="1073"/>
          <w:ilvl w:val="0"/>
        </w:numPr>
      </w:pPr>
      <w:r>
        <w:t xml:space="preserve">Écrement avait décrit son intervention comme une rencontre individuelle destinée à guider le demandeur et avait expressément précisé qu’elle n’était pas médiatrice.</w:t>
      </w:r>
    </w:p>
    <w:p>
      <w:pPr>
        <w:pStyle w:val="Compact"/>
        <w:numPr>
          <w:numId w:val="1073"/>
          <w:ilvl w:val="0"/>
        </w:numPr>
      </w:pPr>
      <w:r>
        <w:t xml:space="preserve">Le demandeur avait initialement accepté cette rencontre et fixé un rendez-vous avant de limiter ultérieurement son refus au volet relatif à la garde.</w:t>
      </w:r>
    </w:p>
    <w:p>
      <w:pPr>
        <w:pStyle w:val="Compact"/>
        <w:numPr>
          <w:numId w:val="1073"/>
          <w:ilvl w:val="0"/>
        </w:numPr>
      </w:pPr>
      <w:r>
        <w:t xml:space="preserve">La Requête n’identifie aucune offre de médiation distincte de cette intervention.</w:t>
      </w:r>
    </w:p>
    <w:p>
      <w:pPr>
        <w:pStyle w:val="Compact"/>
        <w:numPr>
          <w:numId w:val="1073"/>
          <w:ilvl w:val="0"/>
        </w:numPr>
      </w:pPr>
      <w:r>
        <w:t xml:space="preserve">Si le §28 renvoie à Écrement, il requalifie une consultation individuelle et un refus ciblé en refus global de médiation ; s’il vise un autre événement, celui-ci demeure sans date, médiateur, communication ou pièce actuellement identifiés.</w:t>
      </w:r>
    </w:p>
    <w:p>
      <w:pPr>
        <w:pStyle w:val="Heading2"/>
      </w:pPr>
      <w:bookmarkStart w:id="161" w:name="usage-dans-la-demande-introductive-3"/>
      <w:r>
        <w:t xml:space="preserve">10. Usage dans la demande introductive</w:t>
      </w:r>
      <w:bookmarkEnd w:id="161"/>
    </w:p>
    <w:p>
      <w:pPr>
        <w:pStyle w:val="FirstParagraph"/>
      </w:pPr>
      <w:r>
        <w:t xml:space="preserve">Ce bloc doit rester secondaire et conditionnel. Il peut être utilisé pour corriger l’impression cumulative d’incoopération, mais il ne doit pas soutenir seul une conclusion de fausseté intentionnelle tant que la partie adverse n’a pas confirmé que le §28 vise l’intervention d’Écrement ou échoué à particulariser une offre distincte.</w:t>
      </w:r>
    </w:p>
    <w:p>
      <w:pPr>
        <w:pStyle w:val="BodyText"/>
      </w:pPr>
      <w:r>
        <w:rPr>
          <w:b/>
        </w:rPr>
        <w:t xml:space="preserve">Conduire avec §29, non contre §28 (catégorie B —</w:t>
      </w:r>
      <w:r>
        <w:rPr>
          <w:b/>
        </w:rPr>
        <w:t xml:space="preserve"> </w:t>
      </w:r>
      <w:hyperlink r:id="rId162">
        <w:r>
          <w:rPr>
            <w:rStyle w:val="Hyperlink"/>
            <w:b/>
          </w:rPr>
          <w:t xml:space="preserve">inventaire_allegations_blocage.md</w:t>
        </w:r>
      </w:hyperlink>
      <w:r>
        <w:rPr>
          <w:b/>
        </w:rPr>
        <w:t xml:space="preserve">).</w:t>
      </w:r>
      <w:r>
        <w:t xml:space="preserve"> </w:t>
      </w:r>
      <w:r>
        <w:t xml:space="preserve">Le levier le plus sûr n’est pas de</w:t>
      </w:r>
      <w:r>
        <w:t xml:space="preserve"> </w:t>
      </w:r>
      <w:r>
        <w:rPr>
          <w:i/>
        </w:rPr>
        <w:t xml:space="preserve">nier</w:t>
      </w:r>
      <w:r>
        <w:t xml:space="preserve"> </w:t>
      </w:r>
      <w:r>
        <w:t xml:space="preserve">§28 (dont l’objet reste incertain), mais d’</w:t>
      </w:r>
      <w:r>
        <w:rPr>
          <w:b/>
        </w:rPr>
        <w:t xml:space="preserve">opposer §29 lui-même</w:t>
      </w:r>
      <w:r>
        <w:t xml:space="preserve"> </w:t>
      </w:r>
      <w:r>
        <w:t xml:space="preserve">: lu en entier, il</w:t>
      </w:r>
      <w:r>
        <w:t xml:space="preserve"> </w:t>
      </w:r>
      <w:r>
        <w:rPr>
          <w:b/>
        </w:rPr>
        <w:t xml:space="preserve">atteste la coopération</w:t>
      </w:r>
      <w:r>
        <w:t xml:space="preserve"> </w:t>
      </w:r>
      <w:r>
        <w:t xml:space="preserve">du défendeur (il a communiqué avec Écrement et maintenu les services bénéfiques aux enfants). §29 réfute donc l’impression d’incoopération que la</w:t>
      </w:r>
      <w:r>
        <w:t xml:space="preserve"> </w:t>
      </w:r>
      <w:r>
        <w:rPr>
          <w:b/>
        </w:rPr>
        <w:t xml:space="preserve">juxtaposition</w:t>
      </w:r>
      <w:r>
        <w:t xml:space="preserve"> </w:t>
      </w:r>
      <w:r>
        <w:t xml:space="preserve">§28-§29 cherche à créer — la réfutation est</w:t>
      </w:r>
      <w:r>
        <w:t xml:space="preserve"> </w:t>
      </w:r>
      <w:r>
        <w:rPr>
          <w:b/>
        </w:rPr>
        <w:t xml:space="preserve">interne au texte de la Requête</w:t>
      </w:r>
      <w:r>
        <w:t xml:space="preserve">, sans dépendre de la branche retenue pour §28.</w:t>
      </w:r>
    </w:p>
    <w:p>
      <w:r>
        <w:pict>
          <v:rect style="width:0;height:1.5pt" o:hralign="center" o:hrstd="t" o:hr="t"/>
        </w:pict>
      </w:r>
    </w:p>
    <w:p>
      <w:pPr>
        <w:pStyle w:val="Heading1"/>
      </w:pPr>
      <w:bookmarkStart w:id="163" w:name="Xa32499d95e77cb2cf366e20bb44ef01756016ba"/>
      <w:r>
        <w:t xml:space="preserve">Pont — §30 et §31 de la Requête du 19 novembre 2015</w:t>
      </w:r>
      <w:bookmarkEnd w:id="163"/>
    </w:p>
    <w:p>
      <w:pPr>
        <w:pStyle w:val="Heading2"/>
      </w:pPr>
      <w:bookmarkStart w:id="164" w:name="allégations-visées-5"/>
      <w:r>
        <w:t xml:space="preserve">1. Allégations visées</w:t>
      </w:r>
      <w:bookmarkEnd w:id="164"/>
    </w:p>
    <w:p>
      <w:pPr>
        <w:pStyle w:val="BlockText"/>
      </w:pPr>
      <w:r>
        <w:rPr>
          <w:b/>
        </w:rPr>
        <w:t xml:space="preserve">§30</w:t>
      </w:r>
      <w:r>
        <w:t xml:space="preserve"> </w:t>
      </w:r>
      <w:r>
        <w:t xml:space="preserve">— « De plus, le défendeur refuse d’exercer conjointement l’autorité parentale à l’égard de leurs enfants mineurs préférant que toutes les décisions les concernant reposent sur la demanderesse. »</w:t>
      </w:r>
    </w:p>
    <w:p>
      <w:pPr>
        <w:pStyle w:val="BlockText"/>
      </w:pPr>
      <w:r>
        <w:rPr>
          <w:b/>
        </w:rPr>
        <w:t xml:space="preserve">§31</w:t>
      </w:r>
      <w:r>
        <w:t xml:space="preserve"> </w:t>
      </w:r>
      <w:r>
        <w:t xml:space="preserve">— « Le défendeur a demandé à la demanderesse de faire le nécessaire afin qu’il soit déchu de certains attributs de l’autorité parentale […] pièce P-5. »</w:t>
      </w:r>
    </w:p>
    <w:p>
      <w:pPr>
        <w:pStyle w:val="Heading2"/>
      </w:pPr>
      <w:bookmarkStart w:id="165" w:name="classification-et-objectif-3"/>
      <w:r>
        <w:t xml:space="preserve">2. Classification et objectif</w:t>
      </w:r>
      <w:bookmarkEnd w:id="165"/>
    </w:p>
    <w:p>
      <w:pPr>
        <w:pStyle w:val="FirstParagraph"/>
      </w:pPr>
      <w:r>
        <w:rPr>
          <w:b/>
        </w:rPr>
        <w:t xml:space="preserve">Classification : §31 concédé ; §30 = fondement historique réel, surextension et omission d’une position ultérieure contraire.</w:t>
      </w:r>
    </w:p>
    <w:p>
      <w:pPr>
        <w:pStyle w:val="BodyText"/>
      </w:pPr>
      <w:r>
        <w:t xml:space="preserve">L’objectif n’est pas de nier les demandes de renonciation du demandeur. Il est de montrer que la Requête transforme une position exprimée en mai et août en préférence actuelle uniforme au 19 novembre, tout en omettant la position formelle inverse du 2 septembre.</w:t>
      </w:r>
    </w:p>
    <w:p>
      <w:pPr>
        <w:pStyle w:val="BodyText"/>
      </w:pPr>
      <w:r>
        <w:rPr>
          <w:b/>
        </w:rPr>
        <w:t xml:space="preserve">Axe primaire (irréfutable, admissible, indépendant du privilège) — l’incompatibilité de conduite.</w:t>
      </w:r>
      <w:r>
        <w:t xml:space="preserve"> </w:t>
      </w:r>
      <w:r>
        <w:t xml:space="preserve">Ce qui est irréfutable n’est pas la contradiction temporelle (qui dépend de la lettre du 2 septembre, grevée du privilège de règlement), mais l’</w:t>
      </w:r>
      <w:r>
        <w:rPr>
          <w:b/>
        </w:rPr>
        <w:t xml:space="preserve">incohérence de la partie adverse avec elle-même</w:t>
      </w:r>
      <w:r>
        <w:t xml:space="preserve"> </w:t>
      </w:r>
      <w:r>
        <w:t xml:space="preserve">: la demanderesse, assistée de Me Marie-Josée Ayoub, a fait</w:t>
      </w:r>
      <w:r>
        <w:t xml:space="preserve"> </w:t>
      </w:r>
      <w:r>
        <w:rPr>
          <w:b/>
        </w:rPr>
        <w:t xml:space="preserve">baptiser Nicolas sans la connaissance du père — à plus forte raison sans son consentement</w:t>
      </w:r>
      <w:r>
        <w:t xml:space="preserve">, alors que l’appartenance religieuse est une décision d’autorité parentale requérant l’accord des deux titulaires (art. 600 C.c.Q.). La</w:t>
      </w:r>
      <w:r>
        <w:t xml:space="preserve"> </w:t>
      </w:r>
      <w:r>
        <w:rPr>
          <w:b/>
        </w:rPr>
        <w:t xml:space="preserve">même</w:t>
      </w:r>
      <w:r>
        <w:t xml:space="preserve"> </w:t>
      </w:r>
      <w:r>
        <w:t xml:space="preserve">autorité parentale conjointe est ainsi</w:t>
      </w:r>
      <w:r>
        <w:t xml:space="preserve"> </w:t>
      </w:r>
      <w:r>
        <w:rPr>
          <w:b/>
        </w:rPr>
        <w:t xml:space="preserve">tenue pour rien lorsqu’elle contraint</w:t>
      </w:r>
      <w:r>
        <w:t xml:space="preserve"> </w:t>
      </w:r>
      <w:r>
        <w:t xml:space="preserve">la demanderesse, et</w:t>
      </w:r>
      <w:r>
        <w:t xml:space="preserve"> </w:t>
      </w:r>
      <w:r>
        <w:rPr>
          <w:b/>
        </w:rPr>
        <w:t xml:space="preserve">invoquée</w:t>
      </w:r>
      <w:r>
        <w:t xml:space="preserve"> </w:t>
      </w:r>
      <w:r>
        <w:t xml:space="preserve">lorsqu’elle sert à reprocher au défendeur son « refus » de l’exercer (§30). On ne peut, sans se contredire, faire grief à l’autre de ne pas honorer une autorité conjointe que l’on traite soi-même comme nulle quand elle nous lie. Cette incompatibilité repose sur une</w:t>
      </w:r>
      <w:r>
        <w:t xml:space="preserve"> </w:t>
      </w:r>
      <w:r>
        <w:rPr>
          <w:b/>
        </w:rPr>
        <w:t xml:space="preserve">preuve admissible</w:t>
      </w:r>
      <w:r>
        <w:t xml:space="preserve"> </w:t>
      </w:r>
      <w:r>
        <w:t xml:space="preserve">(courriel de famille du 19 juillet 2015) et ne requiert</w:t>
      </w:r>
      <w:r>
        <w:t xml:space="preserve"> </w:t>
      </w:r>
      <w:r>
        <w:rPr>
          <w:b/>
        </w:rPr>
        <w:t xml:space="preserve">pas</w:t>
      </w:r>
      <w:r>
        <w:t xml:space="preserve"> </w:t>
      </w:r>
      <w:r>
        <w:t xml:space="preserve">la lettre du 2 septembre.</w:t>
      </w:r>
    </w:p>
    <w:p>
      <w:pPr>
        <w:pStyle w:val="Heading2"/>
      </w:pPr>
      <w:bookmarkStart w:id="166" w:name="force-probatoire-9"/>
      <w:r>
        <w:t xml:space="preserve">3. Force probatoire</w:t>
      </w:r>
      <w:bookmarkEnd w:id="166"/>
    </w:p>
    <w:p>
      <w:pPr>
        <w:pStyle w:val="FirstParagraph"/>
      </w:pPr>
      <w:r>
        <w:rPr>
          <w:b/>
        </w:rPr>
        <w:t xml:space="preserve">Moyenne à forte sur le plan documentaire; force procédurale conditionnelle.</w:t>
      </w:r>
    </w:p>
    <w:p>
      <w:pPr>
        <w:pStyle w:val="Compact"/>
        <w:numPr>
          <w:numId w:val="1074"/>
          <w:ilvl w:val="0"/>
        </w:numPr>
      </w:pPr>
      <w:r>
        <w:t xml:space="preserve">La concession repose sur les propres mots du demandeur.</w:t>
      </w:r>
    </w:p>
    <w:p>
      <w:pPr>
        <w:pStyle w:val="Compact"/>
        <w:numPr>
          <w:numId w:val="1074"/>
          <w:ilvl w:val="0"/>
        </w:numPr>
      </w:pPr>
      <w:r>
        <w:t xml:space="preserve">La contradiction temporelle repose sur une lettre formelle de son procureur adressée à Me Ayoub.</w:t>
      </w:r>
    </w:p>
    <w:p>
      <w:pPr>
        <w:pStyle w:val="Compact"/>
        <w:numPr>
          <w:numId w:val="1074"/>
          <w:ilvl w:val="0"/>
        </w:numPr>
      </w:pPr>
      <w:r>
        <w:t xml:space="preserve">La limite est importante : les messages du demandeur fournissent un fondement substantiel à la représentation adverse.</w:t>
      </w:r>
    </w:p>
    <w:p>
      <w:pPr>
        <w:pStyle w:val="Compact"/>
        <w:numPr>
          <w:numId w:val="1074"/>
          <w:ilvl w:val="0"/>
        </w:numPr>
      </w:pPr>
      <w:r>
        <w:t xml:space="preserve">Le projet du 13 août et la réponse « sous toutes réserves » du 2 septembre peuvent relever du privilège relatif aux règlements.</w:t>
      </w:r>
    </w:p>
    <w:p>
      <w:pPr>
        <w:pStyle w:val="Heading2"/>
      </w:pPr>
      <w:bookmarkStart w:id="167" w:name="concessions-3"/>
      <w:r>
        <w:t xml:space="preserve">4. Concessions</w:t>
      </w:r>
      <w:bookmarkEnd w:id="167"/>
    </w:p>
    <w:p>
      <w:pPr>
        <w:pStyle w:val="Compact"/>
        <w:numPr>
          <w:numId w:val="1075"/>
          <w:ilvl w:val="0"/>
        </w:numPr>
      </w:pPr>
      <w:r>
        <w:t xml:space="preserve">En mai 2015, le demandeur a demandé à ne plus devoir consentir aux voyages et a exprimé le souhait que la mère puisse agir sans sa permission.</w:t>
      </w:r>
    </w:p>
    <w:p>
      <w:pPr>
        <w:pStyle w:val="Compact"/>
        <w:numPr>
          <w:numId w:val="1075"/>
          <w:ilvl w:val="0"/>
        </w:numPr>
      </w:pPr>
      <w:r>
        <w:t xml:space="preserve">Le 1er août, il a demandé le transfert de certains attributs et nommé les voyages, l’école, les traitements et les psychologues.</w:t>
      </w:r>
    </w:p>
    <w:p>
      <w:pPr>
        <w:pStyle w:val="Compact"/>
        <w:numPr>
          <w:numId w:val="1075"/>
          <w:ilvl w:val="0"/>
        </w:numPr>
      </w:pPr>
      <w:r>
        <w:t xml:space="preserve">Le §31 rapporte correctement cette demande.</w:t>
      </w:r>
    </w:p>
    <w:p>
      <w:pPr>
        <w:pStyle w:val="Heading2"/>
      </w:pPr>
      <w:bookmarkStart w:id="168" w:name="faits-documentés-et-statut-1"/>
      <w:r>
        <w:t xml:space="preserve">5. Faits documentés et statut</w:t>
      </w:r>
      <w:bookmarkEnd w:id="168"/>
    </w:p>
    <w:p>
      <w:pPr>
        <w:pStyle w:val="Compact"/>
        <w:numPr>
          <w:numId w:val="1076"/>
          <w:ilvl w:val="0"/>
        </w:numPr>
      </w:pPr>
      <w:r>
        <w:t xml:space="preserve">Le 12 mai 2015, le demandeur a demandé à son procureur qu’une entente lui évite d’avoir à consentir aux voyages et permette à la mère d’agir sans lui demander la permission; cette communication demeure une source interne potentiellement privilégiée.</w:t>
      </w:r>
    </w:p>
    <w:p>
      <w:pPr>
        <w:pStyle w:val="Compact"/>
        <w:numPr>
          <w:numId w:val="1076"/>
          <w:ilvl w:val="0"/>
        </w:numPr>
      </w:pPr>
      <w:r>
        <w:t xml:space="preserve">Le 19 juillet, Nicolas a été baptisé sans que le demandeur ait été informé ou invité, selon son courriel contemporain ; Me Marie-Josée Ayoub, procureure de la demanderesse, y a été inscrite comme marraine (certificat</w:t>
      </w:r>
      <w:r>
        <w:t xml:space="preserve"> </w:t>
      </w:r>
      <w:r>
        <w:rPr>
          <w:rStyle w:val="VerbatimChar"/>
        </w:rPr>
        <w:t xml:space="preserve">piece_pdf-80.md</w:t>
      </w:r>
      <w:r>
        <w:t xml:space="preserve"> </w:t>
      </w:r>
      <w:r>
        <w:t xml:space="preserve">; confirmation de la paroisse</w:t>
      </w:r>
      <w:r>
        <w:t xml:space="preserve"> </w:t>
      </w:r>
      <w:r>
        <w:rPr>
          <w:rStyle w:val="VerbatimChar"/>
        </w:rPr>
        <w:t xml:space="preserve">piece_thread-158_email-633.md</w:t>
      </w:r>
      <w:r>
        <w:t xml:space="preserve">).</w:t>
      </w:r>
    </w:p>
    <w:p>
      <w:pPr>
        <w:pStyle w:val="Compact"/>
        <w:numPr>
          <w:numId w:val="1076"/>
          <w:ilvl w:val="0"/>
        </w:numPr>
      </w:pPr>
      <w:r>
        <w:t xml:space="preserve">Le 1er août, le demandeur a demandé un transfert d’attributs et déclaré ne plus vouloir signer ou être consulté pour plusieurs catégories de décisions.</w:t>
      </w:r>
    </w:p>
    <w:p>
      <w:pPr>
        <w:pStyle w:val="Compact"/>
        <w:numPr>
          <w:numId w:val="1076"/>
          <w:ilvl w:val="0"/>
        </w:numPr>
      </w:pPr>
      <w:r>
        <w:t xml:space="preserve">Le 13 août, un projet de consentement non signé a proposé l’autorité conjointe à l’article 2 et la décision exclusive de la mère à l’article 3.</w:t>
      </w:r>
    </w:p>
    <w:p>
      <w:pPr>
        <w:pStyle w:val="Compact"/>
        <w:numPr>
          <w:numId w:val="1076"/>
          <w:ilvl w:val="0"/>
        </w:numPr>
      </w:pPr>
      <w:r>
        <w:t xml:space="preserve">Le projet précisait qu’il ne deviendrait valide qu’après la signature des deux parties ; il n’a jamais été signé.</w:t>
      </w:r>
    </w:p>
    <w:p>
      <w:pPr>
        <w:pStyle w:val="Compact"/>
        <w:numPr>
          <w:numId w:val="1076"/>
          <w:ilvl w:val="0"/>
        </w:numPr>
      </w:pPr>
      <w:r>
        <w:t xml:space="preserve">Le 2 septembre, le demandeur a formellement exigé le retrait de l’article 3 parce qu’il ne consentait pas à ce que la demanderesse prenne</w:t>
      </w:r>
      <w:r>
        <w:t xml:space="preserve"> </w:t>
      </w:r>
      <w:r>
        <w:rPr>
          <w:b/>
        </w:rPr>
        <w:t xml:space="preserve">toutes les décisions</w:t>
      </w:r>
      <w:r>
        <w:t xml:space="preserve"> </w:t>
      </w:r>
      <w:r>
        <w:t xml:space="preserve">concernant les enfants — reprenant les mots exacts du futur §30.</w:t>
      </w:r>
    </w:p>
    <w:p>
      <w:pPr>
        <w:pStyle w:val="Compact"/>
        <w:numPr>
          <w:numId w:val="1076"/>
          <w:ilvl w:val="0"/>
        </w:numPr>
      </w:pPr>
      <w:r>
        <w:t xml:space="preserve">Il a également demandé une autorisation réciproque pour les voyages et une transition vers la garde partagée.</w:t>
      </w:r>
    </w:p>
    <w:p>
      <w:pPr>
        <w:pStyle w:val="Compact"/>
        <w:numPr>
          <w:numId w:val="1076"/>
          <w:ilvl w:val="0"/>
        </w:numPr>
      </w:pPr>
      <w:r>
        <w:t xml:space="preserve">Le 19 novembre, la Requête a reproduit la position de mai-août sans mentionner la position formelle du 2 septembre.</w:t>
      </w:r>
    </w:p>
    <w:p>
      <w:pPr>
        <w:pStyle w:val="Heading2"/>
      </w:pPr>
      <w:bookmarkStart w:id="169" w:name="inférences-réservées-aux-moyens-8"/>
      <w:r>
        <w:t xml:space="preserve">6. Inférences réservées aux moyens</w:t>
      </w:r>
      <w:bookmarkEnd w:id="169"/>
    </w:p>
    <w:p>
      <w:pPr>
        <w:pStyle w:val="Compact"/>
        <w:numPr>
          <w:numId w:val="1077"/>
          <w:ilvl w:val="0"/>
        </w:numPr>
      </w:pPr>
      <w:r>
        <w:t xml:space="preserve">Le mot « préférant » attribue une motivation stable alors que les pièces montrent au minimum une évolution ou une oscillation.</w:t>
      </w:r>
    </w:p>
    <w:p>
      <w:pPr>
        <w:pStyle w:val="Compact"/>
        <w:numPr>
          <w:numId w:val="1077"/>
          <w:ilvl w:val="0"/>
        </w:numPr>
      </w:pPr>
      <w:r>
        <w:t xml:space="preserve">Le présent « refuse » ne restitue pas la position formelle la plus récente connue de Me Ayoub.</w:t>
      </w:r>
    </w:p>
    <w:p>
      <w:pPr>
        <w:pStyle w:val="Compact"/>
        <w:numPr>
          <w:numId w:val="1077"/>
          <w:ilvl w:val="0"/>
        </w:numPr>
      </w:pPr>
      <w:r>
        <w:t xml:space="preserve">« Toutes les décisions » généralise les catégories nommées par le demandeur, malgré la formulation large de mai.</w:t>
      </w:r>
    </w:p>
    <w:p>
      <w:pPr>
        <w:pStyle w:val="Compact"/>
        <w:numPr>
          <w:numId w:val="1077"/>
          <w:ilvl w:val="0"/>
        </w:numPr>
      </w:pPr>
      <w:r>
        <w:t xml:space="preserve">Si elle est admissible, la lettre du 2 septembre montre une position plus complète que celle présentée dans la Requête.</w:t>
      </w:r>
    </w:p>
    <w:p>
      <w:pPr>
        <w:pStyle w:val="Compact"/>
        <w:numPr>
          <w:numId w:val="1077"/>
          <w:ilvl w:val="0"/>
        </w:numPr>
      </w:pPr>
      <w:r>
        <w:t xml:space="preserve">Le baptême montre que la demanderesse avait elle-même exercé une décision importante sans informer le demandeur ; il contextualise la dynamique, mais ne prouve pas la cause des messages d’août. Que Me Marie-Josée Ayoub, procureure de la demanderesse, y ait été marraine souligne le caractère unilatéral de la décision — cette exclusion est</w:t>
      </w:r>
      <w:r>
        <w:t xml:space="preserve"> </w:t>
      </w:r>
      <w:r>
        <w:rPr>
          <w:b/>
        </w:rPr>
        <w:t xml:space="preserve">antérieure</w:t>
      </w:r>
      <w:r>
        <w:t xml:space="preserve"> </w:t>
      </w:r>
      <w:r>
        <w:t xml:space="preserve">à la renonciation du demandeur, ce qui pondère la thèse d’un père « préférant » que la mère décide de tout.</w:t>
      </w:r>
    </w:p>
    <w:p>
      <w:pPr>
        <w:pStyle w:val="Compact"/>
        <w:numPr>
          <w:numId w:val="1077"/>
          <w:ilvl w:val="0"/>
        </w:numPr>
      </w:pPr>
      <w:r>
        <w:rPr>
          <w:b/>
        </w:rPr>
        <w:t xml:space="preserve">Instrumentalisation de la norme (art. 6-7 C.c.Q. ; abus, art. 51 C.p.c.).</w:t>
      </w:r>
      <w:r>
        <w:t xml:space="preserve"> </w:t>
      </w:r>
      <w:r>
        <w:t xml:space="preserve">Invoquer l’autorité parentale conjointe pour reprocher au défendeur (§30) après l’avoir soi-même écartée (baptême) révèle une norme</w:t>
      </w:r>
      <w:r>
        <w:t xml:space="preserve"> </w:t>
      </w:r>
      <w:r>
        <w:rPr>
          <w:b/>
        </w:rPr>
        <w:t xml:space="preserve">maniée comme un outil</w:t>
      </w:r>
      <w:r>
        <w:t xml:space="preserve"> </w:t>
      </w:r>
      <w:r>
        <w:t xml:space="preserve">— brandie quand elle sert, écartée quand elle contraint — et non une valeur tenue. L’indignation affichée au §30 est ainsi</w:t>
      </w:r>
      <w:r>
        <w:t xml:space="preserve"> </w:t>
      </w:r>
      <w:r>
        <w:rPr>
          <w:b/>
        </w:rPr>
        <w:t xml:space="preserve">insincère</w:t>
      </w:r>
      <w:r>
        <w:t xml:space="preserve"> </w:t>
      </w:r>
      <w:r>
        <w:t xml:space="preserve">(cf. [[feedback_test_sincerite]], [[feedback_rotation_des_motifs]]). Plancher théorique complet :</w:t>
      </w:r>
      <w:r>
        <w:t xml:space="preserve"> </w:t>
      </w:r>
      <w:hyperlink r:id="rId138">
        <w:r>
          <w:rPr>
            <w:rStyle w:val="Hyperlink"/>
          </w:rPr>
          <w:t xml:space="preserve">these_norme_instrument_soumission.md</w:t>
        </w:r>
      </w:hyperlink>
      <w:r>
        <w:t xml:space="preserve"> </w:t>
      </w:r>
      <w:r>
        <w:t xml:space="preserve">— la norme cesse d’être commune et devient</w:t>
      </w:r>
      <w:r>
        <w:t xml:space="preserve"> </w:t>
      </w:r>
      <w:r>
        <w:rPr>
          <w:b/>
        </w:rPr>
        <w:t xml:space="preserve">gouvernement différentiel</w:t>
      </w:r>
      <w:r>
        <w:t xml:space="preserve"> </w:t>
      </w:r>
      <w:r>
        <w:t xml:space="preserve">(obligation pour le père, ressource manipulable pour la partie adverse) ; le</w:t>
      </w:r>
      <w:r>
        <w:t xml:space="preserve"> </w:t>
      </w:r>
      <w:r>
        <w:rPr>
          <w:b/>
        </w:rPr>
        <w:t xml:space="preserve">savoir professionnel de Me Ayoub</w:t>
      </w:r>
      <w:r>
        <w:t xml:space="preserve"> </w:t>
      </w:r>
      <w:r>
        <w:t xml:space="preserve">rend l’asymétrie structurelle et porte le</w:t>
      </w:r>
      <w:r>
        <w:t xml:space="preserve"> </w:t>
      </w:r>
      <w:r>
        <w:rPr>
          <w:b/>
        </w:rPr>
        <w:t xml:space="preserve">scienter</w:t>
      </w:r>
      <w:r>
        <w:t xml:space="preserve">.</w:t>
      </w:r>
      <w:r>
        <w:t xml:space="preserve"> </w:t>
      </w:r>
      <w:r>
        <w:rPr>
          <w:b/>
        </w:rPr>
        <w:t xml:space="preserve">Clean hands</w:t>
      </w:r>
      <w:r>
        <w:t xml:space="preserve"> </w:t>
      </w:r>
      <w:r>
        <w:t xml:space="preserve">: ne pas plaider que la norme a cessé de lier (elle demeure obligatoire ; on vise le rapport instrumental de l’adverse, prouvé par sa conduite).</w:t>
      </w:r>
    </w:p>
    <w:p>
      <w:pPr>
        <w:pStyle w:val="Compact"/>
        <w:numPr>
          <w:numId w:val="1077"/>
          <w:ilvl w:val="0"/>
        </w:numPr>
      </w:pPr>
      <w:r>
        <w:rPr>
          <w:b/>
        </w:rPr>
        <w:t xml:space="preserve">Lecture réservée (moyen, non plaidée comme fait) :</w:t>
      </w:r>
      <w:r>
        <w:t xml:space="preserve"> </w:t>
      </w:r>
      <w:r>
        <w:t xml:space="preserve">la renonciation du défendeur peut se lire comme une</w:t>
      </w:r>
      <w:r>
        <w:t xml:space="preserve"> </w:t>
      </w:r>
      <w:r>
        <w:rPr>
          <w:b/>
        </w:rPr>
        <w:t xml:space="preserve">réponse rationnelle</w:t>
      </w:r>
      <w:r>
        <w:t xml:space="preserve"> </w:t>
      </w:r>
      <w:r>
        <w:t xml:space="preserve">à une coparentalité déjà déconsidérée unilatéralement — nul n’étant tenu de rester fidèle à une autorité conjointe que l’autre traite comme nulle. Cette lecture demeure un</w:t>
      </w:r>
      <w:r>
        <w:t xml:space="preserve"> </w:t>
      </w:r>
      <w:r>
        <w:rPr>
          <w:b/>
        </w:rPr>
        <w:t xml:space="preserve">moyen</w:t>
      </w:r>
      <w:r>
        <w:t xml:space="preserve"> </w:t>
      </w:r>
      <w:r>
        <w:t xml:space="preserve">; elle n’est</w:t>
      </w:r>
      <w:r>
        <w:t xml:space="preserve"> </w:t>
      </w:r>
      <w:r>
        <w:rPr>
          <w:b/>
        </w:rPr>
        <w:t xml:space="preserve">pas</w:t>
      </w:r>
      <w:r>
        <w:t xml:space="preserve"> </w:t>
      </w:r>
      <w:r>
        <w:t xml:space="preserve">plaidée comme lien causal prouvé (aucune pièce n’établit ce lien).</w:t>
      </w:r>
    </w:p>
    <w:p>
      <w:pPr>
        <w:pStyle w:val="Heading2"/>
      </w:pPr>
      <w:bookmarkStart w:id="170" w:name="inférences-exclues-4"/>
      <w:r>
        <w:t xml:space="preserve">7. Inférences exclues</w:t>
      </w:r>
      <w:bookmarkEnd w:id="170"/>
    </w:p>
    <w:p>
      <w:pPr>
        <w:pStyle w:val="Compact"/>
        <w:numPr>
          <w:numId w:val="1078"/>
          <w:ilvl w:val="0"/>
        </w:numPr>
      </w:pPr>
      <w:r>
        <w:t xml:space="preserve">Ne pas contester le §31.</w:t>
      </w:r>
    </w:p>
    <w:p>
      <w:pPr>
        <w:pStyle w:val="Compact"/>
        <w:numPr>
          <w:numId w:val="1078"/>
          <w:ilvl w:val="0"/>
        </w:numPr>
      </w:pPr>
      <w:r>
        <w:t xml:space="preserve">Ne pas nier les courriels et messages de renonciation.</w:t>
      </w:r>
    </w:p>
    <w:p>
      <w:pPr>
        <w:pStyle w:val="Compact"/>
        <w:numPr>
          <w:numId w:val="1078"/>
          <w:ilvl w:val="0"/>
        </w:numPr>
      </w:pPr>
      <w:r>
        <w:t xml:space="preserve">Ne pas affirmer que le projet du 13 août a été signé, accepté ou opposable.</w:t>
      </w:r>
    </w:p>
    <w:p>
      <w:pPr>
        <w:pStyle w:val="Compact"/>
        <w:numPr>
          <w:numId w:val="1078"/>
          <w:ilvl w:val="0"/>
        </w:numPr>
      </w:pPr>
      <w:r>
        <w:t xml:space="preserve">Ne pas présenter le baptême comme cause démontrée des messages du demandeur.</w:t>
      </w:r>
    </w:p>
    <w:p>
      <w:pPr>
        <w:pStyle w:val="Compact"/>
        <w:numPr>
          <w:numId w:val="1078"/>
          <w:ilvl w:val="0"/>
        </w:numPr>
      </w:pPr>
      <w:r>
        <w:t xml:space="preserve">Ne pas présenter la lettre du 2 septembre comme preuve d’une position constante depuis la séparation.</w:t>
      </w:r>
    </w:p>
    <w:p>
      <w:pPr>
        <w:pStyle w:val="Compact"/>
        <w:numPr>
          <w:numId w:val="1078"/>
          <w:ilvl w:val="0"/>
        </w:numPr>
      </w:pPr>
      <w:r>
        <w:t xml:space="preserve">Ne pas qualifier §30 de fabrication intégrale.</w:t>
      </w:r>
    </w:p>
    <w:p>
      <w:pPr>
        <w:pStyle w:val="Heading2"/>
      </w:pPr>
      <w:bookmarkStart w:id="171" w:name="pièces-nécessaires-8"/>
      <w:r>
        <w:t xml:space="preserve">8. Pièces nécessaires</w:t>
      </w:r>
      <w:bookmarkEnd w:id="17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rPr>
                <w:rStyle w:val="VerbatimChar"/>
              </w:rPr>
              <w:t xml:space="preserve">piece_thread-100_email-404.md</w:t>
            </w:r>
          </w:p>
        </w:tc>
        <w:tc>
          <w:p>
            <w:pPr>
              <w:pStyle w:val="Compact"/>
              <w:jc w:val="left"/>
            </w:pPr>
            <w:r>
              <w:t xml:space="preserve">disponible; privilège avocat-client à évaluer</w:t>
            </w:r>
          </w:p>
        </w:tc>
      </w:tr>
      <w:tr>
        <w:tc>
          <w:p>
            <w:pPr>
              <w:pStyle w:val="Compact"/>
              <w:jc w:val="left"/>
            </w:pPr>
            <w:r>
              <w:t xml:space="preserve">2</w:t>
            </w:r>
          </w:p>
        </w:tc>
        <w:tc>
          <w:p>
            <w:pPr>
              <w:pStyle w:val="Compact"/>
              <w:jc w:val="left"/>
            </w:pPr>
            <w:r>
              <w:rPr>
                <w:rStyle w:val="VerbatimChar"/>
              </w:rPr>
              <w:t xml:space="preserve">piece_thread-76_email-343.md</w:t>
            </w:r>
          </w:p>
        </w:tc>
        <w:tc>
          <w:p>
            <w:pPr>
              <w:pStyle w:val="Compact"/>
              <w:jc w:val="left"/>
            </w:pPr>
            <w:r>
              <w:t xml:space="preserve">disponible</w:t>
            </w:r>
          </w:p>
        </w:tc>
      </w:tr>
      <w:tr>
        <w:tc>
          <w:p>
            <w:pPr>
              <w:pStyle w:val="Compact"/>
              <w:jc w:val="left"/>
            </w:pPr>
            <w:r>
              <w:t xml:space="preserve">3</w:t>
            </w:r>
          </w:p>
        </w:tc>
        <w:tc>
          <w:p>
            <w:pPr>
              <w:pStyle w:val="Compact"/>
              <w:jc w:val="left"/>
            </w:pPr>
            <w:r>
              <w:rPr>
                <w:rStyle w:val="VerbatimChar"/>
              </w:rPr>
              <w:t xml:space="preserve">piece_photodoc-13.md</w:t>
            </w:r>
          </w:p>
        </w:tc>
        <w:tc>
          <w:p>
            <w:pPr>
              <w:pStyle w:val="Compact"/>
              <w:jc w:val="left"/>
            </w:pPr>
            <w:r>
              <w:t xml:space="preserve">disponible</w:t>
            </w:r>
          </w:p>
        </w:tc>
      </w:tr>
      <w:tr>
        <w:tc>
          <w:p>
            <w:pPr>
              <w:pStyle w:val="Compact"/>
              <w:jc w:val="left"/>
            </w:pPr>
            <w:r>
              <w:t xml:space="preserve">4-5</w:t>
            </w:r>
          </w:p>
        </w:tc>
        <w:tc>
          <w:p>
            <w:pPr>
              <w:pStyle w:val="Compact"/>
              <w:jc w:val="left"/>
            </w:pPr>
            <w:r>
              <w:rPr>
                <w:rStyle w:val="VerbatimChar"/>
              </w:rPr>
              <w:t xml:space="preserve">piece_pdf-5.md</w:t>
            </w:r>
            <w:r>
              <w:t xml:space="preserve">, art. 2-3 et 21</w:t>
            </w:r>
          </w:p>
        </w:tc>
        <w:tc>
          <w:p>
            <w:pPr>
              <w:pStyle w:val="Compact"/>
              <w:jc w:val="left"/>
            </w:pPr>
            <w:r>
              <w:t xml:space="preserve">disponible; privilège de règlement à évaluer</w:t>
            </w:r>
          </w:p>
        </w:tc>
      </w:tr>
      <w:tr>
        <w:tc>
          <w:p>
            <w:pPr>
              <w:pStyle w:val="Compact"/>
              <w:jc w:val="left"/>
            </w:pPr>
            <w:r>
              <w:t xml:space="preserve">6-7</w:t>
            </w:r>
          </w:p>
        </w:tc>
        <w:tc>
          <w:p>
            <w:pPr>
              <w:pStyle w:val="Compact"/>
              <w:jc w:val="left"/>
            </w:pPr>
            <w:r>
              <w:rPr>
                <w:rStyle w:val="VerbatimChar"/>
              </w:rPr>
              <w:t xml:space="preserve">piece_pdf-6.md</w:t>
            </w:r>
          </w:p>
        </w:tc>
        <w:tc>
          <w:p>
            <w:pPr>
              <w:pStyle w:val="Compact"/>
              <w:jc w:val="left"/>
            </w:pPr>
            <w:r>
              <w:t xml:space="preserve">disponible; privilège de règlement à évaluer</w:t>
            </w:r>
          </w:p>
        </w:tc>
      </w:tr>
      <w:tr>
        <w:tc>
          <w:p>
            <w:pPr>
              <w:pStyle w:val="Compact"/>
              <w:jc w:val="left"/>
            </w:pPr>
            <w:r>
              <w:t xml:space="preserve">8</w:t>
            </w:r>
          </w:p>
        </w:tc>
        <w:tc>
          <w:p>
            <w:pPr>
              <w:pStyle w:val="Compact"/>
              <w:jc w:val="left"/>
            </w:pPr>
            <w:r>
              <w:rPr>
                <w:rStyle w:val="VerbatimChar"/>
              </w:rPr>
              <w:t xml:space="preserve">piece_document-1.md</w:t>
            </w:r>
            <w:r>
              <w:t xml:space="preserve">, §30-31</w:t>
            </w:r>
          </w:p>
        </w:tc>
        <w:tc>
          <w:p>
            <w:pPr>
              <w:pStyle w:val="Compact"/>
              <w:jc w:val="left"/>
            </w:pPr>
            <w:r>
              <w:t xml:space="preserve">disponible</w:t>
            </w:r>
          </w:p>
        </w:tc>
      </w:tr>
    </w:tbl>
    <w:p>
      <w:pPr>
        <w:pStyle w:val="Heading2"/>
      </w:pPr>
      <w:bookmarkStart w:id="172" w:name="Xe7600b1f148a87424f40e1fc497cf9c41d3a3a8"/>
      <w:r>
        <w:t xml:space="preserve">9. Version procédurale distillée, sous réserve d’admissibilité</w:t>
      </w:r>
      <w:bookmarkEnd w:id="172"/>
    </w:p>
    <w:p>
      <w:pPr>
        <w:pStyle w:val="Compact"/>
        <w:numPr>
          <w:numId w:val="1079"/>
          <w:ilvl w:val="0"/>
        </w:numPr>
      </w:pPr>
      <w:r>
        <w:t xml:space="preserve">Le demandeur reconnaît avoir demandé, en août 2015, à ne plus devoir intervenir dans certaines décisions concernant les enfants; il ne conteste donc pas le §31.</w:t>
      </w:r>
      <w:r>
        <w:t xml:space="preserve"> </w:t>
      </w:r>
      <w:r>
        <w:t xml:space="preserve">1-bis. Cette renonciation était toutefois postérieure au baptême de Nicolas, célébré le 19 juillet 2015 sans que le demandeur en soit informé ni invité, et pour lequel la procureure de la demanderesse, Me Marie-Josée Ayoub, a été inscrite comme marraine — décision d’autorité parentale prise en excluant le père.</w:t>
      </w:r>
      <w:r>
        <w:t xml:space="preserve"> </w:t>
      </w:r>
      <w:r>
        <w:rPr>
          <w:i/>
        </w:rPr>
        <w:t xml:space="preserve">(Volet admissible, indépendant du privilège.)</w:t>
      </w:r>
    </w:p>
    <w:p>
      <w:pPr>
        <w:pStyle w:val="Compact"/>
        <w:numPr>
          <w:numId w:val="1079"/>
          <w:ilvl w:val="0"/>
        </w:numPr>
      </w:pPr>
      <w:r>
        <w:t xml:space="preserve">Le projet de consentement du 13 août qui envisageait que la mère décide seule n’a jamais été signé et ne devenait valide qu’après la signature des deux parties.</w:t>
      </w:r>
    </w:p>
    <w:p>
      <w:pPr>
        <w:pStyle w:val="Compact"/>
        <w:numPr>
          <w:numId w:val="1079"/>
          <w:ilvl w:val="0"/>
        </w:numPr>
      </w:pPr>
      <w:r>
        <w:t xml:space="preserve">Le 2 septembre 2015, le demandeur a formellement exigé le retrait de cette clause parce qu’il ne consentait pas à ce que la demanderesse prenne toutes les décisions concernant les enfants — reprenant les termes mêmes du futur §30.</w:t>
      </w:r>
    </w:p>
    <w:p>
      <w:pPr>
        <w:pStyle w:val="Compact"/>
        <w:numPr>
          <w:numId w:val="1079"/>
          <w:ilvl w:val="0"/>
        </w:numPr>
      </w:pPr>
      <w:r>
        <w:t xml:space="preserve">Il a également demandé que les autorisations de voyage deviennent réciproques et que la progression des accès mène à une garde partagée.</w:t>
      </w:r>
    </w:p>
    <w:p>
      <w:pPr>
        <w:pStyle w:val="Compact"/>
        <w:numPr>
          <w:numId w:val="1079"/>
          <w:ilvl w:val="0"/>
        </w:numPr>
      </w:pPr>
      <w:r>
        <w:t xml:space="preserve">La Requête a présenté la renonciation exprimée en mai-août comme la préférence actuelle et générale du demandeur, sans révéler sa position formelle inverse du 2 septembre.</w:t>
      </w:r>
    </w:p>
    <w:p>
      <w:pPr>
        <w:pStyle w:val="Heading2"/>
      </w:pPr>
      <w:bookmarkStart w:id="173" w:name="usage-dans-la-demande-introductive-4"/>
      <w:r>
        <w:t xml:space="preserve">10. Usage dans la demande introductive</w:t>
      </w:r>
      <w:bookmarkEnd w:id="173"/>
    </w:p>
    <w:p>
      <w:pPr>
        <w:pStyle w:val="FirstParagraph"/>
      </w:pPr>
      <w:r>
        <w:t xml:space="preserve">Ce bloc doit conduire avec la concession. Sa contribution n’est pas de transformer une position oscillante en vertu constante du demandeur, mais de montrer une méthode de sélection temporelle : la Requête conserve le moment de renonciation qui lui est défavorable et omet la réaffirmation formelle antérieure au serment.</w:t>
      </w:r>
    </w:p>
    <w:p>
      <w:pPr>
        <w:pStyle w:val="Heading2"/>
      </w:pPr>
      <w:bookmarkStart w:id="174" w:name="prudence-secret-professionnel-1"/>
      <w:r>
        <w:t xml:space="preserve">11. Prudence — secret professionnel</w:t>
      </w:r>
      <w:bookmarkEnd w:id="174"/>
    </w:p>
    <w:p>
      <w:pPr>
        <w:pStyle w:val="FirstParagraph"/>
      </w:pPr>
      <w:r>
        <w:t xml:space="preserve">Le courriel interne du 12 mai entre le défendeur et son avocat est potentiellement privilégié. Il n’est pas nécessaire à la concession : P-5 suffit. Le projet du 13 août et la réponse « sous toutes réserves » du 2 septembre peuvent aussi relever du privilège relatif aux règlements. Puisque la contradiction temporelle dépend du 2 septembre, l’usage procédural de ce pont doit être validé avec un avocat avant son intégration.</w:t>
      </w:r>
    </w:p>
    <w:p>
      <w:pPr>
        <w:pStyle w:val="BodyText"/>
      </w:pPr>
      <w:r>
        <w:t xml:space="preserve">En l’absence d’une exception applicable ou d’une preuve non privilégiée équivalente, le §31 demeure simplement concédé et la contestation du §30 perd l’essentiel de sa force procédurale.</w:t>
      </w:r>
    </w:p>
    <w:p>
      <w:r>
        <w:pict>
          <v:rect style="width:0;height:1.5pt" o:hralign="center" o:hrstd="t" o:hr="t"/>
        </w:pict>
      </w:r>
    </w:p>
    <w:p>
      <w:pPr>
        <w:pStyle w:val="Heading1"/>
      </w:pPr>
      <w:bookmarkStart w:id="175" w:name="X7e845c410be2241c9d9a870cc34d4e9427fb5ce"/>
      <w:r>
        <w:t xml:space="preserve">Pont — §56 et §57 de la Requête du 19 novembre 2015</w:t>
      </w:r>
      <w:bookmarkEnd w:id="175"/>
    </w:p>
    <w:p>
      <w:pPr>
        <w:pStyle w:val="Heading2"/>
      </w:pPr>
      <w:bookmarkStart w:id="176" w:name="allégations-visées-6"/>
      <w:r>
        <w:t xml:space="preserve">1. Allégations visées</w:t>
      </w:r>
      <w:bookmarkEnd w:id="176"/>
    </w:p>
    <w:p>
      <w:pPr>
        <w:pStyle w:val="BlockText"/>
      </w:pPr>
      <w:r>
        <w:rPr>
          <w:b/>
        </w:rPr>
        <w:t xml:space="preserve">§56</w:t>
      </w:r>
      <w:r>
        <w:t xml:space="preserve"> </w:t>
      </w:r>
      <w:r>
        <w:rPr>
          <w:i/>
        </w:rPr>
        <w:t xml:space="preserve">(stmt 66)</w:t>
      </w:r>
      <w:r>
        <w:t xml:space="preserve"> </w:t>
      </w:r>
      <w:r>
        <w:t xml:space="preserve">— « Les enfants ont toujours été couverts par les assurances médicales et médicaments du défendeur. »</w:t>
      </w:r>
    </w:p>
    <w:p>
      <w:pPr>
        <w:pStyle w:val="BlockText"/>
      </w:pPr>
      <w:r>
        <w:rPr>
          <w:b/>
        </w:rPr>
        <w:t xml:space="preserve">§57</w:t>
      </w:r>
      <w:r>
        <w:t xml:space="preserve"> </w:t>
      </w:r>
      <w:r>
        <w:rPr>
          <w:i/>
        </w:rPr>
        <w:t xml:space="preserve">(stmt 67)</w:t>
      </w:r>
      <w:r>
        <w:t xml:space="preserve"> </w:t>
      </w:r>
      <w:r>
        <w:t xml:space="preserve">— « À ce jour, le défendeur refuse que la demanderesse utilise les dites assurances lorsqu’elle achète les médicaments pour les enfants et pour les consultations de spécialistes de la santé. »</w:t>
      </w:r>
    </w:p>
    <w:p>
      <w:pPr>
        <w:pStyle w:val="BlockText"/>
      </w:pPr>
      <w:r>
        <w:rPr>
          <w:b/>
        </w:rPr>
        <w:t xml:space="preserve">§57a</w:t>
      </w:r>
      <w:r>
        <w:t xml:space="preserve"> </w:t>
      </w:r>
      <w:r>
        <w:rPr>
          <w:i/>
        </w:rPr>
        <w:t xml:space="preserve">(stmt 68)</w:t>
      </w:r>
      <w:r>
        <w:t xml:space="preserve"> </w:t>
      </w:r>
      <w:r>
        <w:t xml:space="preserve">— « Lui seul peut bénéficier d’utiliser le service lorsqu’il a les enfants et refuse de payer la différence non couverte par les assurances. »</w:t>
      </w:r>
    </w:p>
    <w:p>
      <w:pPr>
        <w:pStyle w:val="FirstParagraph"/>
      </w:pPr>
      <w:r>
        <w:t xml:space="preserve">Source :</w:t>
      </w:r>
      <w:r>
        <w:t xml:space="preserve"> </w:t>
      </w:r>
      <w:hyperlink r:id="rId76">
        <w:r>
          <w:rPr>
            <w:rStyle w:val="Hyperlink"/>
          </w:rPr>
          <w:t xml:space="preserve">piece_document-1.md</w:t>
        </w:r>
      </w:hyperlink>
      <w:r>
        <w:t xml:space="preserve">. Faits bruts :</w:t>
      </w:r>
      <w:r>
        <w:t xml:space="preserve"> </w:t>
      </w:r>
      <w:hyperlink r:id="rId177">
        <w:r>
          <w:rPr>
            <w:rStyle w:val="Hyperlink"/>
          </w:rPr>
          <w:t xml:space="preserve">faits_par56-57_2015.md</w:t>
        </w:r>
      </w:hyperlink>
      <w:r>
        <w:t xml:space="preserve">. Analyse :</w:t>
      </w:r>
      <w:r>
        <w:t xml:space="preserve"> </w:t>
      </w:r>
      <w:hyperlink r:id="rId178">
        <w:r>
          <w:rPr>
            <w:rStyle w:val="Hyperlink"/>
          </w:rPr>
          <w:t xml:space="preserve">argument paragraphes 56 57.md</w:t>
        </w:r>
      </w:hyperlink>
      <w:r>
        <w:t xml:space="preserve">.</w:t>
      </w:r>
    </w:p>
    <w:p>
      <w:pPr>
        <w:pStyle w:val="Heading2"/>
      </w:pPr>
      <w:bookmarkStart w:id="179" w:name="objectif-de-démonstration-6"/>
      <w:r>
        <w:t xml:space="preserve">2. Objectif de démonstration</w:t>
      </w:r>
      <w:bookmarkEnd w:id="179"/>
    </w:p>
    <w:p>
      <w:pPr>
        <w:pStyle w:val="FirstParagraph"/>
      </w:pPr>
      <w:r>
        <w:rPr>
          <w:b/>
        </w:rPr>
        <w:t xml:space="preserve">Classification : découpage — concéder la couverture, réfuter le pouvoir de contrôle allégué.</w:t>
      </w:r>
    </w:p>
    <w:p>
      <w:pPr>
        <w:pStyle w:val="Compact"/>
        <w:numPr>
          <w:numId w:val="1080"/>
          <w:ilvl w:val="0"/>
        </w:numPr>
      </w:pPr>
      <w:r>
        <w:rPr>
          <w:b/>
        </w:rPr>
        <w:t xml:space="preserve">§56 : concédé.</w:t>
      </w:r>
      <w:r>
        <w:t xml:space="preserve"> </w:t>
      </w:r>
      <w:r>
        <w:t xml:space="preserve">Les enfants étaient couverts par le régime collectif du défendeur. Ils en étaient les bénéficiaires ; le défendeur en était le participant.</w:t>
      </w:r>
    </w:p>
    <w:p>
      <w:pPr>
        <w:pStyle w:val="Compact"/>
        <w:numPr>
          <w:numId w:val="1080"/>
          <w:ilvl w:val="0"/>
        </w:numPr>
      </w:pPr>
      <w:r>
        <w:rPr>
          <w:b/>
        </w:rPr>
        <w:t xml:space="preserve">§57 : réfuté par la combinaison de deux faits.</w:t>
      </w:r>
      <w:r>
        <w:t xml:space="preserve"> </w:t>
      </w:r>
      <w:r>
        <w:t xml:space="preserve">Aucune des seize demandes de règlement n’a eu lieu lorsque la Requête situe les enfants avec le défendeur et le participant ne disposait d’aucun veto transactionnel. Les assurances fonctionnaient donc hors de sa présence sans que leur utilisation dépende de son autorisation.</w:t>
      </w:r>
    </w:p>
    <w:p>
      <w:pPr>
        <w:pStyle w:val="Compact"/>
        <w:numPr>
          <w:numId w:val="1080"/>
          <w:ilvl w:val="0"/>
        </w:numPr>
      </w:pPr>
      <w:r>
        <w:rPr>
          <w:b/>
        </w:rPr>
        <w:t xml:space="preserve">§57a, première branche : réfutée par la même combinaison.</w:t>
      </w:r>
      <w:r>
        <w:t xml:space="preserve"> </w:t>
      </w:r>
      <w:r>
        <w:t xml:space="preserve">Le bénéfice assuré appartenait aux enfants ; la Requête exclut en outre le défendeur comme accompagnateur ou auteur matériel des seize transactions.</w:t>
      </w:r>
    </w:p>
    <w:p>
      <w:pPr>
        <w:pStyle w:val="Compact"/>
        <w:numPr>
          <w:numId w:val="1080"/>
          <w:ilvl w:val="0"/>
        </w:numPr>
      </w:pPr>
      <w:r>
        <w:rPr>
          <w:b/>
        </w:rPr>
        <w:t xml:space="preserve">§57a, seconde branche : inopérante sans demande (non « insuffisamment prouvée »).</w:t>
      </w:r>
      <w:r>
        <w:t xml:space="preserve"> </w:t>
      </w:r>
      <w:r>
        <w:t xml:space="preserve">Un refus suppose une demande à laquelle on oppose un non. Absente une</w:t>
      </w:r>
      <w:r>
        <w:t xml:space="preserve"> </w:t>
      </w:r>
      <w:r>
        <w:rPr>
          <w:b/>
        </w:rPr>
        <w:t xml:space="preserve">demande documentée</w:t>
      </w:r>
      <w:r>
        <w:t xml:space="preserve"> </w:t>
      </w:r>
      <w:r>
        <w:t xml:space="preserve">de payer la différence, l’énoncé n’est pas seulement</w:t>
      </w:r>
      <w:r>
        <w:t xml:space="preserve"> </w:t>
      </w:r>
      <w:r>
        <w:rPr>
          <w:i/>
        </w:rPr>
        <w:t xml:space="preserve">non prouvé</w:t>
      </w:r>
      <w:r>
        <w:t xml:space="preserve"> </w:t>
      </w:r>
      <w:r>
        <w:t xml:space="preserve">: il n’énonce</w:t>
      </w:r>
      <w:r>
        <w:t xml:space="preserve"> </w:t>
      </w:r>
      <w:r>
        <w:rPr>
          <w:b/>
        </w:rPr>
        <w:t xml:space="preserve">aucune proposition falsifiable</w:t>
      </w:r>
      <w:r>
        <w:t xml:space="preserve"> </w:t>
      </w:r>
      <w:r>
        <w:t xml:space="preserve">— il n’entretient</w:t>
      </w:r>
      <w:r>
        <w:t xml:space="preserve"> </w:t>
      </w:r>
      <w:r>
        <w:rPr>
          <w:b/>
        </w:rPr>
        <w:t xml:space="preserve">aucun lien avec la réalité</w:t>
      </w:r>
      <w:r>
        <w:t xml:space="preserve"> </w:t>
      </w:r>
      <w:r>
        <w:t xml:space="preserve">et ne convoie que la connotation de l’enchaînement des mots (registre de l’</w:t>
      </w:r>
      <w:r>
        <w:rPr>
          <w:b/>
        </w:rPr>
        <w:t xml:space="preserve">insinuation</w:t>
      </w:r>
      <w:r>
        <w:t xml:space="preserve">). Il ne devient significatif</w:t>
      </w:r>
      <w:r>
        <w:t xml:space="preserve"> </w:t>
      </w:r>
      <w:r>
        <w:rPr>
          <w:i/>
        </w:rPr>
        <w:t xml:space="preserve">et</w:t>
      </w:r>
      <w:r>
        <w:t xml:space="preserve"> </w:t>
      </w:r>
      <w:r>
        <w:t xml:space="preserve">falsifiable</w:t>
      </w:r>
      <w:r>
        <w:t xml:space="preserve"> </w:t>
      </w:r>
      <w:r>
        <w:rPr>
          <w:b/>
        </w:rPr>
        <w:t xml:space="preserve">que dans le cas</w:t>
      </w:r>
      <w:r>
        <w:t xml:space="preserve"> </w:t>
      </w:r>
      <w:r>
        <w:t xml:space="preserve">où une telle demande, refusée, est établie. Sur le plan factuel : trois dépenses de 110 $ ont été déboursées intégralement, puis 88 $ versés au compte du participant pour chacune ; même en supposant que la demanderesse ait avancé les 110 $, le dépôt au compte du défendeur ne constitue pas un refus. §57a ne cite</w:t>
      </w:r>
      <w:r>
        <w:t xml:space="preserve"> </w:t>
      </w:r>
      <w:r>
        <w:rPr>
          <w:b/>
        </w:rPr>
        <w:t xml:space="preserve">aucune demande</w:t>
      </w:r>
      <w:r>
        <w:t xml:space="preserve">, ne produit</w:t>
      </w:r>
      <w:r>
        <w:t xml:space="preserve"> </w:t>
      </w:r>
      <w:r>
        <w:rPr>
          <w:b/>
        </w:rPr>
        <w:t xml:space="preserve">aucune réponse négative</w:t>
      </w:r>
      <w:r>
        <w:t xml:space="preserve">. Les 88 $ couverts et remboursés ne doivent pas être confondus avec les 22 $ non couverts.</w:t>
      </w:r>
    </w:p>
    <w:p>
      <w:pPr>
        <w:pStyle w:val="FirstParagraph"/>
      </w:pPr>
      <w:r>
        <w:t xml:space="preserve">La réfutation repose sur quatre propositions ordonnées :</w:t>
      </w:r>
    </w:p>
    <w:p>
      <w:pPr>
        <w:pStyle w:val="Compact"/>
        <w:numPr>
          <w:numId w:val="1081"/>
          <w:ilvl w:val="0"/>
        </w:numPr>
      </w:pPr>
      <w:r>
        <w:rPr>
          <w:b/>
        </w:rPr>
        <w:t xml:space="preserve">Exclusion factuelle du défendeur.</w:t>
      </w:r>
      <w:r>
        <w:t xml:space="preserve"> </w:t>
      </w:r>
      <w:r>
        <w:t xml:space="preserve">Les dates, rapprochées du §20, démontrent que les treize paiements au fournisseur et les trois remboursements au participant se rapportent à des soins donnés lorsque la Requête ne situe pas les enfants avec lui.</w:t>
      </w:r>
    </w:p>
    <w:p>
      <w:pPr>
        <w:pStyle w:val="Compact"/>
        <w:numPr>
          <w:numId w:val="1081"/>
          <w:ilvl w:val="0"/>
        </w:numPr>
      </w:pPr>
      <w:r>
        <w:rPr>
          <w:b/>
        </w:rPr>
        <w:t xml:space="preserve">Absence de pouvoir transactionnel.</w:t>
      </w:r>
      <w:r>
        <w:t xml:space="preserve"> </w:t>
      </w:r>
      <w:r>
        <w:t xml:space="preserve">Le défendeur ne disposait d’aucun mécanisme d’autorisation préalable ou de veto transaction par transaction ; l’identité de l’accompagnateur ne modifiait pas l’admissibilité de l’enfant.</w:t>
      </w:r>
    </w:p>
    <w:p>
      <w:pPr>
        <w:pStyle w:val="Compact"/>
        <w:numPr>
          <w:numId w:val="1081"/>
          <w:ilvl w:val="0"/>
        </w:numPr>
      </w:pPr>
      <w:r>
        <w:rPr>
          <w:b/>
        </w:rPr>
        <w:t xml:space="preserve">Effet combiné.</w:t>
      </w:r>
      <w:r>
        <w:t xml:space="preserve"> </w:t>
      </w:r>
      <w:r>
        <w:t xml:space="preserve">Les assurances étaient utilisées hors de sa présence et sans sa permission. Cette combinaison réfute à la fois le refus d’utilisation du §57 et le monopole allégué au §57a.</w:t>
      </w:r>
    </w:p>
    <w:p>
      <w:pPr>
        <w:pStyle w:val="Compact"/>
        <w:numPr>
          <w:numId w:val="1081"/>
          <w:ilvl w:val="0"/>
        </w:numPr>
      </w:pPr>
      <w:r>
        <w:rPr>
          <w:b/>
        </w:rPr>
        <w:t xml:space="preserve">Absence de refus monétaire.</w:t>
      </w:r>
      <w:r>
        <w:t xml:space="preserve"> </w:t>
      </w:r>
      <w:r>
        <w:t xml:space="preserve">Les trois remboursements de 88 $ au participant pourraient soulever une question de remise de fonds. Indépendamment de l’identité de la personne qui a avancé les 110 $, aucun refus n’existe sans une demande portée à la connaissance du défendeur et une réponse négative. Aucune n’est produite.</w:t>
      </w:r>
    </w:p>
    <w:p>
      <w:pPr>
        <w:pStyle w:val="Heading2"/>
      </w:pPr>
      <w:bookmarkStart w:id="180" w:name="force-probatoire-10"/>
      <w:r>
        <w:t xml:space="preserve">3. Force probatoire</w:t>
      </w:r>
      <w:bookmarkEnd w:id="180"/>
    </w:p>
    <w:p>
      <w:pPr>
        <w:pStyle w:val="FirstParagraph"/>
      </w:pPr>
      <w:r>
        <w:rPr>
          <w:b/>
        </w:rPr>
        <w:t xml:space="preserve">Très forte sur le §57 et la première branche du §57a ; la branche monétaire est inopérante (non falsifiable) faute de demande, non « insuffisamment prouvée ».</w:t>
      </w:r>
    </w:p>
    <w:p>
      <w:pPr>
        <w:pStyle w:val="Compact"/>
        <w:numPr>
          <w:numId w:val="1082"/>
          <w:ilvl w:val="0"/>
        </w:numPr>
      </w:pPr>
      <w:r>
        <w:t xml:space="preserve">L’absence de veto établit que le défendeur ne pouvait discriminer entre les réclamations selon l’identité de l’accompagnateur.</w:t>
      </w:r>
    </w:p>
    <w:p>
      <w:pPr>
        <w:pStyle w:val="Compact"/>
        <w:numPr>
          <w:numId w:val="1082"/>
          <w:ilvl w:val="0"/>
        </w:numPr>
      </w:pPr>
      <w:r>
        <w:t xml:space="preserve">Les relevés établissent objectivement seize demandes au bénéfice des enfants : treize paiements au fournisseur et trois remboursements au participant. Rapprochées du §20, leurs dates excluent le défendeur comme accompagnateur.</w:t>
      </w:r>
    </w:p>
    <w:p>
      <w:pPr>
        <w:pStyle w:val="Compact"/>
        <w:numPr>
          <w:numId w:val="1082"/>
          <w:ilvl w:val="0"/>
        </w:numPr>
      </w:pPr>
      <w:r>
        <w:t xml:space="preserve">La combinaison démontre que l’utilisation effective hors de sa présence ne dépendait pas de son autorisation. Il est inutile d’identifier positivement l’autre adulte présent.</w:t>
      </w:r>
    </w:p>
    <w:p>
      <w:pPr>
        <w:pStyle w:val="Compact"/>
        <w:numPr>
          <w:numId w:val="1082"/>
          <w:ilvl w:val="0"/>
        </w:numPr>
      </w:pPr>
      <w:r>
        <w:t xml:space="preserve">La connaissance personnelle de chaque transaction par la demanderesse doit être établie séparément avant d’en tirer une conclusion relative à son état d’esprit.</w:t>
      </w:r>
    </w:p>
    <w:p>
      <w:pPr>
        <w:pStyle w:val="Compact"/>
        <w:numPr>
          <w:numId w:val="1082"/>
          <w:ilvl w:val="0"/>
        </w:numPr>
      </w:pPr>
      <w:r>
        <w:t xml:space="preserve">Aucun document ne rapporte une demande de remise des dépôts directs ou de paiement d’une différence déterminée, ni le refus d’une telle demande. Le seul dépôt au compte du participant ne constitue pas une réponse négative.</w:t>
      </w:r>
    </w:p>
    <w:p>
      <w:pPr>
        <w:pStyle w:val="Heading2"/>
      </w:pPr>
      <w:bookmarkStart w:id="181" w:name="faits-essentiels-plaidables-8"/>
      <w:r>
        <w:t xml:space="preserve">4. Faits essentiels plaidables</w:t>
      </w:r>
      <w:bookmarkEnd w:id="181"/>
    </w:p>
    <w:p>
      <w:pPr>
        <w:pStyle w:val="Compact"/>
        <w:numPr>
          <w:numId w:val="1083"/>
          <w:ilvl w:val="0"/>
        </w:numPr>
      </w:pPr>
      <w:r>
        <w:t xml:space="preserve">Les enfants étaient bénéficiaires du régime d’assurance collective auquel adhérait le défendeur.</w:t>
      </w:r>
    </w:p>
    <w:p>
      <w:pPr>
        <w:pStyle w:val="Compact"/>
        <w:numPr>
          <w:numId w:val="1083"/>
          <w:ilvl w:val="0"/>
        </w:numPr>
      </w:pPr>
      <w:r>
        <w:t xml:space="preserve">Une réclamation par paiement direct était soumise au fournisseur ou à l’assureur à partir des renseignements du régime, puis traitée selon l’admissibilité du bénéficiaire, la dépense et les conditions de la couverture.</w:t>
      </w:r>
    </w:p>
    <w:p>
      <w:pPr>
        <w:pStyle w:val="Compact"/>
        <w:numPr>
          <w:numId w:val="1083"/>
          <w:ilvl w:val="0"/>
        </w:numPr>
      </w:pPr>
      <w:r>
        <w:t xml:space="preserve">Le participant n’avait pas à autoriser chaque réclamation présentée au bénéfice des enfants.</w:t>
      </w:r>
    </w:p>
    <w:p>
      <w:pPr>
        <w:pStyle w:val="Compact"/>
        <w:numPr>
          <w:numId w:val="1083"/>
          <w:ilvl w:val="0"/>
        </w:numPr>
      </w:pPr>
      <w:r>
        <w:t xml:space="preserve">Entre le 25 février 2015 et le 16 mai 2016, treize transactions de type P ont été portées au nom des enfants ; l’assureur a versé la portion couverte au fournisseur.</w:t>
      </w:r>
    </w:p>
    <w:p>
      <w:pPr>
        <w:pStyle w:val="Compact"/>
        <w:numPr>
          <w:numId w:val="1083"/>
          <w:ilvl w:val="0"/>
        </w:numPr>
      </w:pPr>
      <w:r>
        <w:t xml:space="preserve">Durant l’été 2015, trois transactions de type N ont été portées au nom des enfants : 110 $ ont été soumis pour chacune, puis 88 $ ont été versés au compte du participant, laissant 22 $ non remboursés.</w:t>
      </w:r>
    </w:p>
    <w:p>
      <w:pPr>
        <w:pStyle w:val="Compact"/>
        <w:numPr>
          <w:numId w:val="1083"/>
          <w:ilvl w:val="0"/>
        </w:numPr>
      </w:pPr>
      <w:r>
        <w:t xml:space="preserve">Aucune de ces seize transactions n’a eu lieu un dimanche.</w:t>
      </w:r>
    </w:p>
    <w:p>
      <w:pPr>
        <w:pStyle w:val="Compact"/>
        <w:numPr>
          <w:numId w:val="1083"/>
          <w:ilvl w:val="0"/>
        </w:numPr>
      </w:pPr>
      <w:r>
        <w:t xml:space="preserve">Le 17 octobre 2015, une transaction a été portée au nom de Nicolas, soit la dernière transaction documentée avant la Requête.</w:t>
      </w:r>
    </w:p>
    <w:p>
      <w:pPr>
        <w:pStyle w:val="Compact"/>
        <w:numPr>
          <w:numId w:val="1083"/>
          <w:ilvl w:val="0"/>
        </w:numPr>
      </w:pPr>
      <w:r>
        <w:t xml:space="preserve">Le 19 novembre 2015, la Requête a allégué que le défendeur refusait l’utilisation des assurances et que lui seul pouvait en bénéficier lorsqu’il avait les enfants.</w:t>
      </w:r>
    </w:p>
    <w:p>
      <w:pPr>
        <w:pStyle w:val="Compact"/>
        <w:numPr>
          <w:numId w:val="1083"/>
          <w:ilvl w:val="0"/>
        </w:numPr>
      </w:pPr>
      <w:r>
        <w:t xml:space="preserve">La même Requête situait les accès du défendeur le dimanche de 16 h à 20 h (§20).</w:t>
      </w:r>
    </w:p>
    <w:p>
      <w:pPr>
        <w:pStyle w:val="Compact"/>
        <w:numPr>
          <w:numId w:val="1083"/>
          <w:ilvl w:val="0"/>
        </w:numPr>
      </w:pPr>
      <w:r>
        <w:t xml:space="preserve">Le 15 décembre 2015 et le 11 janvier 2016, de nouvelles transactions ont été traitées au bénéfice de Nicolas.</w:t>
      </w:r>
    </w:p>
    <w:p>
      <w:pPr>
        <w:pStyle w:val="Compact"/>
        <w:numPr>
          <w:numId w:val="1083"/>
          <w:ilvl w:val="0"/>
        </w:numPr>
      </w:pPr>
      <w:r>
        <w:t xml:space="preserve">Les relevés n’identifient pas la personne qui a déboursé les trois dépenses de 110 $.</w:t>
      </w:r>
    </w:p>
    <w:p>
      <w:pPr>
        <w:pStyle w:val="Compact"/>
        <w:numPr>
          <w:numId w:val="1083"/>
          <w:ilvl w:val="0"/>
        </w:numPr>
      </w:pPr>
      <w:r>
        <w:t xml:space="preserve">Aucun document produit en soutien des §57-57a n’identifie une demande adressée au défendeur de remettre l’un des remboursements de 88 $ ou de payer l’un des soldes de 22 $, ni sa réponse à une telle demande.</w:t>
      </w:r>
    </w:p>
    <w:p>
      <w:pPr>
        <w:pStyle w:val="Heading2"/>
      </w:pPr>
      <w:bookmarkStart w:id="182" w:name="inférences-réservées-aux-moyens-9"/>
      <w:r>
        <w:t xml:space="preserve">5. Inférences réservées aux moyens</w:t>
      </w:r>
      <w:bookmarkEnd w:id="182"/>
    </w:p>
    <w:p>
      <w:pPr>
        <w:pStyle w:val="Compact"/>
        <w:numPr>
          <w:numId w:val="1084"/>
          <w:ilvl w:val="0"/>
        </w:numPr>
      </w:pPr>
      <w:r>
        <w:t xml:space="preserve">Le §57 confond le</w:t>
      </w:r>
      <w:r>
        <w:t xml:space="preserve"> </w:t>
      </w:r>
      <w:r>
        <w:rPr>
          <w:b/>
        </w:rPr>
        <w:t xml:space="preserve">participant au régime</w:t>
      </w:r>
      <w:r>
        <w:t xml:space="preserve">, les</w:t>
      </w:r>
      <w:r>
        <w:t xml:space="preserve"> </w:t>
      </w:r>
      <w:r>
        <w:rPr>
          <w:b/>
        </w:rPr>
        <w:t xml:space="preserve">enfants bénéficiaires</w:t>
      </w:r>
      <w:r>
        <w:t xml:space="preserve">, la personne qui présente une réclamation et la personne qui reçoit matériellement un remboursement.</w:t>
      </w:r>
    </w:p>
    <w:p>
      <w:pPr>
        <w:pStyle w:val="Compact"/>
        <w:numPr>
          <w:numId w:val="1084"/>
          <w:ilvl w:val="0"/>
        </w:numPr>
      </w:pPr>
      <w:r>
        <w:t xml:space="preserve">Puisque la décision sur une transaction appartenait au fournisseur ou à l’assureur, le défendeur ne pouvait exercer le refus sélectif que lui prête l’allégation.</w:t>
      </w:r>
    </w:p>
    <w:p>
      <w:pPr>
        <w:pStyle w:val="Compact"/>
        <w:numPr>
          <w:numId w:val="1084"/>
          <w:ilvl w:val="0"/>
        </w:numPr>
      </w:pPr>
      <w:r>
        <w:t xml:space="preserve">L’identité de l’adulte présent au comptoir est sans conséquence sur le droit de l’enfant bénéficiaire à la prestation et sur l’absence de veto transactionnel du père.</w:t>
      </w:r>
    </w:p>
    <w:p>
      <w:pPr>
        <w:pStyle w:val="Compact"/>
        <w:numPr>
          <w:numId w:val="1084"/>
          <w:ilvl w:val="0"/>
        </w:numPr>
      </w:pPr>
      <w:r>
        <w:t xml:space="preserve">Selon le propre récit de la Requête, la comparaison avec les périodes de garde exclut le défendeur comme accompagnateur ou auteur matériel des transactions.</w:t>
      </w:r>
    </w:p>
    <w:p>
      <w:pPr>
        <w:pStyle w:val="Compact"/>
        <w:numPr>
          <w:numId w:val="1084"/>
          <w:ilvl w:val="0"/>
        </w:numPr>
      </w:pPr>
      <w:r>
        <w:t xml:space="preserve">L’exclusion factuelle et l’absence de veto se complètent : les transactions étaient effectuées hors de sa présence et ne nécessitaient pas sa permission. Aucune demande d’autorisation n’était requise et aucune utilisation n’a été refusée.</w:t>
      </w:r>
    </w:p>
    <w:p>
      <w:pPr>
        <w:pStyle w:val="Compact"/>
        <w:numPr>
          <w:numId w:val="1084"/>
          <w:ilvl w:val="0"/>
        </w:numPr>
      </w:pPr>
      <w:r>
        <w:t xml:space="preserve">Le dépôt d’un remboursement au compte du participant ne signifie pas que celui-ci était le bénéficiaire du soin ou qu’il avait avancé la dépense. Il faut distinguer le bénéficiaire, la personne qui a déboursé le coût initial et le destinataire administratif du remboursement.</w:t>
      </w:r>
    </w:p>
    <w:p>
      <w:pPr>
        <w:pStyle w:val="Compact"/>
        <w:numPr>
          <w:numId w:val="1084"/>
          <w:ilvl w:val="0"/>
        </w:numPr>
      </w:pPr>
      <w:r>
        <w:t xml:space="preserve">Même si la demanderesse avait effectué le débours initial, la seule réception du remboursement par le participant pourrait créer une question de remise ou de reddition de compte ; elle ne constitue pas un refus sans demande communiquée et rejetée.</w:t>
      </w:r>
    </w:p>
    <w:p>
      <w:pPr>
        <w:pStyle w:val="Compact"/>
        <w:numPr>
          <w:numId w:val="1084"/>
          <w:ilvl w:val="0"/>
        </w:numPr>
      </w:pPr>
      <w:r>
        <w:t xml:space="preserve">En l’absence de la preuve d’une couverture de remplacement, le défendeur ne disposait pas davantage d’un pouvoir discrétionnaire lui permettant de retirer les enfants et de les laisser sans couverture.</w:t>
      </w:r>
    </w:p>
    <w:p>
      <w:pPr>
        <w:pStyle w:val="Heading2"/>
      </w:pPr>
      <w:bookmarkStart w:id="183" w:name="inférences-exclues-5"/>
      <w:r>
        <w:t xml:space="preserve">6. Inférences exclues</w:t>
      </w:r>
      <w:bookmarkEnd w:id="183"/>
    </w:p>
    <w:p>
      <w:pPr>
        <w:pStyle w:val="Compact"/>
        <w:numPr>
          <w:numId w:val="1085"/>
          <w:ilvl w:val="0"/>
        </w:numPr>
      </w:pPr>
      <w:r>
        <w:t xml:space="preserve">Ne pas chercher à identifier positivement la personne qui accompagnait les enfants ou présentait les renseignements d’assurance au point de service.</w:t>
      </w:r>
    </w:p>
    <w:p>
      <w:pPr>
        <w:pStyle w:val="Compact"/>
        <w:numPr>
          <w:numId w:val="1085"/>
          <w:ilvl w:val="0"/>
        </w:numPr>
      </w:pPr>
      <w:r>
        <w:t xml:space="preserve">Les jours de transaction et les périodes de garde peuvent exclure le défendeur selon le récit de la Requête ; ils ne permettent pas, à eux seuls, d’identifier l’autre accompagnateur.</w:t>
      </w:r>
    </w:p>
    <w:p>
      <w:pPr>
        <w:pStyle w:val="Compact"/>
        <w:numPr>
          <w:numId w:val="1085"/>
          <w:ilvl w:val="0"/>
        </w:numPr>
      </w:pPr>
      <w:r>
        <w:t xml:space="preserve">Ne pas confondre la fonction des deux éléments : les dates établissent l’absence factuelle du défendeur ; le mécanisme du régime établit son absence de veto. Leur combinaison porte la réfutation complète.</w:t>
      </w:r>
    </w:p>
    <w:p>
      <w:pPr>
        <w:pStyle w:val="Compact"/>
        <w:numPr>
          <w:numId w:val="1085"/>
          <w:ilvl w:val="0"/>
        </w:numPr>
      </w:pPr>
      <w:r>
        <w:t xml:space="preserve">Ne pas affirmer que le défendeur ou la demanderesse « utilisait » personnellement l’assurance : les prestations étaient accordées au bénéfice des enfants.</w:t>
      </w:r>
    </w:p>
    <w:p>
      <w:pPr>
        <w:pStyle w:val="Compact"/>
        <w:numPr>
          <w:numId w:val="1085"/>
          <w:ilvl w:val="0"/>
        </w:numPr>
      </w:pPr>
      <w:r>
        <w:t xml:space="preserve">Ne pas confondre l’acceptation d’une réclamation par l’assureur avec le versement ultérieur du remboursement au compte du participant.</w:t>
      </w:r>
    </w:p>
    <w:p>
      <w:pPr>
        <w:pStyle w:val="Compact"/>
        <w:numPr>
          <w:numId w:val="1085"/>
          <w:ilvl w:val="0"/>
        </w:numPr>
      </w:pPr>
      <w:r>
        <w:t xml:space="preserve">Ne pas assimiler les remboursements de 88 $, qui correspondent aux montants couverts, aux soldes de 22 $ non couverts.</w:t>
      </w:r>
    </w:p>
    <w:p>
      <w:pPr>
        <w:pStyle w:val="Compact"/>
        <w:numPr>
          <w:numId w:val="1085"/>
          <w:ilvl w:val="0"/>
        </w:numPr>
      </w:pPr>
      <w:r>
        <w:t xml:space="preserve">Ne pas attribuer le débours initial de 110 $ à la demanderesse ou au défendeur : le relevé ne l’identifie pas.</w:t>
      </w:r>
    </w:p>
    <w:p>
      <w:pPr>
        <w:pStyle w:val="Compact"/>
        <w:numPr>
          <w:numId w:val="1085"/>
          <w:ilvl w:val="0"/>
        </w:numPr>
      </w:pPr>
      <w:r>
        <w:t xml:space="preserve">Ne pas affirmer que le défendeur a conservé ou refusé de remettre les dépôts : en l’absence d’une demande déterminée et de sa réponse, ce refus n’est pas établi.</w:t>
      </w:r>
    </w:p>
    <w:p>
      <w:pPr>
        <w:pStyle w:val="Compact"/>
        <w:numPr>
          <w:numId w:val="1085"/>
          <w:ilvl w:val="0"/>
        </w:numPr>
      </w:pPr>
      <w:r>
        <w:t xml:space="preserve">Ne pas transformer une éventuelle obligation de remettre une somme en refus antérieur : l’existence d’une dette et l’existence d’un refus sont deux propositions différentes.</w:t>
      </w:r>
    </w:p>
    <w:p>
      <w:pPr>
        <w:pStyle w:val="Compact"/>
        <w:numPr>
          <w:numId w:val="1085"/>
          <w:ilvl w:val="0"/>
        </w:numPr>
      </w:pPr>
      <w:r>
        <w:t xml:space="preserve">Ne pas tirer des seules transactions une conclusion sur la connaissance personnelle de la demanderesse.</w:t>
      </w:r>
    </w:p>
    <w:p>
      <w:pPr>
        <w:pStyle w:val="Heading2"/>
      </w:pPr>
      <w:bookmarkStart w:id="184" w:name="pièces-et-normes-nécessaires"/>
      <w:r>
        <w:t xml:space="preserve">7. Pièces et normes nécessaires</w:t>
      </w:r>
      <w:bookmarkEnd w:id="18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Proposition</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Portée</w:t>
            </w:r>
          </w:p>
        </w:tc>
        <w:tc>
          <w:tcPr>
            <w:tcBorders>
              <w:bottom w:val="single"/>
            </w:tcBorders>
            <w:vAlign w:val="bottom"/>
          </w:tcPr>
          <w:p>
            <w:pPr>
              <w:pStyle w:val="Compact"/>
              <w:jc w:val="left"/>
            </w:pPr>
            <w:r>
              <w:t xml:space="preserve">Statut</w:t>
            </w:r>
          </w:p>
        </w:tc>
      </w:tr>
      <w:tr>
        <w:tc>
          <w:p>
            <w:pPr>
              <w:pStyle w:val="Compact"/>
              <w:jc w:val="left"/>
            </w:pPr>
            <w:r>
              <w:t xml:space="preserve">Couverture et allégations</w:t>
            </w:r>
          </w:p>
        </w:tc>
        <w:tc>
          <w:p>
            <w:pPr>
              <w:pStyle w:val="Compact"/>
              <w:jc w:val="left"/>
            </w:pPr>
            <w:r>
              <w:rPr>
                <w:rStyle w:val="VerbatimChar"/>
              </w:rPr>
              <w:t xml:space="preserve">piece_document-1.md</w:t>
            </w:r>
            <w:r>
              <w:t xml:space="preserve">, §56-57-57a</w:t>
            </w:r>
          </w:p>
        </w:tc>
        <w:tc>
          <w:p>
            <w:pPr>
              <w:pStyle w:val="Compact"/>
              <w:jc w:val="left"/>
            </w:pPr>
            <w:r>
              <w:t xml:space="preserve">Enfants couverts ; formulation du refus</w:t>
            </w:r>
          </w:p>
        </w:tc>
        <w:tc>
          <w:p>
            <w:pPr>
              <w:pStyle w:val="Compact"/>
              <w:jc w:val="left"/>
            </w:pPr>
            <w:r>
              <w:t xml:space="preserve">disponible</w:t>
            </w:r>
          </w:p>
        </w:tc>
      </w:tr>
      <w:tr>
        <w:tc>
          <w:p>
            <w:pPr>
              <w:pStyle w:val="Compact"/>
              <w:jc w:val="left"/>
            </w:pPr>
            <w:r>
              <w:t xml:space="preserve">Fonctionnement effectif</w:t>
            </w:r>
          </w:p>
        </w:tc>
        <w:tc>
          <w:p>
            <w:pPr>
              <w:pStyle w:val="Compact"/>
              <w:jc w:val="left"/>
            </w:pPr>
            <w:r>
              <w:rPr>
                <w:rStyle w:val="VerbatimChar"/>
              </w:rPr>
              <w:t xml:space="preserve">piece_pdf-63.md</w:t>
            </w:r>
            <w:r>
              <w:t xml:space="preserve">,</w:t>
            </w:r>
            <w:r>
              <w:t xml:space="preserve"> </w:t>
            </w:r>
            <w:r>
              <w:rPr>
                <w:rStyle w:val="VerbatimChar"/>
              </w:rPr>
              <w:t xml:space="preserve">piece_pdf-64.md</w:t>
            </w:r>
          </w:p>
        </w:tc>
        <w:tc>
          <w:p>
            <w:pPr>
              <w:pStyle w:val="Compact"/>
              <w:jc w:val="left"/>
            </w:pPr>
            <w:r>
              <w:t xml:space="preserve">13 paiements au fournisseur + 3 remboursements au participant</w:t>
            </w:r>
          </w:p>
        </w:tc>
        <w:tc>
          <w:p>
            <w:pPr>
              <w:pStyle w:val="Compact"/>
              <w:jc w:val="left"/>
            </w:pPr>
            <w:r>
              <w:t xml:space="preserve">disponible</w:t>
            </w:r>
          </w:p>
        </w:tc>
      </w:tr>
      <w:tr>
        <w:tc>
          <w:p>
            <w:pPr>
              <w:pStyle w:val="Compact"/>
              <w:jc w:val="left"/>
            </w:pPr>
            <w:r>
              <w:t xml:space="preserve">Exclusion du défendeur comme accompagnateur</w:t>
            </w:r>
          </w:p>
        </w:tc>
        <w:tc>
          <w:p>
            <w:pPr>
              <w:pStyle w:val="Compact"/>
              <w:jc w:val="left"/>
            </w:pPr>
            <w:r>
              <w:rPr>
                <w:rStyle w:val="VerbatimChar"/>
              </w:rPr>
              <w:t xml:space="preserve">piece_document-1.md</w:t>
            </w:r>
            <w:r>
              <w:t xml:space="preserve">, §20 + relevés</w:t>
            </w:r>
          </w:p>
        </w:tc>
        <w:tc>
          <w:p>
            <w:pPr>
              <w:pStyle w:val="Compact"/>
              <w:jc w:val="left"/>
            </w:pPr>
            <w:r>
              <w:t xml:space="preserve">Accès le dimanche ; aucune des 16 transactions le dimanche</w:t>
            </w:r>
          </w:p>
        </w:tc>
        <w:tc>
          <w:p>
            <w:pPr>
              <w:pStyle w:val="Compact"/>
              <w:jc w:val="left"/>
            </w:pPr>
            <w:r>
              <w:t xml:space="preserve">disponible</w:t>
            </w:r>
          </w:p>
        </w:tc>
      </w:tr>
      <w:tr>
        <w:tc>
          <w:p>
            <w:pPr>
              <w:pStyle w:val="Compact"/>
              <w:jc w:val="left"/>
            </w:pPr>
            <w:r>
              <w:t xml:space="preserve">Traitement au point de service</w:t>
            </w:r>
          </w:p>
        </w:tc>
        <w:tc>
          <w:p>
            <w:pPr>
              <w:pStyle w:val="Compact"/>
              <w:jc w:val="left"/>
            </w:pPr>
            <w:r>
              <w:t xml:space="preserve">Documentation Industrielle Alliance sur le paiement direct</w:t>
            </w:r>
          </w:p>
        </w:tc>
        <w:tc>
          <w:p>
            <w:pPr>
              <w:pStyle w:val="Compact"/>
              <w:jc w:val="left"/>
            </w:pPr>
            <w:r>
              <w:t xml:space="preserve">Le fournisseur soumet la réclamation</w:t>
            </w:r>
          </w:p>
        </w:tc>
        <w:tc>
          <w:p>
            <w:pPr>
              <w:pStyle w:val="Compact"/>
              <w:jc w:val="left"/>
            </w:pPr>
            <w:r>
              <w:t xml:space="preserve">à citer</w:t>
            </w:r>
          </w:p>
        </w:tc>
      </w:tr>
      <w:tr>
        <w:tc>
          <w:p>
            <w:pPr>
              <w:pStyle w:val="Compact"/>
              <w:jc w:val="left"/>
            </w:pPr>
            <w:r>
              <w:t xml:space="preserve">Obligation de couverture</w:t>
            </w:r>
          </w:p>
        </w:tc>
        <w:tc>
          <w:p>
            <w:pPr>
              <w:pStyle w:val="Compact"/>
              <w:jc w:val="left"/>
            </w:pPr>
            <w:r>
              <w:t xml:space="preserve">Loi sur l’assurance médicaments, art. 18 et 18.1 ; RAMQ 2015</w:t>
            </w:r>
          </w:p>
        </w:tc>
        <w:tc>
          <w:p>
            <w:pPr>
              <w:pStyle w:val="Compact"/>
              <w:jc w:val="left"/>
            </w:pPr>
            <w:r>
              <w:t xml:space="preserve">Couverture des enfants et remplacement par un autre régime</w:t>
            </w:r>
          </w:p>
        </w:tc>
        <w:tc>
          <w:p>
            <w:pPr>
              <w:pStyle w:val="Compact"/>
              <w:jc w:val="left"/>
            </w:pPr>
            <w:r>
              <w:t xml:space="preserve">à citer</w:t>
            </w:r>
          </w:p>
        </w:tc>
      </w:tr>
      <w:tr>
        <w:tc>
          <w:p>
            <w:pPr>
              <w:pStyle w:val="Compact"/>
              <w:jc w:val="left"/>
            </w:pPr>
            <w:r>
              <w:t xml:space="preserve">Résidu monétaire</w:t>
            </w:r>
          </w:p>
        </w:tc>
        <w:tc>
          <w:p>
            <w:pPr>
              <w:pStyle w:val="Compact"/>
              <w:jc w:val="left"/>
            </w:pPr>
            <w:r>
              <w:t xml:space="preserve">Demande de remise d’un dépôt ou de paiement d’un solde + réponse</w:t>
            </w:r>
          </w:p>
        </w:tc>
        <w:tc>
          <w:p>
            <w:pPr>
              <w:pStyle w:val="Compact"/>
              <w:jc w:val="left"/>
            </w:pPr>
            <w:r>
              <w:t xml:space="preserve">Nécessaire pour constituer un refus</w:t>
            </w:r>
          </w:p>
        </w:tc>
        <w:tc>
          <w:p>
            <w:pPr>
              <w:pStyle w:val="Compact"/>
              <w:jc w:val="left"/>
            </w:pPr>
            <w:r>
              <w:t xml:space="preserve">non produit</w:t>
            </w:r>
          </w:p>
        </w:tc>
      </w:tr>
    </w:tbl>
    <w:p>
      <w:pPr>
        <w:pStyle w:val="Heading2"/>
      </w:pPr>
      <w:bookmarkStart w:id="185" w:name="prudences-de-rédaction-7"/>
      <w:r>
        <w:t xml:space="preserve">8. Prudences de rédaction</w:t>
      </w:r>
      <w:bookmarkEnd w:id="185"/>
    </w:p>
    <w:p>
      <w:pPr>
        <w:pStyle w:val="Compact"/>
        <w:numPr>
          <w:numId w:val="1086"/>
          <w:ilvl w:val="0"/>
        </w:numPr>
      </w:pPr>
      <w:r>
        <w:t xml:space="preserve">Présenter ensemble l’absence de transactions le dimanche et l’absence de veto : la première exclut le défendeur, la seconde démontre que les transactions hors de sa présence ne dépendaient pas de son autorisation.</w:t>
      </w:r>
    </w:p>
    <w:p>
      <w:pPr>
        <w:pStyle w:val="Compact"/>
        <w:numPr>
          <w:numId w:val="1086"/>
          <w:ilvl w:val="0"/>
        </w:numPr>
      </w:pPr>
      <w:r>
        <w:t xml:space="preserve">Ne pas prétendre identifier l’autre personne présente ; cette identité est inutile puisque l’assureur ne pouvait traiter différemment la réclamation en fonction de l’accompagnateur.</w:t>
      </w:r>
    </w:p>
    <w:p>
      <w:pPr>
        <w:pStyle w:val="Compact"/>
        <w:numPr>
          <w:numId w:val="1086"/>
          <w:ilvl w:val="0"/>
        </w:numPr>
      </w:pPr>
      <w:r>
        <w:t xml:space="preserve">Employer « prestations au bénéfice des enfants » plutôt que « utilisation par la mère » ou « utilisation par le père ».</w:t>
      </w:r>
    </w:p>
    <w:p>
      <w:pPr>
        <w:pStyle w:val="Compact"/>
        <w:numPr>
          <w:numId w:val="1086"/>
          <w:ilvl w:val="0"/>
        </w:numPr>
      </w:pPr>
      <w:r>
        <w:t xml:space="preserve">Distinguer constamment couverture, réclamation, remboursement et solde non couvert.</w:t>
      </w:r>
    </w:p>
    <w:p>
      <w:pPr>
        <w:pStyle w:val="Compact"/>
        <w:numPr>
          <w:numId w:val="1086"/>
          <w:ilvl w:val="0"/>
        </w:numPr>
      </w:pPr>
      <w:r>
        <w:t xml:space="preserve">Réserver toute conclusion sur la connaissance ou l’intention à une preuve indépendante reliant la demanderesse aux renseignements pertinents.</w:t>
      </w:r>
    </w:p>
    <w:p>
      <w:pPr>
        <w:pStyle w:val="Heading2"/>
      </w:pPr>
      <w:bookmarkStart w:id="186" w:name="version-procédurale-distillée-8"/>
      <w:r>
        <w:t xml:space="preserve">9. Version procédurale distillée</w:t>
      </w:r>
      <w:bookmarkEnd w:id="186"/>
    </w:p>
    <w:p>
      <w:pPr>
        <w:pStyle w:val="Compact"/>
        <w:numPr>
          <w:numId w:val="1087"/>
          <w:ilvl w:val="0"/>
        </w:numPr>
      </w:pPr>
      <w:r>
        <w:t xml:space="preserve">Les enfants étaient bénéficiaires du régime d’assurance collective auquel adhérait le demandeur.</w:t>
      </w:r>
    </w:p>
    <w:p>
      <w:pPr>
        <w:pStyle w:val="Compact"/>
        <w:numPr>
          <w:numId w:val="1087"/>
          <w:ilvl w:val="0"/>
        </w:numPr>
      </w:pPr>
      <w:r>
        <w:t xml:space="preserve">Le demandeur ne conteste pas cette couverture.</w:t>
      </w:r>
    </w:p>
    <w:p>
      <w:pPr>
        <w:pStyle w:val="Compact"/>
        <w:numPr>
          <w:numId w:val="1087"/>
          <w:ilvl w:val="0"/>
        </w:numPr>
      </w:pPr>
      <w:r>
        <w:t xml:space="preserve">Les relevés documentent treize transactions où l’assureur a payé la portion couverte au fournisseur et trois dépenses de 110 $ déboursées intégralement, suivies d’un remboursement de 88 $ au compte du participant.</w:t>
      </w:r>
    </w:p>
    <w:p>
      <w:pPr>
        <w:pStyle w:val="Compact"/>
        <w:numPr>
          <w:numId w:val="1087"/>
          <w:ilvl w:val="0"/>
        </w:numPr>
      </w:pPr>
      <w:r>
        <w:t xml:space="preserve">Aucune de ces seize transactions n’a eu lieu un dimanche, alors que la Requête situe les accès du demandeur le dimanche de 16 h à 20 h ; selon le propre récit de la Requête, il n’était donc l’accompagnateur ou l’auteur matériel d’aucune d’elles.</w:t>
      </w:r>
    </w:p>
    <w:p>
      <w:pPr>
        <w:pStyle w:val="Compact"/>
        <w:numPr>
          <w:numId w:val="1087"/>
          <w:ilvl w:val="0"/>
        </w:numPr>
      </w:pPr>
      <w:r>
        <w:t xml:space="preserve">Le demandeur ne pouvait par ailleurs autoriser ou refuser les réclamations individuelles : elles étaient traitées selon l’admissibilité de l’enfant, la dépense et les conditions du régime, sans distinction fondée sur l’identité de l’accompagnateur.</w:t>
      </w:r>
    </w:p>
    <w:p>
      <w:pPr>
        <w:pStyle w:val="Compact"/>
        <w:numPr>
          <w:numId w:val="1087"/>
          <w:ilvl w:val="0"/>
        </w:numPr>
      </w:pPr>
      <w:r>
        <w:t xml:space="preserve">Les transactions avaient ainsi lieu hors de sa présence sans dépendre de sa permission.</w:t>
      </w:r>
    </w:p>
    <w:p>
      <w:pPr>
        <w:pStyle w:val="Compact"/>
        <w:numPr>
          <w:numId w:val="1087"/>
          <w:ilvl w:val="0"/>
        </w:numPr>
      </w:pPr>
      <w:r>
        <w:t xml:space="preserve">Cette combinaison réfute tant le refus d’utilisation allégué au §57 que l’affirmation voulant que lui seul puisse bénéficier du service lorsqu’il avait les enfants.</w:t>
      </w:r>
    </w:p>
    <w:p>
      <w:pPr>
        <w:pStyle w:val="Compact"/>
        <w:numPr>
          <w:numId w:val="1087"/>
          <w:ilvl w:val="0"/>
        </w:numPr>
      </w:pPr>
      <w:r>
        <w:t xml:space="preserve">En l’absence d’une couverture de remplacement effectivement assumée par l’autre parent, le demandeur ne disposait pas non plus d’un pouvoir discrétionnaire lui permettant de laisser les enfants sans assurance médicaments.</w:t>
      </w:r>
    </w:p>
    <w:p>
      <w:pPr>
        <w:pStyle w:val="Compact"/>
        <w:numPr>
          <w:numId w:val="1087"/>
          <w:ilvl w:val="0"/>
        </w:numPr>
      </w:pPr>
      <w:r>
        <w:t xml:space="preserve">Les trois remboursements de 88 $ au compte du participant pourraient seulement soulever une question distincte de remise de fonds à la personne qui avait avancé les 110 $.</w:t>
      </w:r>
    </w:p>
    <w:p>
      <w:pPr>
        <w:pStyle w:val="Compact"/>
        <w:numPr>
          <w:numId w:val="1087"/>
          <w:ilvl w:val="0"/>
        </w:numPr>
      </w:pPr>
      <w:r>
        <w:t xml:space="preserve">Même à supposer que la demanderesse ait avancé ces dépenses, aucun refus de remboursement ne peut résulter du seul dépôt au compte du participant : il suppose une demande communiquée au demandeur et rejetée par celui-ci.</w:t>
      </w:r>
    </w:p>
    <w:p>
      <w:pPr>
        <w:pStyle w:val="Compact"/>
        <w:numPr>
          <w:numId w:val="1087"/>
          <w:ilvl w:val="0"/>
        </w:numPr>
      </w:pPr>
      <w:r>
        <w:t xml:space="preserve">Aucun document n’établit une telle demande, la connaissance de celle-ci par le demandeur ou une réponse négative.</w:t>
      </w:r>
    </w:p>
    <w:p>
      <w:pPr>
        <w:pStyle w:val="Compact"/>
        <w:numPr>
          <w:numId w:val="1087"/>
          <w:ilvl w:val="0"/>
        </w:numPr>
      </w:pPr>
      <w:r>
        <w:t xml:space="preserve">Les remboursements de 88 $, correspondant à la portion couverte, ne doivent pas être confondus avec les soldes de 22 $ non couverts.</w:t>
      </w:r>
    </w:p>
    <w:p>
      <w:pPr>
        <w:pStyle w:val="Heading2"/>
      </w:pPr>
      <w:bookmarkStart w:id="187" w:name="usage-dans-la-demande-introductive-5"/>
      <w:r>
        <w:t xml:space="preserve">10. Usage dans la demande introductive</w:t>
      </w:r>
      <w:bookmarkEnd w:id="187"/>
    </w:p>
    <w:p>
      <w:pPr>
        <w:pStyle w:val="FirstParagraph"/>
      </w:pPr>
      <w:r>
        <w:t xml:space="preserve">Ce bloc doit conduire avec une</w:t>
      </w:r>
      <w:r>
        <w:t xml:space="preserve"> </w:t>
      </w:r>
      <w:r>
        <w:rPr>
          <w:b/>
        </w:rPr>
        <w:t xml:space="preserve">réfutation combinée</w:t>
      </w:r>
      <w:r>
        <w:t xml:space="preserve"> </w:t>
      </w:r>
      <w:r>
        <w:t xml:space="preserve">: les dates excluent le demandeur de toutes les transactions et le mécanisme du régime exclut tout veto de sa part. Les prestations étaient donc utilisées hors de sa présence sans dépendre de sa permission : aucune utilisation n’a été refusée. Quant aux remboursements déposés au compte du participant, leur réception peut tout au plus soulever une question comptable. Même si la demanderesse avait avancé les dépenses, aucun refus de remise n’a existé sans une demande portée à la connaissance du demandeur et rejetée par lui ; aucune n’est produite. L’allégation confond ainsi l’existence possible d’une somme à remettre avec l’existence, non démontrée, d’un refus.</w:t>
      </w:r>
    </w:p>
    <w:p>
      <w:r>
        <w:pict>
          <v:rect style="width:0;height:1.5pt" o:hralign="center" o:hrstd="t" o:hr="t"/>
        </w:pict>
      </w:r>
    </w:p>
    <w:p>
      <w:pPr>
        <w:pStyle w:val="Heading1"/>
      </w:pPr>
      <w:bookmarkStart w:id="188" w:name="X19175ecfc3fb2fdf653b968f688c383c7d12fe6"/>
      <w:r>
        <w:t xml:space="preserve">Pont — §59 de la Requête du 19 novembre 2015</w:t>
      </w:r>
      <w:bookmarkEnd w:id="188"/>
    </w:p>
    <w:p>
      <w:pPr>
        <w:pStyle w:val="Heading2"/>
      </w:pPr>
      <w:bookmarkStart w:id="189" w:name="allégation-visée-4"/>
      <w:r>
        <w:t xml:space="preserve">1. Allégation visée</w:t>
      </w:r>
      <w:bookmarkEnd w:id="189"/>
    </w:p>
    <w:p>
      <w:pPr>
        <w:pStyle w:val="BlockText"/>
      </w:pPr>
      <w:r>
        <w:rPr>
          <w:b/>
        </w:rPr>
        <w:t xml:space="preserve">§59</w:t>
      </w:r>
      <w:r>
        <w:t xml:space="preserve"> </w:t>
      </w:r>
      <w:r>
        <w:t xml:space="preserve">— « La demanderesse a toujours essayé d’accommoder le défendeur dans ses demandes. »</w:t>
      </w:r>
    </w:p>
    <w:p>
      <w:pPr>
        <w:pStyle w:val="FirstParagraph"/>
      </w:pPr>
      <w:r>
        <w:t xml:space="preserve">Source :</w:t>
      </w:r>
      <w:r>
        <w:t xml:space="preserve"> </w:t>
      </w:r>
      <w:hyperlink r:id="rId76">
        <w:r>
          <w:rPr>
            <w:rStyle w:val="Hyperlink"/>
          </w:rPr>
          <w:t xml:space="preserve">piece_document-1.md</w:t>
        </w:r>
      </w:hyperlink>
      <w:r>
        <w:t xml:space="preserve">, §59.</w:t>
      </w:r>
    </w:p>
    <w:p>
      <w:pPr>
        <w:pStyle w:val="Heading2"/>
      </w:pPr>
      <w:bookmarkStart w:id="190" w:name="classification-et-objectif-4"/>
      <w:r>
        <w:t xml:space="preserve">2. Classification et objectif</w:t>
      </w:r>
      <w:bookmarkEnd w:id="190"/>
    </w:p>
    <w:p>
      <w:pPr>
        <w:pStyle w:val="FirstParagraph"/>
      </w:pPr>
      <w:r>
        <w:rPr>
          <w:b/>
        </w:rPr>
        <w:t xml:space="preserve">Classification : caractérisation générale partiellement exacte, mais surextendue; valeur principalement corroborative.</w:t>
      </w:r>
    </w:p>
    <w:p>
      <w:pPr>
        <w:pStyle w:val="BodyText"/>
      </w:pPr>
      <w:r>
        <w:t xml:space="preserve">L’objectif n’est pas de nier que la demanderesse ait parfois accommodé le défendeur. L’horaire dominical initial a notamment été établi à sa demande. Ce qui est contesté est l’adverbe absolu « toujours » et l’image globale qu’il construit : une demanderesse constamment accommodante opposée à un défendeur constamment réfractaire.</w:t>
      </w:r>
    </w:p>
    <w:p>
      <w:pPr>
        <w:pStyle w:val="BodyText"/>
      </w:pPr>
      <w:r>
        <w:t xml:space="preserve">La démonstration consiste à identifier des demandes importantes du défendeur qui ont été refusées, puis à replacer le §59 dans le patron formé avec les §§14-17, 20-24 et 30-31.</w:t>
      </w:r>
    </w:p>
    <w:p>
      <w:pPr>
        <w:pStyle w:val="Heading2"/>
      </w:pPr>
      <w:bookmarkStart w:id="191" w:name="force-probatoire-11"/>
      <w:r>
        <w:t xml:space="preserve">3. Force probatoire</w:t>
      </w:r>
      <w:bookmarkEnd w:id="191"/>
    </w:p>
    <w:p>
      <w:pPr>
        <w:pStyle w:val="FirstParagraph"/>
      </w:pPr>
      <w:r>
        <w:rPr>
          <w:b/>
        </w:rPr>
        <w:t xml:space="preserve">Faible comme grief autonome; moyenne comme corroboration du patron narratif.</w:t>
      </w:r>
    </w:p>
    <w:p>
      <w:pPr>
        <w:pStyle w:val="Compact"/>
        <w:numPr>
          <w:numId w:val="1088"/>
          <w:ilvl w:val="0"/>
        </w:numPr>
      </w:pPr>
      <w:r>
        <w:t xml:space="preserve">« Essayé d’accommoder » décrit une intention et demeure plus difficile à falsifier qu’un événement précis.</w:t>
      </w:r>
    </w:p>
    <w:p>
      <w:pPr>
        <w:pStyle w:val="Compact"/>
        <w:numPr>
          <w:numId w:val="1088"/>
          <w:ilvl w:val="0"/>
        </w:numPr>
      </w:pPr>
      <w:r>
        <w:t xml:space="preserve">Des accommodements ponctuels ont existé et doivent être concédés.</w:t>
      </w:r>
    </w:p>
    <w:p>
      <w:pPr>
        <w:pStyle w:val="Compact"/>
        <w:numPr>
          <w:numId w:val="1088"/>
          <w:ilvl w:val="0"/>
        </w:numPr>
      </w:pPr>
      <w:r>
        <w:t xml:space="preserve">L’adverbe « toujours » est toutefois incompatible avec plusieurs refus documentés portant sur les demandes centrales du défendeur.</w:t>
      </w:r>
    </w:p>
    <w:p>
      <w:pPr>
        <w:pStyle w:val="Compact"/>
        <w:numPr>
          <w:numId w:val="1088"/>
          <w:ilvl w:val="0"/>
        </w:numPr>
      </w:pPr>
      <w:r>
        <w:t xml:space="preserve">Le §59 prend surtout sa valeur lorsqu’il est juxtaposé au récit voulant que le défendeur ait refusé les offres et empêché le règlement.</w:t>
      </w:r>
    </w:p>
    <w:p>
      <w:pPr>
        <w:pStyle w:val="FirstParagraph"/>
      </w:pPr>
      <w:r>
        <w:t xml:space="preserve">Ce paragraphe ne doit donc pas porter la démonstration de fausseté ou de mauvaise foi. Il sert à montrer la surextension et la distribution asymétrique des rôles dans le récit.</w:t>
      </w:r>
    </w:p>
    <w:p>
      <w:pPr>
        <w:pStyle w:val="Heading2"/>
      </w:pPr>
      <w:bookmarkStart w:id="192" w:name="concessions-4"/>
      <w:r>
        <w:t xml:space="preserve">4. Concessions</w:t>
      </w:r>
      <w:bookmarkEnd w:id="192"/>
    </w:p>
    <w:p>
      <w:pPr>
        <w:pStyle w:val="Compact"/>
        <w:numPr>
          <w:numId w:val="1089"/>
          <w:ilvl w:val="0"/>
        </w:numPr>
      </w:pPr>
      <w:r>
        <w:t xml:space="preserve">La demanderesse a consenti à certains accommodements ponctuels.</w:t>
      </w:r>
    </w:p>
    <w:p>
      <w:pPr>
        <w:pStyle w:val="Compact"/>
        <w:numPr>
          <w:numId w:val="1089"/>
          <w:ilvl w:val="0"/>
        </w:numPr>
      </w:pPr>
      <w:r>
        <w:t xml:space="preserve">L’horaire du dimanche de 16 h à 20 h a été instauré à la demande du défendeur, selon le §20 de la Requête.</w:t>
      </w:r>
    </w:p>
    <w:p>
      <w:pPr>
        <w:pStyle w:val="Compact"/>
        <w:numPr>
          <w:numId w:val="1089"/>
          <w:ilvl w:val="0"/>
        </w:numPr>
      </w:pPr>
      <w:r>
        <w:t xml:space="preserve">En avril et en août 2015, la demanderesse a offert de véritables élargissements des accès, comprenant des nuitées.</w:t>
      </w:r>
    </w:p>
    <w:p>
      <w:pPr>
        <w:pStyle w:val="Compact"/>
        <w:numPr>
          <w:numId w:val="1089"/>
          <w:ilvl w:val="0"/>
        </w:numPr>
      </w:pPr>
      <w:r>
        <w:t xml:space="preserve">Le §59 ne peut donc pas être qualifié de fabrication intégrale.</w:t>
      </w:r>
    </w:p>
    <w:p>
      <w:pPr>
        <w:pStyle w:val="Heading2"/>
      </w:pPr>
      <w:bookmarkStart w:id="193" w:name="faits-essentiels-plaidables-9"/>
      <w:r>
        <w:t xml:space="preserve">5. Faits essentiels plaidables</w:t>
      </w:r>
      <w:bookmarkEnd w:id="193"/>
    </w:p>
    <w:p>
      <w:pPr>
        <w:numPr>
          <w:numId w:val="1090"/>
          <w:ilvl w:val="0"/>
        </w:numPr>
      </w:pPr>
      <w:r>
        <w:t xml:space="preserve">À l’été 2013, le défendeur souhaitait amener Alexia à Cape Cod et la demanderesse s’y est opposée en invoquant son jeune âge (</w:t>
      </w:r>
      <w:hyperlink r:id="rId194">
        <w:r>
          <w:rPr>
            <w:rStyle w:val="Hyperlink"/>
          </w:rPr>
          <w:t xml:space="preserve">piece_vacances_2013_cape_cod_cuba_chalet.md</w:t>
        </w:r>
      </w:hyperlink>
      <w:r>
        <w:t xml:space="preserve">).</w:t>
      </w:r>
    </w:p>
    <w:p>
      <w:pPr>
        <w:numPr>
          <w:numId w:val="1090"/>
          <w:ilvl w:val="0"/>
        </w:numPr>
      </w:pPr>
      <w:r>
        <w:t xml:space="preserve">Le 30 juin 2013, le défendeur souhaitait passer une fin de semaine au chalet avec Alexia et la demanderesse a refusé qu’il y aille seul avec elle (</w:t>
      </w:r>
      <w:hyperlink r:id="rId195">
        <w:r>
          <w:rPr>
            <w:rStyle w:val="Hyperlink"/>
          </w:rPr>
          <w:t xml:space="preserve">piece_thread-109.md</w:t>
        </w:r>
      </w:hyperlink>
      <w:r>
        <w:t xml:space="preserve">, C7).</w:t>
      </w:r>
    </w:p>
    <w:p>
      <w:pPr>
        <w:numPr>
          <w:numId w:val="1090"/>
          <w:ilvl w:val="0"/>
        </w:numPr>
      </w:pPr>
      <w:r>
        <w:t xml:space="preserve">Le 20 avril 2015, le défendeur a transmis une offre formelle de garde partagée selon un horaire 2-2-3 (</w:t>
      </w:r>
      <w:hyperlink r:id="rId137">
        <w:r>
          <w:rPr>
            <w:rStyle w:val="Hyperlink"/>
          </w:rPr>
          <w:t xml:space="preserve">piece_pdf-2.md</w:t>
        </w:r>
      </w:hyperlink>
      <w:r>
        <w:t xml:space="preserve">).</w:t>
      </w:r>
    </w:p>
    <w:p>
      <w:pPr>
        <w:numPr>
          <w:numId w:val="1090"/>
          <w:ilvl w:val="0"/>
        </w:numPr>
      </w:pPr>
      <w:r>
        <w:t xml:space="preserve">Le 27 avril 2015, la demanderesse a refusé cette garde partagée en invoquant le jeune âge des enfants, des « circonstances » non identifiées et une routine de plus de deux mois (</w:t>
      </w:r>
      <w:hyperlink r:id="rId136">
        <w:r>
          <w:rPr>
            <w:rStyle w:val="Hyperlink"/>
          </w:rPr>
          <w:t xml:space="preserve">piece_pdf-3.md</w:t>
        </w:r>
      </w:hyperlink>
      <w:r>
        <w:t xml:space="preserve">, C2).</w:t>
      </w:r>
    </w:p>
    <w:p>
      <w:pPr>
        <w:numPr>
          <w:numId w:val="1090"/>
          <w:ilvl w:val="0"/>
        </w:numPr>
      </w:pPr>
      <w:r>
        <w:t xml:space="preserve">Le 13 août 2015, la demanderesse a proposé une progression des accès qui maintenait la garde exclusive maternelle comme destination (</w:t>
      </w:r>
      <w:hyperlink r:id="rId196">
        <w:r>
          <w:rPr>
            <w:rStyle w:val="Hyperlink"/>
          </w:rPr>
          <w:t xml:space="preserve">piece_pdf-5.md</w:t>
        </w:r>
      </w:hyperlink>
      <w:r>
        <w:t xml:space="preserve">, art. 7).</w:t>
      </w:r>
    </w:p>
    <w:p>
      <w:pPr>
        <w:numPr>
          <w:numId w:val="1090"/>
          <w:ilvl w:val="0"/>
        </w:numPr>
      </w:pPr>
      <w:r>
        <w:t xml:space="preserve">Le 2 septembre 2015, le défendeur a accepté le principe d’une progression, proposé qu’elle mène à une garde partagée le 7 février 2016 et laissé à la demanderesse le choix des jours pour tenir compte de ses cours de danse (</w:t>
      </w:r>
      <w:hyperlink r:id="rId197">
        <w:r>
          <w:rPr>
            <w:rStyle w:val="Hyperlink"/>
          </w:rPr>
          <w:t xml:space="preserve">piece_pdf-6.md</w:t>
        </w:r>
      </w:hyperlink>
      <w:r>
        <w:t xml:space="preserve">, point d).</w:t>
      </w:r>
    </w:p>
    <w:p>
      <w:pPr>
        <w:numPr>
          <w:numId w:val="1090"/>
          <w:ilvl w:val="0"/>
        </w:numPr>
      </w:pPr>
      <w:r>
        <w:t xml:space="preserve">Le 3 septembre 2015, la demanderesse a refusé la garde partagée à compter de février 2016, la qualifiant de « prématurée à ce stade-ci » (</w:t>
      </w:r>
      <w:hyperlink r:id="rId198">
        <w:r>
          <w:rPr>
            <w:rStyle w:val="Hyperlink"/>
          </w:rPr>
          <w:t xml:space="preserve">piece_pdf-7.md</w:t>
        </w:r>
      </w:hyperlink>
      <w:r>
        <w:t xml:space="preserve">, C3).</w:t>
      </w:r>
    </w:p>
    <w:p>
      <w:pPr>
        <w:numPr>
          <w:numId w:val="1090"/>
          <w:ilvl w:val="0"/>
        </w:numPr>
      </w:pPr>
      <w:r>
        <w:t xml:space="preserve">Le 19 novembre 2015, la demanderesse a allégué avoir « toujours essayé d’accommoder le défendeur dans ses demandes » (</w:t>
      </w:r>
      <w:hyperlink r:id="rId76">
        <w:r>
          <w:rPr>
            <w:rStyle w:val="Hyperlink"/>
          </w:rPr>
          <w:t xml:space="preserve">piece_document-1.md</w:t>
        </w:r>
      </w:hyperlink>
      <w:r>
        <w:t xml:space="preserve">, §59).</w:t>
      </w:r>
    </w:p>
    <w:p>
      <w:pPr>
        <w:pStyle w:val="Heading2"/>
      </w:pPr>
      <w:bookmarkStart w:id="199" w:name="inférences-réservées-aux-moyens-10"/>
      <w:r>
        <w:t xml:space="preserve">6. Inférences réservées aux moyens</w:t>
      </w:r>
      <w:bookmarkEnd w:id="199"/>
    </w:p>
    <w:p>
      <w:pPr>
        <w:pStyle w:val="Compact"/>
        <w:numPr>
          <w:numId w:val="1091"/>
          <w:ilvl w:val="0"/>
        </w:numPr>
      </w:pPr>
      <w:r>
        <w:t xml:space="preserve">Plusieurs demandes importantes du défendeur ont été refusées. Le mot « toujours » excède donc la conduite documentée.</w:t>
      </w:r>
    </w:p>
    <w:p>
      <w:pPr>
        <w:pStyle w:val="Compact"/>
        <w:numPr>
          <w:numId w:val="1091"/>
          <w:ilvl w:val="0"/>
        </w:numPr>
      </w:pPr>
      <w:r>
        <w:t xml:space="preserve">Les offres d’accès d’avril et d’août constituent de réels accommodements quant à l’exécution, mais elles maintiennent la garde exclusive comme destination et ne permettent pas d’affirmer que la demande centrale de garde partagée a été accommodée.</w:t>
      </w:r>
    </w:p>
    <w:p>
      <w:pPr>
        <w:pStyle w:val="Compact"/>
        <w:numPr>
          <w:numId w:val="1091"/>
          <w:ilvl w:val="0"/>
        </w:numPr>
      </w:pPr>
      <w:r>
        <w:t xml:space="preserve">Le §59 est le miroir du §23 : l’un présente la demanderesse comme continuellement accommodante, l’autre présente le défendeur comme continuellement réfractaire. Les ponts §§14-18 et 20-24 montrent plutôt des refus et des concessions réciproques.</w:t>
      </w:r>
    </w:p>
    <w:p>
      <w:pPr>
        <w:pStyle w:val="Compact"/>
        <w:numPr>
          <w:numId w:val="1091"/>
          <w:ilvl w:val="0"/>
        </w:numPr>
      </w:pPr>
      <w:r>
        <w:t xml:space="preserve">La formulation efface la différence entre flexibilité sur certaines modalités et fermeture sur la destination finale.</w:t>
      </w:r>
    </w:p>
    <w:p>
      <w:pPr>
        <w:pStyle w:val="Heading2"/>
      </w:pPr>
      <w:bookmarkStart w:id="200" w:name="inférences-exclues-6"/>
      <w:r>
        <w:t xml:space="preserve">7. Inférences exclues</w:t>
      </w:r>
      <w:bookmarkEnd w:id="200"/>
    </w:p>
    <w:p>
      <w:pPr>
        <w:pStyle w:val="Compact"/>
        <w:numPr>
          <w:numId w:val="1092"/>
          <w:ilvl w:val="0"/>
        </w:numPr>
      </w:pPr>
      <w:r>
        <w:t xml:space="preserve">Ne pas affirmer que la demanderesse n’a jamais accommodé le défendeur.</w:t>
      </w:r>
    </w:p>
    <w:p>
      <w:pPr>
        <w:pStyle w:val="Compact"/>
        <w:numPr>
          <w:numId w:val="1092"/>
          <w:ilvl w:val="0"/>
        </w:numPr>
      </w:pPr>
      <w:r>
        <w:t xml:space="preserve">Ne pas qualifier chaque offre de fictive ou d’empoisonnée.</w:t>
      </w:r>
    </w:p>
    <w:p>
      <w:pPr>
        <w:pStyle w:val="Compact"/>
        <w:numPr>
          <w:numId w:val="1092"/>
          <w:ilvl w:val="0"/>
        </w:numPr>
      </w:pPr>
      <w:r>
        <w:t xml:space="preserve">Ne pas présenter le refus d’une demande comme automatiquement contraire à l’intérêt des enfants.</w:t>
      </w:r>
    </w:p>
    <w:p>
      <w:pPr>
        <w:pStyle w:val="Compact"/>
        <w:numPr>
          <w:numId w:val="1092"/>
          <w:ilvl w:val="0"/>
        </w:numPr>
      </w:pPr>
      <w:r>
        <w:t xml:space="preserve">Ne pas utiliser le §59 comme preuve autonome de mauvaise foi.</w:t>
      </w:r>
    </w:p>
    <w:p>
      <w:pPr>
        <w:pStyle w:val="Compact"/>
        <w:numPr>
          <w:numId w:val="1092"/>
          <w:ilvl w:val="0"/>
        </w:numPr>
      </w:pPr>
      <w:r>
        <w:t xml:space="preserve">Ne pas confondre le refus d’une demande avec le refus du règlement amiable comme mode.</w:t>
      </w:r>
    </w:p>
    <w:p>
      <w:pPr>
        <w:pStyle w:val="Heading2"/>
      </w:pPr>
      <w:bookmarkStart w:id="201" w:name="pièces-nécessaires-9"/>
      <w:r>
        <w:t xml:space="preserve">8. Pièces nécessaires</w:t>
      </w:r>
      <w:bookmarkEnd w:id="201"/>
    </w:p>
    <w:tbl>
      <w:tblPr>
        <w:tblStyle w:val="Table"/>
        <w:tblW w:type="pct" w:w="0.0"/>
        <w:tblLook w:firstRow="1"/>
      </w:tblPr>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r>
              <w:rPr>
                <w:rStyle w:val="VerbatimChar"/>
              </w:rPr>
              <w:t xml:space="preserve">piece_vacances_2013_cape_cod_cuba_chalet.md</w:t>
            </w:r>
          </w:p>
        </w:tc>
        <w:tc>
          <w:p>
            <w:pPr>
              <w:pStyle w:val="Compact"/>
              <w:jc w:val="left"/>
            </w:pPr>
            <w:r>
              <w:t xml:space="preserve">disponible</w:t>
            </w:r>
          </w:p>
        </w:tc>
      </w:tr>
      <w:tr>
        <w:tc>
          <w:p>
            <w:pPr>
              <w:pStyle w:val="Compact"/>
              <w:jc w:val="left"/>
            </w:pPr>
            <w:r>
              <w:t xml:space="preserve">2</w:t>
            </w:r>
          </w:p>
        </w:tc>
        <w:tc>
          <w:p>
            <w:pPr>
              <w:pStyle w:val="Compact"/>
              <w:jc w:val="left"/>
            </w:pPr>
            <w:r>
              <w:rPr>
                <w:rStyle w:val="VerbatimChar"/>
              </w:rPr>
              <w:t xml:space="preserve">piece_thread-109.md</w:t>
            </w:r>
            <w:r>
              <w:t xml:space="preserve">, C7</w:t>
            </w:r>
          </w:p>
        </w:tc>
        <w:tc>
          <w:p>
            <w:pPr>
              <w:pStyle w:val="Compact"/>
              <w:jc w:val="left"/>
            </w:pPr>
            <w:r>
              <w:t xml:space="preserve">disponible</w:t>
            </w:r>
          </w:p>
        </w:tc>
      </w:tr>
      <w:tr>
        <w:tc>
          <w:p>
            <w:pPr>
              <w:pStyle w:val="Compact"/>
              <w:jc w:val="left"/>
            </w:pPr>
            <w:r>
              <w:t xml:space="preserve">3</w:t>
            </w:r>
          </w:p>
        </w:tc>
        <w:tc>
          <w:p>
            <w:pPr>
              <w:pStyle w:val="Compact"/>
              <w:jc w:val="left"/>
            </w:pPr>
            <w:r>
              <w:rPr>
                <w:rStyle w:val="VerbatimChar"/>
              </w:rPr>
              <w:t xml:space="preserve">piece_pdf-2.md</w:t>
            </w:r>
          </w:p>
        </w:tc>
        <w:tc>
          <w:p>
            <w:pPr>
              <w:pStyle w:val="Compact"/>
              <w:jc w:val="left"/>
            </w:pPr>
            <w:r>
              <w:t xml:space="preserve">disponible; privilège de règlement à évaluer</w:t>
            </w:r>
          </w:p>
        </w:tc>
      </w:tr>
      <w:tr>
        <w:tc>
          <w:p>
            <w:pPr>
              <w:pStyle w:val="Compact"/>
              <w:jc w:val="left"/>
            </w:pPr>
            <w:r>
              <w:t xml:space="preserve">4</w:t>
            </w:r>
          </w:p>
        </w:tc>
        <w:tc>
          <w:p>
            <w:pPr>
              <w:pStyle w:val="Compact"/>
              <w:jc w:val="left"/>
            </w:pPr>
            <w:r>
              <w:rPr>
                <w:rStyle w:val="VerbatimChar"/>
              </w:rPr>
              <w:t xml:space="preserve">piece_pdf-3.md</w:t>
            </w:r>
            <w:r>
              <w:t xml:space="preserve">, C2</w:t>
            </w:r>
          </w:p>
        </w:tc>
        <w:tc>
          <w:p>
            <w:pPr>
              <w:pStyle w:val="Compact"/>
              <w:jc w:val="left"/>
            </w:pPr>
            <w:r>
              <w:t xml:space="preserve">disponible; privilège de règlement à évaluer</w:t>
            </w:r>
          </w:p>
        </w:tc>
      </w:tr>
      <w:tr>
        <w:tc>
          <w:p>
            <w:pPr>
              <w:pStyle w:val="Compact"/>
              <w:jc w:val="left"/>
            </w:pPr>
            <w:r>
              <w:t xml:space="preserve">5</w:t>
            </w:r>
          </w:p>
        </w:tc>
        <w:tc>
          <w:p>
            <w:pPr>
              <w:pStyle w:val="Compact"/>
              <w:jc w:val="left"/>
            </w:pPr>
            <w:r>
              <w:rPr>
                <w:rStyle w:val="VerbatimChar"/>
              </w:rPr>
              <w:t xml:space="preserve">piece_pdf-5.md</w:t>
            </w:r>
            <w:r>
              <w:t xml:space="preserve">, art. 7</w:t>
            </w:r>
          </w:p>
        </w:tc>
        <w:tc>
          <w:p>
            <w:pPr>
              <w:pStyle w:val="Compact"/>
              <w:jc w:val="left"/>
            </w:pPr>
            <w:r>
              <w:t xml:space="preserve">disponible; projet non signé; privilège à évaluer</w:t>
            </w:r>
          </w:p>
        </w:tc>
      </w:tr>
      <w:tr>
        <w:tc>
          <w:p>
            <w:pPr>
              <w:pStyle w:val="Compact"/>
              <w:jc w:val="left"/>
            </w:pPr>
            <w:r>
              <w:t xml:space="preserve">6</w:t>
            </w:r>
          </w:p>
        </w:tc>
        <w:tc>
          <w:p>
            <w:pPr>
              <w:pStyle w:val="Compact"/>
              <w:jc w:val="left"/>
            </w:pPr>
            <w:r>
              <w:rPr>
                <w:rStyle w:val="VerbatimChar"/>
              </w:rPr>
              <w:t xml:space="preserve">piece_pdf-6.md</w:t>
            </w:r>
            <w:r>
              <w:t xml:space="preserve">, point d</w:t>
            </w:r>
          </w:p>
        </w:tc>
        <w:tc>
          <w:p>
            <w:pPr>
              <w:pStyle w:val="Compact"/>
              <w:jc w:val="left"/>
            </w:pPr>
            <w:r>
              <w:t xml:space="preserve">disponible; privilège de règlement à évaluer</w:t>
            </w:r>
          </w:p>
        </w:tc>
      </w:tr>
      <w:tr>
        <w:tc>
          <w:p>
            <w:pPr>
              <w:pStyle w:val="Compact"/>
              <w:jc w:val="left"/>
            </w:pPr>
            <w:r>
              <w:t xml:space="preserve">7</w:t>
            </w:r>
          </w:p>
        </w:tc>
        <w:tc>
          <w:p>
            <w:pPr>
              <w:pStyle w:val="Compact"/>
              <w:jc w:val="left"/>
            </w:pPr>
            <w:r>
              <w:rPr>
                <w:rStyle w:val="VerbatimChar"/>
              </w:rPr>
              <w:t xml:space="preserve">piece_pdf-7.md</w:t>
            </w:r>
            <w:r>
              <w:t xml:space="preserve">, C3</w:t>
            </w:r>
          </w:p>
        </w:tc>
        <w:tc>
          <w:p>
            <w:pPr>
              <w:pStyle w:val="Compact"/>
              <w:jc w:val="left"/>
            </w:pPr>
            <w:r>
              <w:t xml:space="preserve">disponible; privilège de règlement à évaluer</w:t>
            </w:r>
          </w:p>
        </w:tc>
      </w:tr>
      <w:tr>
        <w:tc>
          <w:p>
            <w:pPr>
              <w:pStyle w:val="Compact"/>
              <w:jc w:val="left"/>
            </w:pPr>
            <w:r>
              <w:t xml:space="preserve">8</w:t>
            </w:r>
          </w:p>
        </w:tc>
        <w:tc>
          <w:p>
            <w:pPr>
              <w:pStyle w:val="Compact"/>
              <w:jc w:val="left"/>
            </w:pPr>
            <w:r>
              <w:rPr>
                <w:rStyle w:val="VerbatimChar"/>
              </w:rPr>
              <w:t xml:space="preserve">piece_document-1.md</w:t>
            </w:r>
            <w:r>
              <w:t xml:space="preserve">, §59</w:t>
            </w:r>
          </w:p>
        </w:tc>
        <w:tc>
          <w:p>
            <w:pPr>
              <w:pStyle w:val="Compact"/>
              <w:jc w:val="left"/>
            </w:pPr>
            <w:r>
              <w:t xml:space="preserve">disponible</w:t>
            </w:r>
          </w:p>
        </w:tc>
      </w:tr>
    </w:tbl>
    <w:p>
      <w:pPr>
        <w:pStyle w:val="Heading2"/>
      </w:pPr>
      <w:bookmarkStart w:id="202" w:name="prudences-de-rédaction-8"/>
      <w:r>
        <w:t xml:space="preserve">9. Prudences de rédaction</w:t>
      </w:r>
      <w:bookmarkEnd w:id="202"/>
    </w:p>
    <w:p>
      <w:pPr>
        <w:pStyle w:val="Compact"/>
        <w:numPr>
          <w:numId w:val="1093"/>
          <w:ilvl w:val="0"/>
        </w:numPr>
      </w:pPr>
      <w:r>
        <w:t xml:space="preserve">Employer le §59 comme corroboration après les ponts plus forts, non comme point d’ouverture.</w:t>
      </w:r>
    </w:p>
    <w:p>
      <w:pPr>
        <w:pStyle w:val="Compact"/>
        <w:numPr>
          <w:numId w:val="1093"/>
          <w:ilvl w:val="0"/>
        </w:numPr>
      </w:pPr>
      <w:r>
        <w:t xml:space="preserve">Commencer par concéder les accommodements ponctuels afin de concentrer la contestation sur « toujours ».</w:t>
      </w:r>
    </w:p>
    <w:p>
      <w:pPr>
        <w:pStyle w:val="Compact"/>
        <w:numPr>
          <w:numId w:val="1093"/>
          <w:ilvl w:val="0"/>
        </w:numPr>
      </w:pPr>
      <w:r>
        <w:t xml:space="preserve">L’usage des offres d’avril à septembre doit être validé au regard du privilège relatif aux règlements.</w:t>
      </w:r>
    </w:p>
    <w:p>
      <w:pPr>
        <w:pStyle w:val="Compact"/>
        <w:numPr>
          <w:numId w:val="1093"/>
          <w:ilvl w:val="0"/>
        </w:numPr>
      </w:pPr>
      <w:r>
        <w:t xml:space="preserve">Si les négociations sont exclues, conserver seulement les refus de 2013 et la contradiction générale, avec une force nettement réduite.</w:t>
      </w:r>
    </w:p>
    <w:p>
      <w:pPr>
        <w:pStyle w:val="Heading2"/>
      </w:pPr>
      <w:bookmarkStart w:id="203" w:name="Xd079849e026267c294952d1c529464527ef5c9b"/>
      <w:r>
        <w:t xml:space="preserve">10. Version procédurale distillée, sous réserve d’admissibilité</w:t>
      </w:r>
      <w:bookmarkEnd w:id="203"/>
    </w:p>
    <w:p>
      <w:pPr>
        <w:pStyle w:val="Compact"/>
        <w:numPr>
          <w:numId w:val="1094"/>
          <w:ilvl w:val="0"/>
        </w:numPr>
      </w:pPr>
      <w:r>
        <w:t xml:space="preserve">La demanderesse a consenti à certains accommodements ponctuels demandés par le défendeur.</w:t>
      </w:r>
    </w:p>
    <w:p>
      <w:pPr>
        <w:pStyle w:val="Compact"/>
        <w:numPr>
          <w:numId w:val="1094"/>
          <w:ilvl w:val="0"/>
        </w:numPr>
      </w:pPr>
      <w:r>
        <w:t xml:space="preserve">Elle s’est toutefois opposée, en 2013, à certains projets de voyage et de fin de semaine du défendeur avec Alexia.</w:t>
      </w:r>
    </w:p>
    <w:p>
      <w:pPr>
        <w:pStyle w:val="Compact"/>
        <w:numPr>
          <w:numId w:val="1094"/>
          <w:ilvl w:val="0"/>
        </w:numPr>
      </w:pPr>
      <w:r>
        <w:t xml:space="preserve">Le 20 avril 2015, le défendeur a proposé une garde partagée selon un horaire 2-2-3.</w:t>
      </w:r>
    </w:p>
    <w:p>
      <w:pPr>
        <w:pStyle w:val="Compact"/>
        <w:numPr>
          <w:numId w:val="1094"/>
          <w:ilvl w:val="0"/>
        </w:numPr>
      </w:pPr>
      <w:r>
        <w:t xml:space="preserve">Le 27 avril, la demanderesse a refusé cette proposition et a maintenu la garde exclusive comme destination tout en offrant des accès élargis.</w:t>
      </w:r>
    </w:p>
    <w:p>
      <w:pPr>
        <w:pStyle w:val="Compact"/>
        <w:numPr>
          <w:numId w:val="1094"/>
          <w:ilvl w:val="0"/>
        </w:numPr>
      </w:pPr>
      <w:r>
        <w:t xml:space="preserve">Le 2 septembre, le défendeur a accepté une progression et proposé une transition vers la garde partagée à compter du 7 février 2016, avec un choix de jours laissé à la demanderesse.</w:t>
      </w:r>
    </w:p>
    <w:p>
      <w:pPr>
        <w:pStyle w:val="Compact"/>
        <w:numPr>
          <w:numId w:val="1094"/>
          <w:ilvl w:val="0"/>
        </w:numPr>
      </w:pPr>
      <w:r>
        <w:t xml:space="preserve">Le lendemain, la demanderesse a qualifié cette garde partagée de prématurée.</w:t>
      </w:r>
    </w:p>
    <w:p>
      <w:pPr>
        <w:pStyle w:val="Compact"/>
        <w:numPr>
          <w:numId w:val="1094"/>
          <w:ilvl w:val="0"/>
        </w:numPr>
      </w:pPr>
      <w:r>
        <w:t xml:space="preserve">La Requête a néanmoins affirmé que la demanderesse avait « toujours essayé d’accommoder le défendeur dans ses demandes ».</w:t>
      </w:r>
    </w:p>
    <w:p>
      <w:pPr>
        <w:pStyle w:val="Heading2"/>
      </w:pPr>
      <w:bookmarkStart w:id="204" w:name="usage-dans-la-demande-introductive-6"/>
      <w:r>
        <w:t xml:space="preserve">11. Usage dans la demande introductive</w:t>
      </w:r>
      <w:bookmarkEnd w:id="204"/>
    </w:p>
    <w:p>
      <w:pPr>
        <w:pStyle w:val="FirstParagraph"/>
      </w:pPr>
      <w:r>
        <w:t xml:space="preserve">Ce pont doit demeurer subordonné aux ponts §§14-18 et 20-24. Sa fonction est de contester l’absolu « toujours » et de corriger la distribution narrative des rôles, non de soutenir que chaque demande du défendeur devait être acceptée.</w:t>
      </w:r>
    </w:p>
    <w:p>
      <w:pPr>
        <w:pStyle w:val="BodyText"/>
      </w:pPr>
      <w:r>
        <w:t xml:space="preserve">Il peut aussi corroborer la réfutation du §3 de la DA-2019 : les documents montrent une négociation comportant des propositions, des refus et des concessions réciproques, plutôt qu’un refus unilatéral du règlement amiable par le défendeur.</w:t>
      </w:r>
    </w:p>
    <w:p>
      <w:r>
        <w:pict>
          <v:rect style="width:0;height:1.5pt" o:hralign="center" o:hrstd="t" o:hr="t"/>
        </w:pict>
      </w:r>
    </w:p>
    <w:p>
      <w:pPr>
        <w:pStyle w:val="Heading1"/>
      </w:pPr>
      <w:bookmarkStart w:id="205" w:name="X9b5a02c41dccd7cfe56734cf934101a2cfe61fb"/>
      <w:r>
        <w:t xml:space="preserve">MOYENS DE DROIT — ce que la procédure civile exige</w:t>
      </w:r>
      <w:r>
        <w:t xml:space="preserve"> </w:t>
      </w:r>
      <w:r>
        <w:rPr>
          <w:i/>
        </w:rPr>
        <w:t xml:space="preserve">en sus</w:t>
      </w:r>
      <w:r>
        <w:t xml:space="preserve"> </w:t>
      </w:r>
      <w:r>
        <w:t xml:space="preserve">des faits numérotés</w:t>
      </w:r>
      <w:bookmarkEnd w:id="205"/>
    </w:p>
    <w:p>
      <w:pPr>
        <w:pStyle w:val="BlockText"/>
      </w:pPr>
      <w:r>
        <w:rPr>
          <w:b/>
        </w:rPr>
        <w:t xml:space="preserve">STATUT : brouillon juridique audité, non validé par un procureur.</w:t>
      </w:r>
      <w:r>
        <w:t xml:space="preserve"> </w:t>
      </w:r>
      <w:r>
        <w:t xml:space="preserve">Les fondements statutaires principaux ont été rapprochés des textes officiels en vigueur, mais le véhicule procédural, la jurisprudence sur l’immunité relative, l’autorité de la chose jugée, la prescription, les privilèges et la causalité doivent être validés avant tout usage. Cette section rassemble les « inférences réservées aux moyens »; elle ne transforme pas les analyses factuelles en conclusions juridiques acquises.</w:t>
      </w:r>
    </w:p>
    <w:p>
      <w:pPr>
        <w:pStyle w:val="Heading2"/>
      </w:pPr>
      <w:bookmarkStart w:id="206" w:name="le-principe-les-faits-ne-suffisent-pas"/>
      <w:r>
        <w:t xml:space="preserve">0. Le principe — les faits ne suffisent pas</w:t>
      </w:r>
      <w:bookmarkEnd w:id="206"/>
    </w:p>
    <w:p>
      <w:pPr>
        <w:pStyle w:val="FirstParagraph"/>
      </w:pPr>
      <w:r>
        <w:t xml:space="preserve">Les ponts ci-dessus produisent des</w:t>
      </w:r>
      <w:r>
        <w:t xml:space="preserve"> </w:t>
      </w:r>
      <w:r>
        <w:rPr>
          <w:b/>
        </w:rPr>
        <w:t xml:space="preserve">faits générateurs</w:t>
      </w:r>
      <w:r>
        <w:t xml:space="preserve"> </w:t>
      </w:r>
      <w:r>
        <w:t xml:space="preserve">sous une forme de travail compatible avec un exposé factuel :</w:t>
      </w:r>
      <w:r>
        <w:t xml:space="preserve"> </w:t>
      </w:r>
      <w:r>
        <w:rPr>
          <w:i/>
        </w:rPr>
        <w:t xml:space="preserve">un fait = une proposition, numérotée, descriptive, sans qualificatif, sourcée</w:t>
      </w:r>
      <w:r>
        <w:t xml:space="preserve">. Ces faits sont</w:t>
      </w:r>
      <w:r>
        <w:t xml:space="preserve"> </w:t>
      </w:r>
      <w:r>
        <w:rPr>
          <w:b/>
        </w:rPr>
        <w:t xml:space="preserve">nécessaires mais non suffisants</w:t>
      </w:r>
      <w:r>
        <w:t xml:space="preserve">. Une demande doit aussi articuler les éléments juridiques correspondant aux recours effectivement retenus. Les exigences ci-dessous ne s’appliquent donc pas toutes automatiquement : solidarité, dommages punitifs, abus de procédure et diffamation ne doivent être plaidés que si leurs conditions propres sont soutenues.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Exigence (en sus des faits)</w:t>
            </w:r>
          </w:p>
        </w:tc>
        <w:tc>
          <w:tcPr>
            <w:tcBorders>
              <w:bottom w:val="single"/>
            </w:tcBorders>
            <w:vAlign w:val="bottom"/>
          </w:tcPr>
          <w:p>
            <w:pPr>
              <w:pStyle w:val="Compact"/>
              <w:jc w:val="left"/>
            </w:pPr>
            <w:r>
              <w:t xml:space="preserve">Fondement (à vérifier)</w:t>
            </w:r>
          </w:p>
        </w:tc>
        <w:tc>
          <w:tcPr>
            <w:tcBorders>
              <w:bottom w:val="single"/>
            </w:tcBorders>
            <w:vAlign w:val="bottom"/>
          </w:tcPr>
          <w:p>
            <w:pPr>
              <w:pStyle w:val="Compact"/>
              <w:jc w:val="left"/>
            </w:pPr>
            <w:r>
              <w:t xml:space="preserve">Où, dans le présent dossier</w:t>
            </w:r>
          </w:p>
        </w:tc>
      </w:tr>
      <w:tr>
        <w:tc>
          <w:p>
            <w:pPr>
              <w:pStyle w:val="Compact"/>
              <w:jc w:val="left"/>
            </w:pPr>
            <w:r>
              <w:rPr>
                <w:b/>
              </w:rPr>
              <w:t xml:space="preserve">Qualification / nature de l’action</w:t>
            </w:r>
          </w:p>
        </w:tc>
        <w:tc>
          <w:p>
            <w:pPr>
              <w:pStyle w:val="Compact"/>
              <w:jc w:val="left"/>
            </w:pPr>
            <w:r>
              <w:t xml:space="preserve">art. 99, 141 C.p.c.</w:t>
            </w:r>
          </w:p>
        </w:tc>
        <w:tc>
          <w:p>
            <w:pPr>
              <w:pStyle w:val="Compact"/>
              <w:jc w:val="left"/>
            </w:pPr>
            <w:r>
              <w:t xml:space="preserve">responsabilité civile (1457 C.c.Q.), faute =</w:t>
            </w:r>
            <w:r>
              <w:t xml:space="preserve"> </w:t>
            </w:r>
            <w:r>
              <w:rPr>
                <w:b/>
              </w:rPr>
              <w:t xml:space="preserve">abus de procédure</w:t>
            </w:r>
            <w:r>
              <w:t xml:space="preserve"> </w:t>
            </w:r>
            <w:r>
              <w:t xml:space="preserve">(51-54 C.p.c.) +</w:t>
            </w:r>
            <w:r>
              <w:t xml:space="preserve"> </w:t>
            </w:r>
            <w:r>
              <w:rPr>
                <w:b/>
              </w:rPr>
              <w:t xml:space="preserve">diffamation</w:t>
            </w:r>
          </w:p>
        </w:tc>
      </w:tr>
      <w:tr>
        <w:tc>
          <w:p>
            <w:pPr>
              <w:pStyle w:val="Compact"/>
              <w:jc w:val="left"/>
            </w:pPr>
            <w:r>
              <w:rPr>
                <w:b/>
              </w:rPr>
              <w:t xml:space="preserve">Les trois éléments de 1457 plaidés distinctement</w:t>
            </w:r>
            <w:r>
              <w:t xml:space="preserve"> </w:t>
            </w:r>
            <w:r>
              <w:t xml:space="preserve">: faute, préjudice, lien de causalité</w:t>
            </w:r>
          </w:p>
        </w:tc>
        <w:tc>
          <w:p>
            <w:pPr>
              <w:pStyle w:val="Compact"/>
              <w:jc w:val="left"/>
            </w:pPr>
            <w:r>
              <w:t xml:space="preserve">art. 1457 C.c.Q.</w:t>
            </w:r>
          </w:p>
        </w:tc>
        <w:tc>
          <w:p>
            <w:pPr>
              <w:pStyle w:val="Compact"/>
              <w:jc w:val="left"/>
            </w:pPr>
            <w:r>
              <w:t xml:space="preserve">§§ B, G ci-dessous</w:t>
            </w:r>
          </w:p>
        </w:tc>
      </w:tr>
      <w:tr>
        <w:tc>
          <w:p>
            <w:pPr>
              <w:pStyle w:val="Compact"/>
              <w:jc w:val="left"/>
            </w:pPr>
            <w:r>
              <w:rPr>
                <w:b/>
              </w:rPr>
              <w:t xml:space="preserve">Conclusions recherchées</w:t>
            </w:r>
            <w:r>
              <w:t xml:space="preserve">, précises et déterminées/chiffrables</w:t>
            </w:r>
          </w:p>
        </w:tc>
        <w:tc>
          <w:p>
            <w:pPr>
              <w:pStyle w:val="Compact"/>
              <w:jc w:val="left"/>
            </w:pPr>
            <w:r>
              <w:t xml:space="preserve">art. 99, 141 C.p.c.</w:t>
            </w:r>
          </w:p>
        </w:tc>
        <w:tc>
          <w:p>
            <w:pPr>
              <w:pStyle w:val="Compact"/>
              <w:jc w:val="left"/>
            </w:pPr>
            <w:r>
              <w:t xml:space="preserve">dommages compensatoires + punitifs (à chiffrer)</w:t>
            </w:r>
          </w:p>
        </w:tc>
      </w:tr>
      <w:tr>
        <w:tc>
          <w:p>
            <w:pPr>
              <w:pStyle w:val="Compact"/>
              <w:jc w:val="left"/>
            </w:pPr>
            <w:r>
              <w:rPr>
                <w:b/>
              </w:rPr>
              <w:t xml:space="preserve">Fondement de la solidarité</w:t>
            </w:r>
          </w:p>
        </w:tc>
        <w:tc>
          <w:p>
            <w:pPr>
              <w:pStyle w:val="Compact"/>
              <w:jc w:val="left"/>
            </w:pPr>
            <w:r>
              <w:t xml:space="preserve">art. 1526 C.c.Q.</w:t>
            </w:r>
          </w:p>
        </w:tc>
        <w:tc>
          <w:p>
            <w:pPr>
              <w:pStyle w:val="Compact"/>
              <w:jc w:val="left"/>
            </w:pPr>
            <w:r>
              <w:t xml:space="preserve">§F ci-dessous</w:t>
            </w:r>
          </w:p>
        </w:tc>
      </w:tr>
      <w:tr>
        <w:tc>
          <w:p>
            <w:pPr>
              <w:pStyle w:val="Compact"/>
              <w:jc w:val="left"/>
            </w:pPr>
            <w:r>
              <w:rPr>
                <w:b/>
              </w:rPr>
              <w:t xml:space="preserve">Prescription</w:t>
            </w:r>
            <w:r>
              <w:t xml:space="preserve"> </w:t>
            </w:r>
            <w:r>
              <w:t xml:space="preserve">(obstacle apparent à désamorcer)</w:t>
            </w:r>
          </w:p>
        </w:tc>
        <w:tc>
          <w:p>
            <w:pPr>
              <w:pStyle w:val="Compact"/>
              <w:jc w:val="left"/>
            </w:pPr>
            <w:r>
              <w:t xml:space="preserve">art. 2925, 2926, 2929, 2892 C.c.Q.</w:t>
            </w:r>
          </w:p>
        </w:tc>
        <w:tc>
          <w:p>
            <w:pPr>
              <w:pStyle w:val="Compact"/>
              <w:jc w:val="left"/>
            </w:pPr>
            <w:r>
              <w:t xml:space="preserve">renvoi à</w:t>
            </w:r>
            <w:r>
              <w:t xml:space="preserve"> </w:t>
            </w:r>
            <w:r>
              <w:rPr>
                <w:rStyle w:val="VerbatimChar"/>
              </w:rPr>
              <w:t xml:space="preserve">these_prescription.md</w:t>
            </w:r>
            <w:r>
              <w:t xml:space="preserve"> </w:t>
            </w:r>
            <w:r>
              <w:t xml:space="preserve">—</w:t>
            </w:r>
            <w:r>
              <w:t xml:space="preserve"> </w:t>
            </w:r>
            <w:r>
              <w:rPr>
                <w:b/>
              </w:rPr>
              <w:t xml:space="preserve">hors présent fichier</w:t>
            </w:r>
          </w:p>
        </w:tc>
      </w:tr>
      <w:tr>
        <w:tc>
          <w:p>
            <w:pPr>
              <w:pStyle w:val="Compact"/>
              <w:jc w:val="left"/>
            </w:pPr>
            <w:r>
              <w:rPr>
                <w:b/>
              </w:rPr>
              <w:t xml:space="preserve">Communication des pièces + avis d’assignation</w:t>
            </w:r>
          </w:p>
        </w:tc>
        <w:tc>
          <w:p>
            <w:pPr>
              <w:pStyle w:val="Compact"/>
              <w:jc w:val="left"/>
            </w:pPr>
            <w:r>
              <w:t xml:space="preserve">art. 99, 107, 145 C.p.c.</w:t>
            </w:r>
          </w:p>
        </w:tc>
        <w:tc>
          <w:p>
            <w:pPr>
              <w:pStyle w:val="Compact"/>
              <w:jc w:val="left"/>
            </w:pPr>
            <w:r>
              <w:t xml:space="preserve">bordereau (à finaliser)</w:t>
            </w:r>
          </w:p>
        </w:tc>
      </w:tr>
    </w:tbl>
    <w:p>
      <w:pPr>
        <w:pStyle w:val="BodyText"/>
      </w:pPr>
      <w:r>
        <w:t xml:space="preserve">Les §§ A à H ci-dessous détaillent les moyens</w:t>
      </w:r>
      <w:r>
        <w:t xml:space="preserve"> </w:t>
      </w:r>
      <w:r>
        <w:rPr>
          <w:b/>
        </w:rPr>
        <w:t xml:space="preserve">propres à la Requête de 2015</w:t>
      </w:r>
      <w:r>
        <w:t xml:space="preserve">.</w:t>
      </w:r>
    </w:p>
    <w:p>
      <w:pPr>
        <w:pStyle w:val="Heading2"/>
      </w:pPr>
      <w:bookmarkStart w:id="207" w:name="X6c8ef1b9bd8f8205e00b90ffb006a53881c3435"/>
      <w:r>
        <w:t xml:space="preserve">A. Le standard de l’abus (art. 51-54 C.p.c.) — l’abus est dans le</w:t>
      </w:r>
      <w:r>
        <w:t xml:space="preserve"> </w:t>
      </w:r>
      <w:r>
        <w:rPr>
          <w:i/>
        </w:rPr>
        <w:t xml:space="preserve">moyen</w:t>
      </w:r>
      <w:r>
        <w:t xml:space="preserve">, non dans le</w:t>
      </w:r>
      <w:r>
        <w:t xml:space="preserve"> </w:t>
      </w:r>
      <w:r>
        <w:rPr>
          <w:i/>
        </w:rPr>
        <w:t xml:space="preserve">résultat</w:t>
      </w:r>
      <w:bookmarkEnd w:id="207"/>
    </w:p>
    <w:p>
      <w:pPr>
        <w:pStyle w:val="Compact"/>
        <w:numPr>
          <w:numId w:val="1095"/>
          <w:ilvl w:val="0"/>
        </w:numPr>
      </w:pPr>
      <w:r>
        <w:t xml:space="preserve">L’abus ne se confond pas avec le fait de succomber : il vise notamment le</w:t>
      </w:r>
      <w:r>
        <w:t xml:space="preserve"> </w:t>
      </w:r>
      <w:r>
        <w:rPr>
          <w:b/>
        </w:rPr>
        <w:t xml:space="preserve">détournement des fins de la justice</w:t>
      </w:r>
      <w:r>
        <w:t xml:space="preserve">, l’usage</w:t>
      </w:r>
      <w:r>
        <w:t xml:space="preserve"> </w:t>
      </w:r>
      <w:r>
        <w:rPr>
          <w:b/>
        </w:rPr>
        <w:t xml:space="preserve">excessif ou déraisonnable</w:t>
      </w:r>
      <w:r>
        <w:t xml:space="preserve"> </w:t>
      </w:r>
      <w:r>
        <w:t xml:space="preserve">de la procédure, et la</w:t>
      </w:r>
      <w:r>
        <w:t xml:space="preserve"> </w:t>
      </w:r>
      <w:r>
        <w:rPr>
          <w:b/>
        </w:rPr>
        <w:t xml:space="preserve">mauvaise foi / témérité</w:t>
      </w:r>
      <w:r>
        <w:t xml:space="preserve"> </w:t>
      </w:r>
      <w:r>
        <w:t xml:space="preserve">(art. 51).</w:t>
      </w:r>
    </w:p>
    <w:p>
      <w:pPr>
        <w:pStyle w:val="Compact"/>
        <w:numPr>
          <w:numId w:val="1095"/>
          <w:ilvl w:val="0"/>
        </w:numPr>
      </w:pPr>
      <w:r>
        <w:rPr>
          <w:b/>
        </w:rPr>
        <w:t xml:space="preserve">Distinction cardinale.</w:t>
      </w:r>
      <w:r>
        <w:t xml:space="preserve"> </w:t>
      </w:r>
      <w:r>
        <w:t xml:space="preserve">Il ne faut</w:t>
      </w:r>
      <w:r>
        <w:t xml:space="preserve"> </w:t>
      </w:r>
      <w:r>
        <w:rPr>
          <w:b/>
        </w:rPr>
        <w:t xml:space="preserve">pas</w:t>
      </w:r>
      <w:r>
        <w:t xml:space="preserve"> </w:t>
      </w:r>
      <w:r>
        <w:t xml:space="preserve">plaider que la demande était « manifestement mal fondée / frivole » : une résidence principale à la mère était, sur des faits exacts, un résultat défendable. L’abus ne tient pas au</w:t>
      </w:r>
      <w:r>
        <w:t xml:space="preserve"> </w:t>
      </w:r>
      <w:r>
        <w:rPr>
          <w:i/>
        </w:rPr>
        <w:t xml:space="preserve">résultat</w:t>
      </w:r>
      <w:r>
        <w:t xml:space="preserve"> </w:t>
      </w:r>
      <w:r>
        <w:t xml:space="preserve">recherché mais au</w:t>
      </w:r>
      <w:r>
        <w:t xml:space="preserve"> </w:t>
      </w:r>
      <w:r>
        <w:rPr>
          <w:i/>
          <w:b/>
        </w:rPr>
        <w:t xml:space="preserve">moyen</w:t>
      </w:r>
      <w:r>
        <w:t xml:space="preserve"> </w:t>
      </w:r>
      <w:r>
        <w:t xml:space="preserve">employé pour l’obtenir : la substitution, sous serment, d’une réalité fausse sur les axes qui décident.</w:t>
      </w:r>
    </w:p>
    <w:p>
      <w:pPr>
        <w:pStyle w:val="Compact"/>
        <w:numPr>
          <w:numId w:val="1095"/>
          <w:ilvl w:val="0"/>
        </w:numPr>
      </w:pPr>
      <w:r>
        <w:rPr>
          <w:b/>
        </w:rPr>
        <w:t xml:space="preserve">Fardeau.</w:t>
      </w:r>
      <w:r>
        <w:t xml:space="preserve"> </w:t>
      </w:r>
      <w:r>
        <w:t xml:space="preserve">Dans l’action en dommages (1457), la faute se démontre par</w:t>
      </w:r>
      <w:r>
        <w:t xml:space="preserve"> </w:t>
      </w:r>
      <w:r>
        <w:rPr>
          <w:b/>
        </w:rPr>
        <w:t xml:space="preserve">prépondérance</w:t>
      </w:r>
      <w:r>
        <w:t xml:space="preserve">. Le scienter s’établit par</w:t>
      </w:r>
      <w:r>
        <w:t xml:space="preserve"> </w:t>
      </w:r>
      <w:r>
        <w:rPr>
          <w:b/>
        </w:rPr>
        <w:t xml:space="preserve">présomptions graves, précises et concordantes</w:t>
      </w:r>
      <w:r>
        <w:t xml:space="preserve"> </w:t>
      </w:r>
      <w:r>
        <w:t xml:space="preserve">(art. 2849 C.c.Q.), la bonne foi étant présumée (art. 2805) mais</w:t>
      </w:r>
      <w:r>
        <w:t xml:space="preserve"> </w:t>
      </w:r>
      <w:r>
        <w:rPr>
          <w:b/>
        </w:rPr>
        <w:t xml:space="preserve">renversable</w:t>
      </w:r>
      <w:r>
        <w:t xml:space="preserve">.</w:t>
      </w:r>
    </w:p>
    <w:p>
      <w:pPr>
        <w:pStyle w:val="Heading2"/>
      </w:pPr>
      <w:bookmarkStart w:id="208" w:name="X14f4896947281242518193a96b3c2850443afc0"/>
      <w:r>
        <w:t xml:space="preserve">B. Le moyen central — le test de soustraction et la matérialité des paragraphes contestés</w:t>
      </w:r>
      <w:bookmarkEnd w:id="208"/>
    </w:p>
    <w:p>
      <w:pPr>
        <w:pStyle w:val="BlockText"/>
      </w:pPr>
      <w:r>
        <w:t xml:space="preserve">Ce test ne prouve pas la fausseté. Il mesure la fonction des paragraphes contestés</w:t>
      </w:r>
      <w:r>
        <w:t xml:space="preserve"> </w:t>
      </w:r>
      <w:r>
        <w:rPr>
          <w:b/>
        </w:rPr>
        <w:t xml:space="preserve">une fois leur fausseté ou leur caractère trompeur établi par la preuve propre à chaque pont</w:t>
      </w:r>
      <w:r>
        <w:t xml:space="preserve">.</w:t>
      </w:r>
    </w:p>
    <w:p>
      <w:pPr>
        <w:pStyle w:val="Compact"/>
        <w:numPr>
          <w:numId w:val="1096"/>
          <w:ilvl w:val="0"/>
        </w:numPr>
      </w:pPr>
      <w:r>
        <w:t xml:space="preserve">On retranche du récit assermenté les paragraphes trompeurs : implication « minimale » (§6), séparation « d’un an » et « difficulté à assumer son rôle » (§7), départ « tout l’été » (§9), désengagement logistique (§14-17), entente fictive du 13 février (§18), refus d’assurances (§57), « toujours essayé d’accommoder » (§59).</w:t>
      </w:r>
    </w:p>
    <w:p>
      <w:pPr>
        <w:pStyle w:val="Compact"/>
        <w:numPr>
          <w:numId w:val="1096"/>
          <w:ilvl w:val="0"/>
        </w:numPr>
      </w:pPr>
      <w:r>
        <w:rPr>
          <w:b/>
        </w:rPr>
        <w:t xml:space="preserve">Ce qui subsiste du récit juré :</w:t>
      </w:r>
      <w:r>
        <w:t xml:space="preserve"> </w:t>
      </w:r>
      <w:r>
        <w:t xml:space="preserve">une séparation, deux jeunes enfants, une garde maternelle de fait, des accès restreints et une pension à fixer. Ce résidu appelle une</w:t>
      </w:r>
      <w:r>
        <w:t xml:space="preserve"> </w:t>
      </w:r>
      <w:r>
        <w:rPr>
          <w:b/>
        </w:rPr>
        <w:t xml:space="preserve">formalisation</w:t>
      </w:r>
      <w:r>
        <w:t xml:space="preserve"> </w:t>
      </w:r>
      <w:r>
        <w:t xml:space="preserve">— fixer la pension, consigner des modalités —, ce qui est une</w:t>
      </w:r>
      <w:r>
        <w:t xml:space="preserve"> </w:t>
      </w:r>
      <w:r>
        <w:rPr>
          <w:b/>
        </w:rPr>
        <w:t xml:space="preserve">nécessité procédurale réglable par consentement</w:t>
      </w:r>
      <w:r>
        <w:t xml:space="preserve">, et non un conflit justiciable sur la garde. Il ne faut donc ni affirmer que la procédure était sans raison d’exister, ni la présenter comme un contest à deux pôles.</w:t>
      </w:r>
    </w:p>
    <w:p>
      <w:pPr>
        <w:pStyle w:val="Compact"/>
        <w:numPr>
          <w:numId w:val="1096"/>
          <w:ilvl w:val="0"/>
        </w:numPr>
      </w:pPr>
      <w:r>
        <w:rPr>
          <w:b/>
        </w:rPr>
        <w:t xml:space="preserve">Pas de conflit sur la réalité de l’enfant, ni de symétrie des positions.</w:t>
      </w:r>
      <w:r>
        <w:t xml:space="preserve"> </w:t>
      </w:r>
      <w:r>
        <w:t xml:space="preserve">La décision relative à l’enfant se détermine par son</w:t>
      </w:r>
      <w:r>
        <w:t xml:space="preserve"> </w:t>
      </w:r>
      <w:r>
        <w:rPr>
          <w:b/>
        </w:rPr>
        <w:t xml:space="preserve">intérêt (art. 33 C.c.Q.)</w:t>
      </w:r>
      <w:r>
        <w:t xml:space="preserve"> </w:t>
      </w:r>
      <w:r>
        <w:t xml:space="preserve">— contrainte qui lie</w:t>
      </w:r>
      <w:r>
        <w:t xml:space="preserve"> </w:t>
      </w:r>
      <w:r>
        <w:rPr>
          <w:b/>
        </w:rPr>
        <w:t xml:space="preserve">les parents comme le tribunal</w:t>
      </w:r>
      <w:r>
        <w:t xml:space="preserve"> </w:t>
      </w:r>
      <w:r>
        <w:t xml:space="preserve">—, non par un affrontement de préférences parentales. Sur le vrai dossier :</w:t>
      </w:r>
      <w:r>
        <w:t xml:space="preserve"> </w:t>
      </w:r>
      <w:r>
        <w:rPr>
          <w:i/>
        </w:rPr>
        <w:t xml:space="preserve">(a)</w:t>
      </w:r>
      <w:r>
        <w:t xml:space="preserve"> </w:t>
      </w:r>
      <w:r>
        <w:t xml:space="preserve">la réalité de l’enfant — présence, lien et aptitude du père — n’est</w:t>
      </w:r>
      <w:r>
        <w:t xml:space="preserve"> </w:t>
      </w:r>
      <w:r>
        <w:rPr>
          <w:b/>
        </w:rPr>
        <w:t xml:space="preserve">pas réellement contestée</w:t>
      </w:r>
      <w:r>
        <w:t xml:space="preserve"> </w:t>
      </w:r>
      <w:r>
        <w:t xml:space="preserve">(le « conflit » factuel est fabriqué par la Requête, non natif) ;</w:t>
      </w:r>
      <w:r>
        <w:t xml:space="preserve"> </w:t>
      </w:r>
      <w:r>
        <w:rPr>
          <w:i/>
        </w:rPr>
        <w:t xml:space="preserve">(b)</w:t>
      </w:r>
      <w:r>
        <w:t xml:space="preserve"> </w:t>
      </w:r>
      <w:r>
        <w:t xml:space="preserve">les paragraphes trompeurs retirés,</w:t>
      </w:r>
      <w:r>
        <w:t xml:space="preserve"> </w:t>
      </w:r>
      <w:r>
        <w:rPr>
          <w:b/>
        </w:rPr>
        <w:t xml:space="preserve">aucun fait ni raisonnement au dossier ne rattache le degré de garde exclusive recherché à l’intérêt des enfants</w:t>
      </w:r>
      <w:r>
        <w:t xml:space="preserve">, alors que la garde partagée y demeure</w:t>
      </w:r>
      <w:r>
        <w:t xml:space="preserve"> </w:t>
      </w:r>
      <w:r>
        <w:rPr>
          <w:b/>
        </w:rPr>
        <w:t xml:space="preserve">accessible</w:t>
      </w:r>
      <w:r>
        <w:t xml:space="preserve"> </w:t>
      </w:r>
      <w:r>
        <w:t xml:space="preserve">;</w:t>
      </w:r>
      <w:r>
        <w:t xml:space="preserve"> </w:t>
      </w:r>
      <w:r>
        <w:rPr>
          <w:i/>
        </w:rPr>
        <w:t xml:space="preserve">(c)</w:t>
      </w:r>
      <w:r>
        <w:t xml:space="preserve"> </w:t>
      </w:r>
      <w:r>
        <w:t xml:space="preserve">un tribunal lié par l’art. 33, saisi de ce dossier contradictoire, n’aurait donc</w:t>
      </w:r>
      <w:r>
        <w:t xml:space="preserve"> </w:t>
      </w:r>
      <w:r>
        <w:rPr>
          <w:b/>
        </w:rPr>
        <w:t xml:space="preserve">aucun fondement pour ce degré d’exclusion</w:t>
      </w:r>
      <w:r>
        <w:t xml:space="preserve">. Le résidu n’est donc pas un conflit justiciable : c’est le</w:t>
      </w:r>
      <w:r>
        <w:t xml:space="preserve"> </w:t>
      </w:r>
      <w:r>
        <w:rPr>
          <w:b/>
        </w:rPr>
        <w:t xml:space="preserve">refus de la demanderesse de conformer sa préférence à l’intérêt de l’enfant</w:t>
      </w:r>
      <w:r>
        <w:t xml:space="preserve"> </w:t>
      </w:r>
      <w:r>
        <w:t xml:space="preserve">— refus qui n’a pu prévaloir que par le</w:t>
      </w:r>
      <w:r>
        <w:t xml:space="preserve"> </w:t>
      </w:r>
      <w:r>
        <w:rPr>
          <w:b/>
        </w:rPr>
        <w:t xml:space="preserve">défaut</w:t>
      </w:r>
      <w:r>
        <w:t xml:space="preserve"> </w:t>
      </w:r>
      <w:r>
        <w:t xml:space="preserve">(retrait du contradicteur qui aurait apporté la réalité) et l’</w:t>
      </w:r>
      <w:r>
        <w:rPr>
          <w:b/>
        </w:rPr>
        <w:t xml:space="preserve">invention</w:t>
      </w:r>
      <w:r>
        <w:t xml:space="preserve"> </w:t>
      </w:r>
      <w:r>
        <w:t xml:space="preserve">(substitution d’une réalité fausse sur laquelle l’art. 33, mal appliqué, produit l’exclusion).</w:t>
      </w:r>
      <w:r>
        <w:t xml:space="preserve"> </w:t>
      </w:r>
      <w:r>
        <w:rPr>
          <w:i/>
        </w:rPr>
        <w:t xml:space="preserve">Réserves de discipline :</w:t>
      </w:r>
      <w:r>
        <w:t xml:space="preserve"> </w:t>
      </w:r>
      <w:r>
        <w:t xml:space="preserve">garde partagée «</w:t>
      </w:r>
      <w:r>
        <w:t xml:space="preserve"> </w:t>
      </w:r>
      <w:r>
        <w:rPr>
          <w:b/>
        </w:rPr>
        <w:t xml:space="preserve">accessible</w:t>
      </w:r>
      <w:r>
        <w:t xml:space="preserve"> </w:t>
      </w:r>
      <w:r>
        <w:t xml:space="preserve">», non « requise » ;</w:t>
      </w:r>
      <w:r>
        <w:t xml:space="preserve"> </w:t>
      </w:r>
      <w:r>
        <w:rPr>
          <w:b/>
        </w:rPr>
        <w:t xml:space="preserve">absence de justification au dossier</w:t>
      </w:r>
      <w:r>
        <w:t xml:space="preserve">, non preuve que l’exclusion était contraire à l’intérêt ; le noyau visé est le</w:t>
      </w:r>
      <w:r>
        <w:t xml:space="preserve"> </w:t>
      </w:r>
      <w:r>
        <w:rPr>
          <w:b/>
        </w:rPr>
        <w:t xml:space="preserve">degré d’exclusion</w:t>
      </w:r>
      <w:r>
        <w:t xml:space="preserve">, non l’existence d’un ordre ni la résidence principale.</w:t>
      </w:r>
    </w:p>
    <w:p>
      <w:pPr>
        <w:pStyle w:val="Compact"/>
        <w:numPr>
          <w:numId w:val="1096"/>
          <w:ilvl w:val="0"/>
        </w:numPr>
      </w:pPr>
      <w:r>
        <w:rPr>
          <w:b/>
        </w:rPr>
        <w:t xml:space="preserve">Question correcte.</w:t>
      </w:r>
      <w:r>
        <w:t xml:space="preserve"> </w:t>
      </w:r>
      <w:r>
        <w:t xml:space="preserve">Il faut plutôt déterminer si les paragraphes contestés ont</w:t>
      </w:r>
      <w:r>
        <w:t xml:space="preserve"> </w:t>
      </w:r>
      <w:r>
        <w:rPr>
          <w:b/>
        </w:rPr>
        <w:t xml:space="preserve">fourni la justification substituée</w:t>
      </w:r>
      <w:r>
        <w:t xml:space="preserve"> </w:t>
      </w:r>
      <w:r>
        <w:t xml:space="preserve">de l’urgence, de la restriction des accès et de la présentation du père comme parent secondaire, et si les conclusions auraient vraisemblablement été recherchées ou obtenues sous la même forme sans eux.</w:t>
      </w:r>
    </w:p>
    <w:p>
      <w:pPr>
        <w:pStyle w:val="Compact"/>
        <w:numPr>
          <w:numId w:val="1096"/>
          <w:ilvl w:val="0"/>
        </w:numPr>
      </w:pPr>
      <w:r>
        <w:rPr>
          <w:b/>
        </w:rPr>
        <w:t xml:space="preserve">Caractérisation calibrée.</w:t>
      </w:r>
      <w:r>
        <w:t xml:space="preserve"> </w:t>
      </w:r>
      <w:r>
        <w:t xml:space="preserve">Les paragraphes contestés peuvent être présentés comme</w:t>
      </w:r>
      <w:r>
        <w:t xml:space="preserve"> </w:t>
      </w:r>
      <w:r>
        <w:rPr>
          <w:b/>
        </w:rPr>
        <w:t xml:space="preserve">porteurs de la justification et du degré de restriction recherchés</w:t>
      </w:r>
      <w:r>
        <w:t xml:space="preserve"> </w:t>
      </w:r>
      <w:r>
        <w:t xml:space="preserve">— ils suppléent, devant le décideur, la justification que la réalité des enfants ne fournissait pas —, sous réserve d’une preuve du lien avec les conclusions et la décision. Ils ne doivent pas être qualifiés, sans preuve additionnelle, de cause unique de l’</w:t>
      </w:r>
      <w:r>
        <w:rPr>
          <w:b/>
        </w:rPr>
        <w:t xml:space="preserve">existence</w:t>
      </w:r>
      <w:r>
        <w:t xml:space="preserve"> </w:t>
      </w:r>
      <w:r>
        <w:t xml:space="preserve">du litige : le détournement porte sur le fait de faire reposer la décision sur autre chose que l’intérêt de l’enfant.</w:t>
      </w:r>
    </w:p>
    <w:p>
      <w:pPr>
        <w:pStyle w:val="Compact"/>
        <w:numPr>
          <w:numId w:val="1096"/>
          <w:ilvl w:val="0"/>
        </w:numPr>
      </w:pPr>
      <w:r>
        <w:rPr>
          <w:b/>
        </w:rPr>
        <w:t xml:space="preserve">Présupposé.</w:t>
      </w:r>
      <w:r>
        <w:t xml:space="preserve"> </w:t>
      </w:r>
      <w:r>
        <w:t xml:space="preserve">Ce moyen suppose établis la fausseté ou le caractère trompeur des allégations pertinentes, leur connaissance, leur matérialité et le lien causal. Il ne démontre seul aucun de ces éléments.</w:t>
      </w:r>
    </w:p>
    <w:p>
      <w:pPr>
        <w:pStyle w:val="Heading2"/>
      </w:pPr>
      <w:bookmarkStart w:id="209" w:name="Xadf257b8b752f4b3497648ab6437f85f8f5c431"/>
      <w:r>
        <w:t xml:space="preserve">C. Le filtre par l’axe décisionnel — pourquoi les « concessions » ne concèdent rien</w:t>
      </w:r>
      <w:bookmarkEnd w:id="209"/>
    </w:p>
    <w:p>
      <w:pPr>
        <w:pStyle w:val="Compact"/>
        <w:numPr>
          <w:numId w:val="1097"/>
          <w:ilvl w:val="0"/>
        </w:numPr>
      </w:pPr>
      <w:r>
        <w:t xml:space="preserve">La garde se décide selon</w:t>
      </w:r>
      <w:r>
        <w:t xml:space="preserve"> </w:t>
      </w:r>
      <w:r>
        <w:rPr>
          <w:b/>
        </w:rPr>
        <w:t xml:space="preserve">l’intérêt de l’enfant</w:t>
      </w:r>
      <w:r>
        <w:t xml:space="preserve"> </w:t>
      </w:r>
      <w:r>
        <w:t xml:space="preserve">(art. 33 C.c.Q.). La liste et la pondération des facteurs applicables doivent être soutenues par les sources juridiques pertinentes plutôt que présentées ici comme une hiérarchie acquise.</w:t>
      </w:r>
    </w:p>
    <w:p>
      <w:pPr>
        <w:pStyle w:val="Compact"/>
        <w:numPr>
          <w:numId w:val="1097"/>
          <w:ilvl w:val="0"/>
        </w:numPr>
      </w:pPr>
      <w:r>
        <w:t xml:space="preserve">Le récit contient à la fois des faits exacts, des faits exacts mais incomplets, des caractérisations contestées et des allégations affirmativement contredites. Certains faits exacts sont eux aussi pertinents à la garde, notamment l’âge, la situation de fait et les positions parentales.</w:t>
      </w:r>
    </w:p>
    <w:p>
      <w:pPr>
        <w:pStyle w:val="Compact"/>
        <w:numPr>
          <w:numId w:val="1097"/>
          <w:ilvl w:val="0"/>
        </w:numPr>
      </w:pPr>
      <w:r>
        <w:rPr>
          <w:b/>
        </w:rPr>
        <w:t xml:space="preserve">Test utile.</w:t>
      </w:r>
      <w:r>
        <w:t xml:space="preserve"> </w:t>
      </w:r>
      <w:r>
        <w:t xml:space="preserve">Pour chaque paragraphe, il faut demander :</w:t>
      </w:r>
      <w:r>
        <w:t xml:space="preserve"> </w:t>
      </w:r>
      <w:r>
        <w:rPr>
          <w:i/>
        </w:rPr>
        <w:t xml:space="preserve">(a)</w:t>
      </w:r>
      <w:r>
        <w:t xml:space="preserve"> </w:t>
      </w:r>
      <w:r>
        <w:t xml:space="preserve">est-il exact?</w:t>
      </w:r>
      <w:r>
        <w:t xml:space="preserve"> </w:t>
      </w:r>
      <w:r>
        <w:rPr>
          <w:i/>
        </w:rPr>
        <w:t xml:space="preserve">(b)</w:t>
      </w:r>
      <w:r>
        <w:t xml:space="preserve"> </w:t>
      </w:r>
      <w:r>
        <w:t xml:space="preserve">est-il complet?</w:t>
      </w:r>
      <w:r>
        <w:t xml:space="preserve"> </w:t>
      </w:r>
      <w:r>
        <w:rPr>
          <w:i/>
        </w:rPr>
        <w:t xml:space="preserve">(c)</w:t>
      </w:r>
      <w:r>
        <w:t xml:space="preserve"> </w:t>
      </w:r>
      <w:r>
        <w:t xml:space="preserve">touche-t-il un facteur pertinent?</w:t>
      </w:r>
      <w:r>
        <w:t xml:space="preserve"> </w:t>
      </w:r>
      <w:r>
        <w:rPr>
          <w:i/>
        </w:rPr>
        <w:t xml:space="preserve">(d)</w:t>
      </w:r>
      <w:r>
        <w:t xml:space="preserve"> </w:t>
      </w:r>
      <w:r>
        <w:t xml:space="preserve">quelle conclusion pouvait-il raisonnablement soutenir?</w:t>
      </w:r>
      <w:r>
        <w:t xml:space="preserve"> </w:t>
      </w:r>
      <w:r>
        <w:rPr>
          <w:i/>
        </w:rPr>
        <w:t xml:space="preserve">(e)</w:t>
      </w:r>
      <w:r>
        <w:t xml:space="preserve"> </w:t>
      </w:r>
      <w:r>
        <w:t xml:space="preserve">son omission ou sa déformation pouvait-elle modifier le degré de restriction recherché?</w:t>
      </w:r>
    </w:p>
    <w:p>
      <w:pPr>
        <w:pStyle w:val="Compact"/>
        <w:numPr>
          <w:numId w:val="1097"/>
          <w:ilvl w:val="0"/>
        </w:numPr>
      </w:pPr>
      <w:r>
        <w:t xml:space="preserve">La thèse ne doit donc pas être « tout ce qui est sur l’axe est faux ». Elle doit être que le noyau contesté a</w:t>
      </w:r>
      <w:r>
        <w:t xml:space="preserve"> </w:t>
      </w:r>
      <w:r>
        <w:rPr>
          <w:b/>
        </w:rPr>
        <w:t xml:space="preserve">accentué dans une direction unique</w:t>
      </w:r>
      <w:r>
        <w:t xml:space="preserve"> </w:t>
      </w:r>
      <w:r>
        <w:t xml:space="preserve">les facteurs d’implication, de disponibilité et de coopération, tandis que les faits contraires ou les dernières positions formelles étaient omis.</w:t>
      </w:r>
    </w:p>
    <w:p>
      <w:pPr>
        <w:pStyle w:val="Heading2"/>
      </w:pPr>
      <w:bookmarkStart w:id="210" w:name="X865efa689f475e807d634b66222ae00a3c48d82"/>
      <w:r>
        <w:t xml:space="preserve">D. Deux registres de preuve — ne pas les confondre</w:t>
      </w:r>
      <w:bookmarkEnd w:id="210"/>
    </w:p>
    <w:p>
      <w:pPr>
        <w:pStyle w:val="Compact"/>
        <w:numPr>
          <w:numId w:val="1098"/>
          <w:ilvl w:val="0"/>
        </w:numPr>
      </w:pPr>
      <w:r>
        <w:rPr>
          <w:b/>
        </w:rPr>
        <w:t xml:space="preserve">La fonction narrative</w:t>
      </w:r>
      <w:r>
        <w:t xml:space="preserve"> </w:t>
      </w:r>
      <w:r>
        <w:t xml:space="preserve">des paragraphes peut être examinée dans les quatre coins du document juré. Leur</w:t>
      </w:r>
      <w:r>
        <w:t xml:space="preserve"> </w:t>
      </w:r>
      <w:r>
        <w:rPr>
          <w:b/>
        </w:rPr>
        <w:t xml:space="preserve">fausseté</w:t>
      </w:r>
      <w:r>
        <w:t xml:space="preserve">, leur caractère trompeur, la connaissance, la matérialité et la causalité exigent toutefois la preuve externe propre à chaque proposition.</w:t>
      </w:r>
    </w:p>
    <w:p>
      <w:pPr>
        <w:pStyle w:val="Compact"/>
        <w:numPr>
          <w:numId w:val="1098"/>
          <w:ilvl w:val="0"/>
        </w:numPr>
      </w:pPr>
      <w:r>
        <w:rPr>
          <w:b/>
        </w:rPr>
        <w:t xml:space="preserve">La fausseté des allégations sur-axe</w:t>
      </w:r>
      <w:r>
        <w:t xml:space="preserve"> </w:t>
      </w:r>
      <w:r>
        <w:t xml:space="preserve">(« minimale », « tout l’été », « un an », désengagement) exige, elle, la</w:t>
      </w:r>
      <w:r>
        <w:t xml:space="preserve"> </w:t>
      </w:r>
      <w:r>
        <w:rPr>
          <w:b/>
        </w:rPr>
        <w:t xml:space="preserve">preuve externe</w:t>
      </w:r>
      <w:r>
        <w:t xml:space="preserve"> </w:t>
      </w:r>
      <w:r>
        <w:t xml:space="preserve">(tiers : relevé Hydro-Québec, assureur, photographies horodatées ; écrits contemporains de la demanderesse ; sa</w:t>
      </w:r>
      <w:r>
        <w:t xml:space="preserve"> </w:t>
      </w:r>
      <w:r>
        <w:rPr>
          <w:b/>
        </w:rPr>
        <w:t xml:space="preserve">rétractation</w:t>
      </w:r>
      <w:r>
        <w:t xml:space="preserve"> </w:t>
      </w:r>
      <w:r>
        <w:t xml:space="preserve">de janvier 2016). C’est la branche</w:t>
      </w:r>
      <w:r>
        <w:t xml:space="preserve"> </w:t>
      </w:r>
      <w:r>
        <w:rPr>
          <w:b/>
        </w:rPr>
        <w:t xml:space="preserve">fausseté/scienter</w:t>
      </w:r>
      <w:r>
        <w:t xml:space="preserve">, avec son fardeau propre, dans la</w:t>
      </w:r>
      <w:r>
        <w:t xml:space="preserve"> </w:t>
      </w:r>
      <w:r>
        <w:rPr>
          <w:b/>
        </w:rPr>
        <w:t xml:space="preserve">présente</w:t>
      </w:r>
      <w:r>
        <w:t xml:space="preserve"> </w:t>
      </w:r>
      <w:r>
        <w:t xml:space="preserve">action — distincte, et postérieure, au dossier de 2016.</w:t>
      </w:r>
    </w:p>
    <w:p>
      <w:pPr>
        <w:pStyle w:val="Compact"/>
        <w:numPr>
          <w:numId w:val="1098"/>
          <w:ilvl w:val="0"/>
        </w:numPr>
      </w:pPr>
      <w:r>
        <w:rPr>
          <w:b/>
        </w:rPr>
        <w:t xml:space="preserve">Discipline.</w:t>
      </w:r>
      <w:r>
        <w:t xml:space="preserve"> </w:t>
      </w:r>
      <w:r>
        <w:t xml:space="preserve">Ne pas importer, dans l’appréciation du dossier de 2016, des faits qui n’y étaient pas sous serment. En particulier, la mention « violence conjugale depuis la naissance » vit dans</w:t>
      </w:r>
      <w:r>
        <w:t xml:space="preserve"> </w:t>
      </w:r>
      <w:r>
        <w:rPr>
          <w:b/>
        </w:rPr>
        <w:t xml:space="preserve">P-1</w:t>
      </w:r>
      <w:r>
        <w:t xml:space="preserve"> </w:t>
      </w:r>
      <w:r>
        <w:t xml:space="preserve">(courriel privé de juin 2013) —</w:t>
      </w:r>
      <w:r>
        <w:t xml:space="preserve"> </w:t>
      </w:r>
      <w:r>
        <w:rPr>
          <w:b/>
        </w:rPr>
        <w:t xml:space="preserve">jamais présentée sous serment</w:t>
      </w:r>
      <w:r>
        <w:t xml:space="preserve"> </w:t>
      </w:r>
      <w:r>
        <w:t xml:space="preserve">à la juge de 2016 : ne pas la fondre dans la Requête.</w:t>
      </w:r>
    </w:p>
    <w:p>
      <w:pPr>
        <w:pStyle w:val="Heading2"/>
      </w:pPr>
      <w:bookmarkStart w:id="211" w:name="X33df856ca6bca0ec97b53d9617649b223b77e5f"/>
      <w:r>
        <w:t xml:space="preserve">E. La connaissance (scienter) — la mauvaise foi documentée</w:t>
      </w:r>
      <w:bookmarkEnd w:id="211"/>
    </w:p>
    <w:p>
      <w:pPr>
        <w:pStyle w:val="Compact"/>
        <w:numPr>
          <w:numId w:val="1099"/>
          <w:ilvl w:val="0"/>
        </w:numPr>
      </w:pPr>
      <w:r>
        <w:rPr>
          <w:b/>
        </w:rPr>
        <w:t xml:space="preserve">Autorat</w:t>
      </w:r>
      <w:r>
        <w:t xml:space="preserve"> </w:t>
      </w:r>
      <w:r>
        <w:t xml:space="preserve">: les actes contradictoires sont rédigés par la même main professionnelle (l’avocate).</w:t>
      </w:r>
      <w:r>
        <w:t xml:space="preserve"> </w:t>
      </w:r>
      <w:r>
        <w:rPr>
          <w:b/>
        </w:rPr>
        <w:t xml:space="preserve">Réserve impérative</w:t>
      </w:r>
      <w:r>
        <w:t xml:space="preserve"> </w:t>
      </w:r>
      <w:r>
        <w:t xml:space="preserve">: la</w:t>
      </w:r>
      <w:r>
        <w:t xml:space="preserve"> </w:t>
      </w:r>
      <w:r>
        <w:rPr>
          <w:i/>
        </w:rPr>
        <w:t xml:space="preserve">rédaction</w:t>
      </w:r>
      <w:r>
        <w:t xml:space="preserve"> </w:t>
      </w:r>
      <w:r>
        <w:t xml:space="preserve">de la Requête de novembre 2015 est celle de</w:t>
      </w:r>
      <w:r>
        <w:t xml:space="preserve"> </w:t>
      </w:r>
      <w:r>
        <w:rPr>
          <w:b/>
        </w:rPr>
        <w:t xml:space="preserve">Me Adelia Ferreira</w:t>
      </w:r>
      <w:r>
        <w:t xml:space="preserve">, non de Me Ayoub — ne jamais l’attribuer à cette dernière ; le récit de 2015 est</w:t>
      </w:r>
      <w:r>
        <w:t xml:space="preserve"> </w:t>
      </w:r>
      <w:r>
        <w:rPr>
          <w:b/>
        </w:rPr>
        <w:t xml:space="preserve">assermenté par la demanderesse</w:t>
      </w:r>
      <w:r>
        <w:t xml:space="preserve">.</w:t>
      </w:r>
    </w:p>
    <w:p>
      <w:pPr>
        <w:pStyle w:val="Compact"/>
        <w:numPr>
          <w:numId w:val="1099"/>
          <w:ilvl w:val="0"/>
        </w:numPr>
      </w:pPr>
      <w:r>
        <w:rPr>
          <w:b/>
        </w:rPr>
        <w:t xml:space="preserve">Possession</w:t>
      </w:r>
      <w:r>
        <w:t xml:space="preserve"> </w:t>
      </w:r>
      <w:r>
        <w:t xml:space="preserve">des pièces qui contredisent les allégations ;</w:t>
      </w:r>
      <w:r>
        <w:t xml:space="preserve"> </w:t>
      </w:r>
      <w:r>
        <w:rPr>
          <w:b/>
        </w:rPr>
        <w:t xml:space="preserve">serment</w:t>
      </w:r>
      <w:r>
        <w:t xml:space="preserve"> </w:t>
      </w:r>
      <w:r>
        <w:t xml:space="preserve">de la déclarante ;</w:t>
      </w:r>
      <w:r>
        <w:t xml:space="preserve"> </w:t>
      </w:r>
      <w:r>
        <w:rPr>
          <w:b/>
        </w:rPr>
        <w:t xml:space="preserve">rétractation propre</w:t>
      </w:r>
      <w:r>
        <w:t xml:space="preserve"> </w:t>
      </w:r>
      <w:r>
        <w:t xml:space="preserve">(11 janvier 2016 : « j’ai demandé de l’enlever… je ne voulais pas que ce soit écrit comme ça »).</w:t>
      </w:r>
    </w:p>
    <w:p>
      <w:pPr>
        <w:pStyle w:val="Compact"/>
        <w:numPr>
          <w:numId w:val="1099"/>
          <w:ilvl w:val="0"/>
        </w:numPr>
      </w:pPr>
      <w:r>
        <w:rPr>
          <w:b/>
        </w:rPr>
        <w:t xml:space="preserve">Effet 1 — appréciation des explications innocentes.</w:t>
      </w:r>
      <w:r>
        <w:t xml:space="preserve"> </w:t>
      </w:r>
      <w:r>
        <w:t xml:space="preserve">Les contradictions, les omissions, la possession des pièces et les rectifications ultérieures peuvent affaiblir l’hypothèse d’une erreur ou d’une croyance sincère. Elles ne permettent pas d’exclure abstraitement l’incompétence, la confusion ou toute autre explication sans une appréciation globale de la preuve.</w:t>
      </w:r>
    </w:p>
    <w:p>
      <w:pPr>
        <w:pStyle w:val="Compact"/>
        <w:numPr>
          <w:numId w:val="1099"/>
          <w:ilvl w:val="0"/>
        </w:numPr>
      </w:pPr>
      <w:r>
        <w:rPr>
          <w:b/>
        </w:rPr>
        <w:t xml:space="preserve">Effet 2 — immunité relative à faire trancher.</w:t>
      </w:r>
      <w:r>
        <w:t xml:space="preserve"> </w:t>
      </w:r>
      <w:r>
        <w:t xml:space="preserve">La portée de l’immunité ou du privilège applicable aux actes judiciaires, ses conditions et l’effet d’une preuve de mauvaise foi relèvent de la jurisprudence. Le fichier ne doit pas affirmer que l’immunité « tombe » automatiquement ni que la diffamation est ouverte sans cette analyse.</w:t>
      </w:r>
    </w:p>
    <w:p>
      <w:pPr>
        <w:pStyle w:val="Heading2"/>
      </w:pPr>
      <w:bookmarkStart w:id="212" w:name="f.-la-solidarité-art.-1526-c.c.q."/>
      <w:r>
        <w:t xml:space="preserve">F. La solidarité (art. 1526 C.c.Q.)</w:t>
      </w:r>
      <w:bookmarkEnd w:id="212"/>
    </w:p>
    <w:p>
      <w:pPr>
        <w:pStyle w:val="FirstParagraph"/>
      </w:pPr>
      <w:r>
        <w:t xml:space="preserve">L’article 1526 C.c.Q. vise l’obligation extracontractuelle de réparer un préjudice causé par la faute de deux personnes ou plus. Il n’est pas suffisant d’invoquer une architecture commune : il faut identifier la faute personnelle de chacune, son lien causal avec le même préjudice et les obstacles propres à la responsabilité professionnelle. Une concertation peut être probante, mais le texte de l’article 1526 ne l’érige pas en condition autonome. La solidarité demeure à valider.</w:t>
      </w:r>
    </w:p>
    <w:p>
      <w:pPr>
        <w:pStyle w:val="Heading2"/>
      </w:pPr>
      <w:bookmarkStart w:id="213" w:name="X59119584f3c448bd79e40e062b38fe9a1642e2f"/>
      <w:r>
        <w:t xml:space="preserve">G. Le préjudice et le lien de causalité (1457 C.c.Q.)</w:t>
      </w:r>
      <w:bookmarkEnd w:id="213"/>
    </w:p>
    <w:p>
      <w:pPr>
        <w:pStyle w:val="Compact"/>
        <w:numPr>
          <w:numId w:val="1100"/>
          <w:ilvl w:val="0"/>
        </w:numPr>
      </w:pPr>
      <w:r>
        <w:rPr>
          <w:b/>
        </w:rPr>
        <w:t xml:space="preserve">Ne pas se limiter à la réputation.</w:t>
      </w:r>
      <w:r>
        <w:t xml:space="preserve"> </w:t>
      </w:r>
      <w:r>
        <w:t xml:space="preserve">Articuler distinctement : (a)</w:t>
      </w:r>
      <w:r>
        <w:t xml:space="preserve"> </w:t>
      </w:r>
      <w:r>
        <w:rPr>
          <w:b/>
        </w:rPr>
        <w:t xml:space="preserve">préjudice patrimonial</w:t>
      </w:r>
      <w:r>
        <w:t xml:space="preserve"> </w:t>
      </w:r>
      <w:r>
        <w:t xml:space="preserve">(pension établie sur une réalité altérée ; effets des ordonnances) ; (b)</w:t>
      </w:r>
      <w:r>
        <w:t xml:space="preserve"> </w:t>
      </w:r>
      <w:r>
        <w:rPr>
          <w:b/>
        </w:rPr>
        <w:t xml:space="preserve">atteinte à la réputation et à la dignité</w:t>
      </w:r>
      <w:r>
        <w:t xml:space="preserve"> </w:t>
      </w:r>
      <w:r>
        <w:t xml:space="preserve">comme parent ; (c)</w:t>
      </w:r>
      <w:r>
        <w:t xml:space="preserve"> </w:t>
      </w:r>
      <w:r>
        <w:rPr>
          <w:b/>
        </w:rPr>
        <w:t xml:space="preserve">préjudice moral</w:t>
      </w:r>
      <w:r>
        <w:t xml:space="preserve"> </w:t>
      </w:r>
      <w:r>
        <w:t xml:space="preserve">aggravé par le caractère</w:t>
      </w:r>
      <w:r>
        <w:t xml:space="preserve"> </w:t>
      </w:r>
      <w:r>
        <w:rPr>
          <w:b/>
        </w:rPr>
        <w:t xml:space="preserve">intentionnel et prémédité</w:t>
      </w:r>
      <w:r>
        <w:t xml:space="preserve"> </w:t>
      </w:r>
      <w:r>
        <w:t xml:space="preserve">(dommages punitifs, Charte art. 49).</w:t>
      </w:r>
    </w:p>
    <w:p>
      <w:pPr>
        <w:pStyle w:val="Compact"/>
        <w:numPr>
          <w:numId w:val="1100"/>
          <w:ilvl w:val="0"/>
        </w:numPr>
      </w:pPr>
      <w:r>
        <w:rPr>
          <w:b/>
        </w:rPr>
        <w:t xml:space="preserve">Causalité.</w:t>
      </w:r>
      <w:r>
        <w:t xml:space="preserve"> </w:t>
      </w:r>
      <w:r>
        <w:t xml:space="preserve">Il faudra prouver, et non présumer, que les allégations contestées ont contribué aux conclusions recherchées, aux ordonnances rendues et aux préjudices réclamés. Le caractère par défaut du jugement ne démontre pas à lui seul ce lien.</w:t>
      </w:r>
    </w:p>
    <w:p>
      <w:pPr>
        <w:pStyle w:val="Compact"/>
        <w:numPr>
          <w:numId w:val="1100"/>
          <w:ilvl w:val="0"/>
        </w:numPr>
      </w:pPr>
      <w:r>
        <w:rPr>
          <w:b/>
        </w:rPr>
        <w:t xml:space="preserve">Réserve de véhicule.</w:t>
      </w:r>
      <w:r>
        <w:t xml:space="preserve"> </w:t>
      </w:r>
      <w:r>
        <w:t xml:space="preserve">La présente action réclame des</w:t>
      </w:r>
      <w:r>
        <w:t xml:space="preserve"> </w:t>
      </w:r>
      <w:r>
        <w:rPr>
          <w:b/>
        </w:rPr>
        <w:t xml:space="preserve">dommages</w:t>
      </w:r>
      <w:r>
        <w:t xml:space="preserve"> </w:t>
      </w:r>
      <w:r>
        <w:t xml:space="preserve">; toute</w:t>
      </w:r>
      <w:r>
        <w:t xml:space="preserve"> </w:t>
      </w:r>
      <w:r>
        <w:rPr>
          <w:b/>
        </w:rPr>
        <w:t xml:space="preserve">rétractation</w:t>
      </w:r>
      <w:r>
        <w:t xml:space="preserve"> </w:t>
      </w:r>
      <w:r>
        <w:t xml:space="preserve">du jugement de 2016 relève d’un</w:t>
      </w:r>
      <w:r>
        <w:t xml:space="preserve"> </w:t>
      </w:r>
      <w:r>
        <w:rPr>
          <w:b/>
        </w:rPr>
        <w:t xml:space="preserve">véhicule distinct</w:t>
      </w:r>
      <w:r>
        <w:t xml:space="preserve"> </w:t>
      </w:r>
      <w:r>
        <w:t xml:space="preserve">— à ne pas confondre avec l’abus.</w:t>
      </w:r>
    </w:p>
    <w:p>
      <w:pPr>
        <w:pStyle w:val="Heading2"/>
      </w:pPr>
      <w:bookmarkStart w:id="214" w:name="h.-ce-qui-demeure-réservé-à-établir"/>
      <w:r>
        <w:t xml:space="preserve">H. Ce qui demeure réservé / à établir</w:t>
      </w:r>
      <w:bookmarkEnd w:id="214"/>
    </w:p>
    <w:p>
      <w:pPr>
        <w:pStyle w:val="Compact"/>
        <w:numPr>
          <w:numId w:val="1101"/>
          <w:ilvl w:val="0"/>
        </w:numPr>
      </w:pPr>
      <w:r>
        <w:rPr>
          <w:b/>
        </w:rPr>
        <w:t xml:space="preserve">Recevabilité de P-1</w:t>
      </w:r>
      <w:r>
        <w:t xml:space="preserve"> </w:t>
      </w:r>
      <w:r>
        <w:t xml:space="preserve">(secret professionnel / exception crime-fraude) — à trancher avec le procureur. La démonstration d’abus de 2015 (§§ B-C) tient</w:t>
      </w:r>
      <w:r>
        <w:t xml:space="preserve"> </w:t>
      </w:r>
      <w:r>
        <w:rPr>
          <w:b/>
        </w:rPr>
        <w:t xml:space="preserve">sans</w:t>
      </w:r>
      <w:r>
        <w:t xml:space="preserve"> </w:t>
      </w:r>
      <w:r>
        <w:t xml:space="preserve">P-1, sur le seul dossier juré + la preuve de fausseté ; P-1 renforce mais n’est pas indispensable.</w:t>
      </w:r>
    </w:p>
    <w:p>
      <w:pPr>
        <w:pStyle w:val="Compact"/>
        <w:numPr>
          <w:numId w:val="1101"/>
          <w:ilvl w:val="0"/>
        </w:numPr>
      </w:pPr>
      <w:r>
        <w:rPr>
          <w:b/>
        </w:rPr>
        <w:t xml:space="preserve">Prescription</w:t>
      </w:r>
      <w:r>
        <w:t xml:space="preserve"> </w:t>
      </w:r>
      <w:r>
        <w:t xml:space="preserve">— l’article 2925 prévoit généralement trois ans pour un droit personnel dont le délai n’est pas autrement fixé. Le point de départ, la connaissance du préjudice, la qualification d’une faute continue, les suspensions et l’interruption doivent être analysés. La date du</w:t>
      </w:r>
      <w:r>
        <w:t xml:space="preserve"> </w:t>
      </w:r>
      <w:r>
        <w:rPr>
          <w:b/>
        </w:rPr>
        <w:t xml:space="preserve">21 juillet 2026</w:t>
      </w:r>
      <w:r>
        <w:t xml:space="preserve"> </w:t>
      </w:r>
      <w:r>
        <w:t xml:space="preserve">ne doit pas être traitée comme acquise sans avis juridique immédiat.</w:t>
      </w:r>
    </w:p>
    <w:p>
      <w:pPr>
        <w:pStyle w:val="Compact"/>
        <w:numPr>
          <w:numId w:val="1101"/>
          <w:ilvl w:val="0"/>
        </w:numPr>
      </w:pPr>
      <w:r>
        <w:rPr>
          <w:b/>
        </w:rPr>
        <w:t xml:space="preserve">Véhicule procédural et autorité du jugement</w:t>
      </w:r>
      <w:r>
        <w:t xml:space="preserve"> </w:t>
      </w:r>
      <w:r>
        <w:t xml:space="preserve">— faire déterminer si une action autonome en dommages est disponible pour chacun des préjudices réclamés et si certains moyens constitueraient une attaque collatérale du jugement de 2016.</w:t>
      </w:r>
    </w:p>
    <w:p>
      <w:pPr>
        <w:pStyle w:val="Compact"/>
        <w:numPr>
          <w:numId w:val="1101"/>
          <w:ilvl w:val="0"/>
        </w:numPr>
      </w:pPr>
      <w:r>
        <w:rPr>
          <w:b/>
        </w:rPr>
        <w:t xml:space="preserve">Immunité, diffamation et faute professionnelle</w:t>
      </w:r>
      <w:r>
        <w:t xml:space="preserve"> </w:t>
      </w:r>
      <w:r>
        <w:t xml:space="preserve">— obtenir la jurisprudence applicable avant de conclure qu’une preuve de mauvaise foi suffit à engager la responsabilité de la cliente ou de l’avocate.</w:t>
      </w:r>
    </w:p>
    <w:p>
      <w:pPr>
        <w:pStyle w:val="Compact"/>
        <w:numPr>
          <w:numId w:val="1101"/>
          <w:ilvl w:val="0"/>
        </w:numPr>
      </w:pPr>
      <w:r>
        <w:rPr>
          <w:b/>
        </w:rPr>
        <w:t xml:space="preserve">Privilèges</w:t>
      </w:r>
      <w:r>
        <w:t xml:space="preserve"> </w:t>
      </w:r>
      <w:r>
        <w:t xml:space="preserve">— faire trancher le secret professionnel relatif à P-1, les communications du défendeur avec ses avocats et le privilège relatif aux règlements.</w:t>
      </w:r>
    </w:p>
    <w:p>
      <w:pPr>
        <w:pStyle w:val="Compact"/>
        <w:numPr>
          <w:numId w:val="1101"/>
          <w:ilvl w:val="0"/>
        </w:numPr>
      </w:pPr>
      <w:r>
        <w:rPr>
          <w:b/>
        </w:rPr>
        <w:t xml:space="preserve">Textes officiels vérifiés, jurisprudence non auditée</w:t>
      </w:r>
      <w:r>
        <w:t xml:space="preserve"> </w:t>
      </w:r>
      <w:r>
        <w:t xml:space="preserve">— art. 51 et 54 C.p.c.; art. 1457, 1526, 2805, 2849 et 2925 C.c.Q.; art. 4 et 49 de la Charte. Les autres références et leur application concrète demeurent à valider.</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20">
    <w:nsid w:val="b3cbbdee"/>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abstractNum w:abstractNumId="994124">
    <w:nsid w:val="4fbe019a"/>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38">
    <w:nsid w:val="91a27d85"/>
    <w:multiLevelType w:val="multilevel"/>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994143">
    <w:nsid w:val="615f1ed2"/>
    <w:multiLevelType w:val="multilevel"/>
    <w:lvl w:ilvl="0">
      <w:start w:val="43"/>
      <w:numFmt w:val="decimal"/>
      <w:lvlText w:val="%1."/>
      <w:lvlJc w:val="left"/>
      <w:pPr>
        <w:tabs>
          <w:tab w:val="num" w:pos="0"/>
        </w:tabs>
        <w:ind w:left="480" w:hanging="480"/>
      </w:pPr>
    </w:lvl>
    <w:lvl w:ilvl="1">
      <w:start w:val="43"/>
      <w:numFmt w:val="decimal"/>
      <w:lvlText w:val="%2."/>
      <w:lvlJc w:val="left"/>
      <w:pPr>
        <w:tabs>
          <w:tab w:val="num" w:pos="720"/>
        </w:tabs>
        <w:ind w:left="1200" w:hanging="480"/>
      </w:pPr>
    </w:lvl>
    <w:lvl w:ilvl="2">
      <w:start w:val="43"/>
      <w:numFmt w:val="decimal"/>
      <w:lvlText w:val="%3."/>
      <w:lvlJc w:val="left"/>
      <w:pPr>
        <w:tabs>
          <w:tab w:val="num" w:pos="1440"/>
        </w:tabs>
        <w:ind w:left="1920" w:hanging="480"/>
      </w:pPr>
    </w:lvl>
    <w:lvl w:ilvl="3">
      <w:start w:val="43"/>
      <w:numFmt w:val="decimal"/>
      <w:lvlText w:val="%4."/>
      <w:lvlJc w:val="left"/>
      <w:pPr>
        <w:tabs>
          <w:tab w:val="num" w:pos="2160"/>
        </w:tabs>
        <w:ind w:left="2640" w:hanging="480"/>
      </w:pPr>
    </w:lvl>
    <w:lvl w:ilvl="4">
      <w:start w:val="43"/>
      <w:numFmt w:val="decimal"/>
      <w:lvlText w:val="%5."/>
      <w:lvlJc w:val="left"/>
      <w:pPr>
        <w:tabs>
          <w:tab w:val="num" w:pos="2880"/>
        </w:tabs>
        <w:ind w:left="3360" w:hanging="480"/>
      </w:pPr>
    </w:lvl>
    <w:lvl w:ilvl="5">
      <w:start w:val="43"/>
      <w:numFmt w:val="decimal"/>
      <w:lvlText w:val="%6."/>
      <w:lvlJc w:val="left"/>
      <w:pPr>
        <w:tabs>
          <w:tab w:val="num" w:pos="3600"/>
        </w:tabs>
        <w:ind w:left="4080" w:hanging="480"/>
      </w:pPr>
    </w:lvl>
    <w:lvl w:ilvl="6">
      <w:start w:val="43"/>
      <w:numFmt w:val="decimal"/>
      <w:lvlText w:val="%7."/>
      <w:lvlJc w:val="left"/>
      <w:pPr>
        <w:tabs>
          <w:tab w:val="num" w:pos="4320"/>
        </w:tabs>
        <w:ind w:left="4800" w:hanging="480"/>
      </w:pPr>
    </w:lvl>
    <w:lvl w:ilvl="7">
      <w:start w:val="43"/>
      <w:numFmt w:val="decimal"/>
      <w:lvlText w:val="%8."/>
      <w:lvlJc w:val="left"/>
      <w:pPr>
        <w:tabs>
          <w:tab w:val="num" w:pos="5040"/>
        </w:tabs>
        <w:ind w:left="5520" w:hanging="480"/>
      </w:pPr>
    </w:lvl>
    <w:lvl w:ilvl="8">
      <w:start w:val="43"/>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4">
    <w:nsid w:val="41f388d6"/>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8">
    <w:nsid w:val="da4300b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8c1c03f9"/>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6">
    <w:nsid w:val="5504a012"/>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9">
    <w:nsid w:val="5a538d88"/>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11">
    <w:nsid w:val="8a296d99"/>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87b17300"/>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7">
    <w:nsid w:val="7b86e438"/>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1">
    <w:nsid w:val="387f082c"/>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6">
    <w:nsid w:val="cebfcc7d"/>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30">
    <w:nsid w:val="7cc89fe4"/>
    <w:multiLevelType w:val="multilevel"/>
    <w:lvl w:ilvl="0">
      <w:start w:val="30"/>
      <w:numFmt w:val="decimal"/>
      <w:lvlText w:val="%1."/>
      <w:lvlJc w:val="left"/>
      <w:pPr>
        <w:tabs>
          <w:tab w:val="num" w:pos="0"/>
        </w:tabs>
        <w:ind w:left="480" w:hanging="480"/>
      </w:pPr>
    </w:lvl>
    <w:lvl w:ilvl="1">
      <w:start w:val="30"/>
      <w:numFmt w:val="decimal"/>
      <w:lvlText w:val="%2."/>
      <w:lvlJc w:val="left"/>
      <w:pPr>
        <w:tabs>
          <w:tab w:val="num" w:pos="720"/>
        </w:tabs>
        <w:ind w:left="1200" w:hanging="480"/>
      </w:pPr>
    </w:lvl>
    <w:lvl w:ilvl="2">
      <w:start w:val="30"/>
      <w:numFmt w:val="decimal"/>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decimal"/>
      <w:lvlText w:val="%5."/>
      <w:lvlJc w:val="left"/>
      <w:pPr>
        <w:tabs>
          <w:tab w:val="num" w:pos="2880"/>
        </w:tabs>
        <w:ind w:left="3360" w:hanging="480"/>
      </w:pPr>
    </w:lvl>
    <w:lvl w:ilvl="5">
      <w:start w:val="30"/>
      <w:numFmt w:val="decimal"/>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decimal"/>
      <w:lvlText w:val="%8."/>
      <w:lvlJc w:val="left"/>
      <w:pPr>
        <w:tabs>
          <w:tab w:val="num" w:pos="5040"/>
        </w:tabs>
        <w:ind w:left="5520" w:hanging="480"/>
      </w:pPr>
    </w:lvl>
    <w:lvl w:ilvl="8">
      <w:start w:val="30"/>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09">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4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hyperlink" Id="rId78" Target="../analyse/Responsabilite%CC%81%20civile/requete%20novembre%202015/argument%20paragraphe%2010.md" TargetMode="External" /><Relationship Type="http://schemas.openxmlformats.org/officeDocument/2006/relationships/hyperlink" Id="rId178" Target="../analyse/Responsabilit&#233;%20civile/requete%20novembre%202015/argument%20paragraphes%2056%2057.md" TargetMode="External" /><Relationship Type="http://schemas.openxmlformats.org/officeDocument/2006/relationships/hyperlink" Id="rId35" Target="../axe_presence_quotidienne_activites.md" TargetMode="External" /><Relationship Type="http://schemas.openxmlformats.org/officeDocument/2006/relationships/hyperlink" Id="rId77" Target="../faits/faits_par10_2015.md" TargetMode="External" /><Relationship Type="http://schemas.openxmlformats.org/officeDocument/2006/relationships/hyperlink" Id="rId177" Target="../faits/faits_par56-57_2015.md" TargetMode="External" /><Relationship Type="http://schemas.openxmlformats.org/officeDocument/2006/relationships/hyperlink" Id="rId162" Target="../inventaire_allegations_blocage.md" TargetMode="External" /><Relationship Type="http://schemas.openxmlformats.org/officeDocument/2006/relationships/hyperlink" Id="rId76" Target="../piece_document-1.md" TargetMode="External" /><Relationship Type="http://schemas.openxmlformats.org/officeDocument/2006/relationships/hyperlink" Id="rId137" Target="../piece_pdf-2.md" TargetMode="External" /><Relationship Type="http://schemas.openxmlformats.org/officeDocument/2006/relationships/hyperlink" Id="rId136" Target="../piece_pdf-3.md" TargetMode="External" /><Relationship Type="http://schemas.openxmlformats.org/officeDocument/2006/relationships/hyperlink" Id="rId196" Target="../piece_pdf-5.md" TargetMode="External" /><Relationship Type="http://schemas.openxmlformats.org/officeDocument/2006/relationships/hyperlink" Id="rId197" Target="../piece_pdf-6.md" TargetMode="External" /><Relationship Type="http://schemas.openxmlformats.org/officeDocument/2006/relationships/hyperlink" Id="rId198" Target="../piece_pdf-7.md" TargetMode="External" /><Relationship Type="http://schemas.openxmlformats.org/officeDocument/2006/relationships/hyperlink" Id="rId139" Target="../piece_pdf-92.md" TargetMode="External" /><Relationship Type="http://schemas.openxmlformats.org/officeDocument/2006/relationships/hyperlink" Id="rId195" Target="../piece_thread-109.md" TargetMode="External" /><Relationship Type="http://schemas.openxmlformats.org/officeDocument/2006/relationships/hyperlink" Id="rId194" Target="../piece_vacances_2013_cape_cod_cuba_chalet.md" TargetMode="External" /><Relationship Type="http://schemas.openxmlformats.org/officeDocument/2006/relationships/hyperlink" Id="rId138" Target="../these_norme_instrument_soumission.md" TargetMode="External" /></Relationships>
</file>

<file path=word/_rels/footnotes.xml.rels><?xml version="1.0" encoding="UTF-8"?>
<Relationships xmlns="http://schemas.openxmlformats.org/package/2006/relationships"><Relationship Type="http://schemas.openxmlformats.org/officeDocument/2006/relationships/hyperlink" Id="rId78" Target="../analyse/Responsabilite%CC%81%20civile/requete%20novembre%202015/argument%20paragraphe%2010.md" TargetMode="External" /><Relationship Type="http://schemas.openxmlformats.org/officeDocument/2006/relationships/hyperlink" Id="rId178" Target="../analyse/Responsabilit&#233;%20civile/requete%20novembre%202015/argument%20paragraphes%2056%2057.md" TargetMode="External" /><Relationship Type="http://schemas.openxmlformats.org/officeDocument/2006/relationships/hyperlink" Id="rId35" Target="../axe_presence_quotidienne_activites.md" TargetMode="External" /><Relationship Type="http://schemas.openxmlformats.org/officeDocument/2006/relationships/hyperlink" Id="rId77" Target="../faits/faits_par10_2015.md" TargetMode="External" /><Relationship Type="http://schemas.openxmlformats.org/officeDocument/2006/relationships/hyperlink" Id="rId177" Target="../faits/faits_par56-57_2015.md" TargetMode="External" /><Relationship Type="http://schemas.openxmlformats.org/officeDocument/2006/relationships/hyperlink" Id="rId162" Target="../inventaire_allegations_blocage.md" TargetMode="External" /><Relationship Type="http://schemas.openxmlformats.org/officeDocument/2006/relationships/hyperlink" Id="rId76" Target="../piece_document-1.md" TargetMode="External" /><Relationship Type="http://schemas.openxmlformats.org/officeDocument/2006/relationships/hyperlink" Id="rId137" Target="../piece_pdf-2.md" TargetMode="External" /><Relationship Type="http://schemas.openxmlformats.org/officeDocument/2006/relationships/hyperlink" Id="rId136" Target="../piece_pdf-3.md" TargetMode="External" /><Relationship Type="http://schemas.openxmlformats.org/officeDocument/2006/relationships/hyperlink" Id="rId196" Target="../piece_pdf-5.md" TargetMode="External" /><Relationship Type="http://schemas.openxmlformats.org/officeDocument/2006/relationships/hyperlink" Id="rId197" Target="../piece_pdf-6.md" TargetMode="External" /><Relationship Type="http://schemas.openxmlformats.org/officeDocument/2006/relationships/hyperlink" Id="rId198" Target="../piece_pdf-7.md" TargetMode="External" /><Relationship Type="http://schemas.openxmlformats.org/officeDocument/2006/relationships/hyperlink" Id="rId139" Target="../piece_pdf-92.md" TargetMode="External" /><Relationship Type="http://schemas.openxmlformats.org/officeDocument/2006/relationships/hyperlink" Id="rId195" Target="../piece_thread-109.md" TargetMode="External" /><Relationship Type="http://schemas.openxmlformats.org/officeDocument/2006/relationships/hyperlink" Id="rId194" Target="../piece_vacances_2013_cape_cod_cuba_chalet.md" TargetMode="External" /><Relationship Type="http://schemas.openxmlformats.org/officeDocument/2006/relationships/hyperlink" Id="rId138" Target="../these_norme_instrument_soumis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2026-07-11T20:59:21Z</dcterms:created>
  <dcterms:modified xsi:type="dcterms:W3CDTF">2026-07-11T20:59:21Z</dcterms:modified>
</cp:coreProperties>
</file>

<file path=docProps/custom.xml><?xml version="1.0" encoding="utf-8"?>
<Properties xmlns="http://schemas.openxmlformats.org/officeDocument/2006/custom-properties" xmlns:vt="http://schemas.openxmlformats.org/officeDocument/2006/docPropsVTypes"/>
</file>