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61f6daf60a9b6ab8ccf53228bb9759b1e101cf"/>
      <w:r>
        <w:t xml:space="preserve">PONTS CONSOLIDÉS — Déclaration assermentée du 21 octobre 2019 (DA-2019)</w:t>
      </w:r>
      <w:bookmarkEnd w:id="20"/>
    </w:p>
    <w:p>
      <w:pPr>
        <w:pStyle w:val="BlockText"/>
      </w:pPr>
      <w:r>
        <w:rPr>
          <w:b/>
        </w:rPr>
        <w:t xml:space="preserve">Fichier généré par concaténation.</w:t>
      </w:r>
      <w:r>
        <w:t xml:space="preserve"> </w:t>
      </w:r>
      <w:r>
        <w:t xml:space="preserve">Contrepartie 2019 de</w:t>
      </w:r>
      <w:r>
        <w:t xml:space="preserve"> </w:t>
      </w:r>
      <w:hyperlink r:id="rId21">
        <w:r>
          <w:rPr>
            <w:rStyle w:val="Hyperlink"/>
          </w:rPr>
          <w:t xml:space="preserve">ponts_requete_2015_consolides.md</w:t>
        </w:r>
      </w:hyperlink>
      <w:r>
        <w:t xml:space="preserve">. Regroupe, en ordre de paragraphe, les 6 ponts relatifs à la DA-2019.</w:t>
      </w:r>
      <w:r>
        <w:t xml:space="preserve"> </w:t>
      </w:r>
      <w:r>
        <w:rPr>
          <w:b/>
        </w:rPr>
        <w:t xml:space="preserve">Ne pas éditer ici</w:t>
      </w:r>
      <w:r>
        <w:t xml:space="preserve"> </w:t>
      </w:r>
      <w:r>
        <w:t xml:space="preserve">— chaque section est une copie de son fichier source dans</w:t>
      </w:r>
      <w:r>
        <w:t xml:space="preserve"> </w:t>
      </w:r>
      <w:r>
        <w:rPr>
          <w:rStyle w:val="VerbatimChar"/>
        </w:rPr>
        <w:t xml:space="preserve">legal/pont/</w:t>
      </w:r>
      <w:r>
        <w:t xml:space="preserve"> </w:t>
      </w:r>
      <w:r>
        <w:t xml:space="preserve">; modifier le source, puis régénérer.</w:t>
      </w:r>
    </w:p>
    <w:p>
      <w:pPr>
        <w:pStyle w:val="BlockText"/>
      </w:pPr>
      <w:r>
        <w:rPr>
          <w:b/>
        </w:rPr>
        <w:t xml:space="preserve">Autorat (DA-2019) :</w:t>
      </w:r>
      <w:r>
        <w:t xml:space="preserve"> </w:t>
      </w:r>
      <w:r>
        <w:t xml:space="preserve">Me Marie-Josée Ayoub</w:t>
      </w:r>
      <w:r>
        <w:t xml:space="preserve"> </w:t>
      </w:r>
      <w:r>
        <w:rPr>
          <w:b/>
        </w:rPr>
        <w:t xml:space="preserve">rédige</w:t>
      </w:r>
      <w:r>
        <w:t xml:space="preserve"> </w:t>
      </w:r>
      <w:r>
        <w:t xml:space="preserve">; Élise Marie Ayoub</w:t>
      </w:r>
      <w:r>
        <w:t xml:space="preserve"> </w:t>
      </w:r>
      <w:r>
        <w:rPr>
          <w:b/>
        </w:rPr>
        <w:t xml:space="preserve">jure</w:t>
      </w:r>
      <w:r>
        <w:t xml:space="preserve">. (Distinct de la Requête de 2015, rédigée par Me Ferreira.)</w:t>
      </w:r>
    </w:p>
    <w:p>
      <w:pPr>
        <w:pStyle w:val="BlockText"/>
      </w:pPr>
      <w:r>
        <w:rPr>
          <w:b/>
        </w:rPr>
        <w:t xml:space="preserve">Ordre :</w:t>
      </w:r>
      <w:r>
        <w:t xml:space="preserve"> </w:t>
      </w:r>
      <w:r>
        <w:t xml:space="preserve">§3-4 · §6.3 · §6.6-6.7</w:t>
      </w:r>
      <w:r>
        <w:t xml:space="preserve"> </w:t>
      </w:r>
      <w:r>
        <w:rPr>
          <w:i/>
        </w:rPr>
        <w:t xml:space="preserve">(abandonné)</w:t>
      </w:r>
      <w:r>
        <w:t xml:space="preserve"> </w:t>
      </w:r>
      <w:r>
        <w:t xml:space="preserve">· §7 · §14-15 · §20</w:t>
      </w:r>
    </w:p>
    <w:p>
      <w:pPr>
        <w:pStyle w:val="BlockText"/>
      </w:pPr>
      <w:r>
        <w:t xml:space="preserve">⚠️</w:t>
      </w:r>
      <w:r>
        <w:t xml:space="preserve"> </w:t>
      </w:r>
      <w:r>
        <w:rPr>
          <w:b/>
        </w:rPr>
        <w:t xml:space="preserve">Exception :</w:t>
      </w:r>
      <w:r>
        <w:t xml:space="preserve"> </w:t>
      </w:r>
      <w:r>
        <w:t xml:space="preserve">une section auteure —</w:t>
      </w:r>
      <w:r>
        <w:t xml:space="preserve"> </w:t>
      </w:r>
      <w:r>
        <w:rPr>
          <w:rStyle w:val="VerbatimChar"/>
        </w:rPr>
        <w:t xml:space="preserve">MOYENS DE DROIT — volet 2019</w:t>
      </w:r>
      <w:r>
        <w:t xml:space="preserve"> </w:t>
      </w:r>
      <w:r>
        <w:t xml:space="preserve">— est ajoutée</w:t>
      </w:r>
      <w:r>
        <w:t xml:space="preserve"> </w:t>
      </w:r>
      <w:r>
        <w:rPr>
          <w:b/>
        </w:rPr>
        <w:t xml:space="preserve">à la fin</w:t>
      </w:r>
      <w:r>
        <w:t xml:space="preserve"> </w:t>
      </w:r>
      <w:r>
        <w:t xml:space="preserve">du fichier (balises</w:t>
      </w:r>
      <w:r>
        <w:t xml:space="preserve"> </w:t>
      </w:r>
      <w:r>
        <w:rPr>
          <w:rStyle w:val="VerbatimChar"/>
        </w:rPr>
        <w:t xml:space="preserve">SECTION RÉDIGÉE (NON CONCATÉNÉE)</w:t>
      </w:r>
      <w:r>
        <w:t xml:space="preserve">). Elle n’est copiée d’aucun source ;</w:t>
      </w:r>
      <w:r>
        <w:t xml:space="preserve"> </w:t>
      </w:r>
      <w:r>
        <w:rPr>
          <w:b/>
        </w:rPr>
        <w:t xml:space="preserve">la préserver</w:t>
      </w:r>
      <w:r>
        <w:t xml:space="preserve"> </w:t>
      </w:r>
      <w:r>
        <w:t xml:space="preserve">en cas de régénération.</w:t>
      </w:r>
    </w:p>
    <w:p>
      <w:r>
        <w:pict>
          <v:rect style="width:0;height:1.5pt" o:hralign="center" o:hrstd="t" o:hr="t"/>
        </w:pict>
      </w:r>
    </w:p>
    <w:p>
      <w:pPr>
        <w:pStyle w:val="Heading1"/>
      </w:pPr>
      <w:bookmarkStart w:id="22" w:name="Xdab8034fc4ca66fc66b716a8af593068cd1c2a9"/>
      <w:r>
        <w:t xml:space="preserve">Pont — §3 de la Déclaration assermentée de 2019 (DA-2019, 21 octobre 2019)</w:t>
      </w:r>
      <w:bookmarkEnd w:id="22"/>
    </w:p>
    <w:p>
      <w:pPr>
        <w:pStyle w:val="BlockText"/>
      </w:pPr>
      <w:r>
        <w:rPr>
          <w:b/>
        </w:rPr>
        <w:t xml:space="preserve">STATUT — COMPLET SUR LE RAISONNEMENT ; préparation probatoire encore conditionnelle.</w:t>
      </w:r>
      <w:r>
        <w:t xml:space="preserve"> </w:t>
      </w:r>
      <w:r>
        <w:t xml:space="preserve">Le §3 contient deux propositions contestées :</w:t>
      </w:r>
      <w:r>
        <w:t xml:space="preserve"> </w:t>
      </w:r>
      <w:r>
        <w:rPr>
          <w:b/>
        </w:rPr>
        <w:t xml:space="preserve">« puisque » énonce la cause de la saisine ; « afin de » en énonce la finalité.</w:t>
      </w:r>
      <w:r>
        <w:t xml:space="preserve"> </w:t>
      </w:r>
      <w:r>
        <w:t xml:space="preserve">Leur réfutation repose sur des preuves distinctes mais convergentes. La fausseté ne découle jamais de la seule variation des motifs : elle est établie allégation par allégation, puis assemblée ici par renvoi. Le présent pont consigne le</w:t>
      </w:r>
      <w:r>
        <w:t xml:space="preserve"> </w:t>
      </w:r>
      <w:r>
        <w:rPr>
          <w:b/>
        </w:rPr>
        <w:t xml:space="preserve">raisonnement intégral</w:t>
      </w:r>
      <w:r>
        <w:t xml:space="preserve">, ses limites et les contre-thèses prévisibles. Sa version finale demeure conditionnelle à la consolidation de la synthèse 2015, à l’extraction des pièces et aux décisions de recevabilité relatives à P-1 et aux négociations.</w:t>
      </w:r>
      <w:r>
        <w:t xml:space="preserve"> </w:t>
      </w:r>
      <w:r>
        <w:t xml:space="preserve">- falsité + scienter</w:t>
      </w:r>
      <w:r>
        <w:t xml:space="preserve"> </w:t>
      </w:r>
      <w:r>
        <w:rPr>
          <w:b/>
        </w:rPr>
        <w:t xml:space="preserve">par paragraphe</w:t>
      </w:r>
      <w:r>
        <w:t xml:space="preserve"> </w:t>
      </w:r>
      <w:r>
        <w:t xml:space="preserve">: ponts 2015 +</w:t>
      </w:r>
      <w:r>
        <w:t xml:space="preserve"> </w:t>
      </w:r>
      <w:hyperlink r:id="rId23">
        <w:r>
          <w:rPr>
            <w:rStyle w:val="Hyperlink"/>
          </w:rPr>
          <w:t xml:space="preserve">synthese_abus_diffamation_requete2015.md</w:t>
        </w:r>
      </w:hyperlink>
      <w:r>
        <w:t xml:space="preserve"> </w:t>
      </w:r>
      <w:r>
        <w:t xml:space="preserve">;</w:t>
      </w:r>
      <w:r>
        <w:t xml:space="preserve"> </w:t>
      </w:r>
      <w:r>
        <w:t xml:space="preserve">- comparaison</w:t>
      </w:r>
      <w:r>
        <w:t xml:space="preserve"> </w:t>
      </w:r>
      <w:r>
        <w:rPr>
          <w:b/>
        </w:rPr>
        <w:t xml:space="preserve">2013 vs 2015</w:t>
      </w:r>
      <w:r>
        <w:t xml:space="preserve"> </w:t>
      </w:r>
      <w:r>
        <w:t xml:space="preserve">:</w:t>
      </w:r>
      <w:r>
        <w:t xml:space="preserve"> </w:t>
      </w:r>
      <w:hyperlink r:id="rId24">
        <w:r>
          <w:rPr>
            <w:rStyle w:val="Hyperlink"/>
          </w:rPr>
          <w:t xml:space="preserve">these_patron_abstrait.md</w:t>
        </w:r>
      </w:hyperlink>
      <w:r>
        <w:t xml:space="preserve"> </w:t>
      </w:r>
      <w:r>
        <w:t xml:space="preserve">§2 et §7.3.</w:t>
      </w:r>
    </w:p>
    <w:p>
      <w:pPr>
        <w:pStyle w:val="BlockText"/>
      </w:pPr>
      <w:r>
        <w:rPr>
          <w:b/>
        </w:rPr>
        <w:t xml:space="preserve">Forme-cible du §3 (thèse mince) :</w:t>
      </w:r>
      <w:r>
        <w:t xml:space="preserve"> </w:t>
      </w:r>
      <w:r>
        <w:t xml:space="preserve">« Le §3 est faux sous deux rapports. Sa</w:t>
      </w:r>
      <w:r>
        <w:t xml:space="preserve"> </w:t>
      </w:r>
      <w:r>
        <w:rPr>
          <w:b/>
        </w:rPr>
        <w:t xml:space="preserve">cause déclarée</w:t>
      </w:r>
      <w:r>
        <w:t xml:space="preserve"> </w:t>
      </w:r>
      <w:r>
        <w:t xml:space="preserve">est fausse : la saisine n’a pas été rendue nécessaire par un refus du règlement amiable comme mode, mais par l’impossibilité de faire ratifier au père, dans le cadre de l’intérêt des enfants et à partir de faits qu’il connaissait, une conclusion fixée sans laisser leur réalité gouverner le choix. Sa</w:t>
      </w:r>
      <w:r>
        <w:t xml:space="preserve"> </w:t>
      </w:r>
      <w:r>
        <w:rPr>
          <w:b/>
        </w:rPr>
        <w:t xml:space="preserve">finalité déclarée</w:t>
      </w:r>
      <w:r>
        <w:t xml:space="preserve"> </w:t>
      </w:r>
      <w:r>
        <w:t xml:space="preserve">est fausse : devant un Tribunal dépendant de l’information fournie, la Requête n’a pas soumis la réalité vécue des enfants ; elle lui a substitué l’image fabriquée et connue comme telle d’un père historiquement périphérique, désengagé et obstructif. P-1 importe parce qu’il révèle non seulement l’antériorité de la méthode, mais sa nécessité interne : lorsque la conclusion est fixée avant l’examen de la réalité, il faut modifier la réalité ou sa représentation pour faire apparaître cette conclusion comme le produit de l’intérêt des enfants. »</w:t>
      </w:r>
    </w:p>
    <w:p>
      <w:pPr>
        <w:pStyle w:val="BlockText"/>
      </w:pPr>
      <w:r>
        <w:rPr>
          <w:b/>
        </w:rPr>
        <w:t xml:space="preserve">Ordre de travail (dir. LP) :</w:t>
      </w:r>
      <w:r>
        <w:t xml:space="preserve"> </w:t>
      </w:r>
      <w:r>
        <w:t xml:space="preserve">(1) reprendre l’analyse de la Requête 2015 ; (2-3) falsité + scienter par § ; (4) synthèse du récit faux 2015 [≈ synthese_abus_diffamation_requete2015.md, à compléter] ; (5) comparaison 2013/2015 ; (6) mettre à jour faits + analyse §3 ; (7) rédiger le pont final. La matière analytique ci-dessous</w:t>
      </w:r>
      <w:r>
        <w:t xml:space="preserve"> </w:t>
      </w:r>
      <w:r>
        <w:rPr>
          <w:b/>
        </w:rPr>
        <w:t xml:space="preserve">alimente</w:t>
      </w:r>
      <w:r>
        <w:t xml:space="preserve"> </w:t>
      </w:r>
      <w:r>
        <w:t xml:space="preserve">ces étapes ; elle sera</w:t>
      </w:r>
      <w:r>
        <w:t xml:space="preserve"> </w:t>
      </w:r>
      <w:r>
        <w:rPr>
          <w:b/>
        </w:rPr>
        <w:t xml:space="preserve">distillée</w:t>
      </w:r>
      <w:r>
        <w:t xml:space="preserve"> </w:t>
      </w:r>
      <w:r>
        <w:t xml:space="preserve">dans la synthèse mince.</w:t>
      </w:r>
    </w:p>
    <w:p>
      <w:pPr>
        <w:pStyle w:val="Heading2"/>
      </w:pPr>
      <w:bookmarkStart w:id="25" w:name="allégation-visée"/>
      <w:r>
        <w:t xml:space="preserve">1. Allégation visée</w:t>
      </w:r>
      <w:bookmarkEnd w:id="25"/>
    </w:p>
    <w:p>
      <w:pPr>
        <w:pStyle w:val="BlockText"/>
      </w:pPr>
      <w:r>
        <w:rPr>
          <w:b/>
        </w:rPr>
        <w:t xml:space="preserve">§3</w:t>
      </w:r>
      <w:r>
        <w:t xml:space="preserve"> </w:t>
      </w:r>
      <w:r>
        <w:t xml:space="preserve">— « Puisque le défendeur</w:t>
      </w:r>
      <w:r>
        <w:t xml:space="preserve"> </w:t>
      </w:r>
      <w:r>
        <w:rPr>
          <w:b/>
        </w:rPr>
        <w:t xml:space="preserve">refusait de régler le litige à l’amiable</w:t>
      </w:r>
      <w:r>
        <w:t xml:space="preserve">, j’ai été</w:t>
      </w:r>
      <w:r>
        <w:t xml:space="preserve"> </w:t>
      </w:r>
      <w:r>
        <w:rPr>
          <w:b/>
        </w:rPr>
        <w:t xml:space="preserve">obligée de saisir le Tribunal</w:t>
      </w:r>
      <w:r>
        <w:t xml:space="preserve"> </w:t>
      </w:r>
      <w:r>
        <w:t xml:space="preserve">afin de faire valoir les droits de nos enfants.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w:t>
      </w:r>
      <w:r>
        <w:t xml:space="preserve"> </w:t>
      </w:r>
      <w:r>
        <w:rPr>
          <w:b/>
        </w:rPr>
        <w:t xml:space="preserve">rédigée par Me Marie-Josée Ayoub</w:t>
      </w:r>
      <w:r>
        <w:t xml:space="preserve"> </w:t>
      </w:r>
      <w:r>
        <w:t xml:space="preserve">(avocate au dossier 2013-2020). Faits bruts :</w:t>
      </w:r>
      <w:r>
        <w:t xml:space="preserve"> </w:t>
      </w:r>
      <w:hyperlink r:id="rId26">
        <w:r>
          <w:rPr>
            <w:rStyle w:val="Hyperlink"/>
          </w:rPr>
          <w:t xml:space="preserve">faits_par3_2019.md</w:t>
        </w:r>
      </w:hyperlink>
      <w:r>
        <w:t xml:space="preserve">. Thèse :</w:t>
      </w:r>
      <w:r>
        <w:t xml:space="preserve"> </w:t>
      </w:r>
      <w:hyperlink r:id="rId27">
        <w:r>
          <w:rPr>
            <w:rStyle w:val="Hyperlink"/>
          </w:rPr>
          <w:t xml:space="preserve">these_2019_saisine_amiable.md</w:t>
        </w:r>
      </w:hyperlink>
      <w:r>
        <w:t xml:space="preserve">.</w:t>
      </w:r>
    </w:p>
    <w:p>
      <w:pPr>
        <w:pStyle w:val="Heading2"/>
      </w:pPr>
      <w:bookmarkStart w:id="28" w:name="Xa2abcd34053c591b605d787436a8a2ca239826f"/>
      <w:r>
        <w:t xml:space="preserve">1-bis. Décomposition de l’allégation — deux faussetés autonomes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Segment du §3</w:t>
            </w:r>
          </w:p>
        </w:tc>
        <w:tc>
          <w:tcPr>
            <w:tcBorders>
              <w:bottom w:val="single"/>
            </w:tcBorders>
            <w:vAlign w:val="bottom"/>
          </w:tcPr>
          <w:p>
            <w:pPr>
              <w:pStyle w:val="Compact"/>
              <w:jc w:val="left"/>
            </w:pPr>
            <w:r>
              <w:t xml:space="preserve">Proposition factuelle</w:t>
            </w:r>
          </w:p>
        </w:tc>
        <w:tc>
          <w:tcPr>
            <w:tcBorders>
              <w:bottom w:val="single"/>
            </w:tcBorders>
            <w:vAlign w:val="bottom"/>
          </w:tcPr>
          <w:p>
            <w:pPr>
              <w:pStyle w:val="Compact"/>
              <w:jc w:val="left"/>
            </w:pPr>
            <w:r>
              <w:t xml:space="preserve">Fausseté démontrée</w:t>
            </w:r>
          </w:p>
        </w:tc>
        <w:tc>
          <w:tcPr>
            <w:tcBorders>
              <w:bottom w:val="single"/>
            </w:tcBorders>
            <w:vAlign w:val="bottom"/>
          </w:tcPr>
          <w:p>
            <w:pPr>
              <w:pStyle w:val="Compact"/>
              <w:jc w:val="left"/>
            </w:pPr>
            <w:r>
              <w:t xml:space="preserve">Preuve primaire</w:t>
            </w:r>
          </w:p>
        </w:tc>
      </w:tr>
      <w:tr>
        <w:tc>
          <w:p>
            <w:pPr>
              <w:pStyle w:val="Compact"/>
              <w:jc w:val="left"/>
            </w:pPr>
            <w:r>
              <w:rPr>
                <w:b/>
              </w:rPr>
              <w:t xml:space="preserve">« Puisque le défendeur refusait de régler […] j’ai été obligée de saisir »</w:t>
            </w:r>
          </w:p>
        </w:tc>
        <w:tc>
          <w:p>
            <w:pPr>
              <w:pStyle w:val="Compact"/>
              <w:jc w:val="left"/>
            </w:pPr>
            <w:r>
              <w:t xml:space="preserve">le refus paternel serait la cause ayant rendu le recours nécessaire</w:t>
            </w:r>
          </w:p>
        </w:tc>
        <w:tc>
          <w:p>
            <w:pPr>
              <w:pStyle w:val="Compact"/>
              <w:jc w:val="left"/>
            </w:pPr>
            <w:r>
              <w:rPr>
                <w:b/>
              </w:rPr>
              <w:t xml:space="preserve">Fausseté causale</w:t>
            </w:r>
            <w:r>
              <w:t xml:space="preserve"> </w:t>
            </w:r>
            <w:r>
              <w:t xml:space="preserve">: le père négociait, formulait des offres et acceptait une progression ; l’impasse et la saisine découlent plutôt du maintien d’une conclusion qui ne pouvait être ratifiée dans le cadre normatif commun sans un raisonnement tiré de la réalité des enfants ; P-1 en documente la structure antérieure</w:t>
            </w:r>
          </w:p>
        </w:tc>
        <w:tc>
          <w:p>
            <w:pPr>
              <w:pStyle w:val="Compact"/>
              <w:jc w:val="left"/>
            </w:pPr>
            <w:r>
              <w:t xml:space="preserve">P-1 + P-2 + négociations d’avril-septembre 2015</w:t>
            </w:r>
          </w:p>
        </w:tc>
      </w:tr>
      <w:tr>
        <w:tc>
          <w:p>
            <w:pPr>
              <w:pStyle w:val="Compact"/>
              <w:jc w:val="left"/>
            </w:pPr>
            <w:r>
              <w:rPr>
                <w:b/>
              </w:rPr>
              <w:t xml:space="preserve">« afin de faire valoir les droits de nos enfants »</w:t>
            </w:r>
          </w:p>
        </w:tc>
        <w:tc>
          <w:p>
            <w:pPr>
              <w:pStyle w:val="Compact"/>
              <w:jc w:val="left"/>
            </w:pPr>
            <w:r>
              <w:t xml:space="preserve">la procédure aurait soumis la réalité des enfants afin de faire reconnaître leurs droits</w:t>
            </w:r>
          </w:p>
        </w:tc>
        <w:tc>
          <w:p>
            <w:pPr>
              <w:pStyle w:val="Compact"/>
              <w:jc w:val="left"/>
            </w:pPr>
            <w:r>
              <w:rPr>
                <w:b/>
              </w:rPr>
              <w:t xml:space="preserve">Fausseté de finalité</w:t>
            </w:r>
            <w:r>
              <w:t xml:space="preserve"> </w:t>
            </w:r>
            <w:r>
              <w:t xml:space="preserve">: la Requête a substitué à leur réalité un noyau d’allégations fausses et connues comme telles, qui présentait le père comme historiquement périphérique, désengagé et obstructif</w:t>
            </w:r>
          </w:p>
        </w:tc>
        <w:tc>
          <w:p>
            <w:pPr>
              <w:pStyle w:val="Compact"/>
              <w:jc w:val="left"/>
            </w:pPr>
            <w:r>
              <w:t xml:space="preserve">ponts de novembre 2015 +</w:t>
            </w:r>
            <w:r>
              <w:t xml:space="preserve"> </w:t>
            </w:r>
            <w:hyperlink r:id="rId23">
              <w:r>
                <w:rPr>
                  <w:rStyle w:val="Hyperlink"/>
                </w:rPr>
                <w:t xml:space="preserve">synthèse 2015</w:t>
              </w:r>
            </w:hyperlink>
          </w:p>
        </w:tc>
      </w:tr>
    </w:tbl>
    <w:p>
      <w:pPr>
        <w:pStyle w:val="BodyText"/>
      </w:pPr>
      <w:r>
        <w:t xml:space="preserve">La seconde fausseté ne se déduit pas du seul fait que certaines allégations étaient contestées. Elle repose sur le</w:t>
      </w:r>
      <w:r>
        <w:t xml:space="preserve"> </w:t>
      </w:r>
      <w:r>
        <w:rPr>
          <w:b/>
        </w:rPr>
        <w:t xml:space="preserve">noyau affirmativement contredit et connu faux</w:t>
      </w:r>
      <w:r>
        <w:t xml:space="preserve">, assemblé par les ponts : implication prétendument minimale (§5-6,</w:t>
      </w:r>
      <w:r>
        <w:t xml:space="preserve"> </w:t>
      </w:r>
      <w:hyperlink r:id="rId29">
        <w:r>
          <w:rPr>
            <w:rStyle w:val="Hyperlink"/>
          </w:rPr>
          <w:t xml:space="preserve">pont 4-5-6</w:t>
        </w:r>
      </w:hyperlink>
      <w:r>
        <w:t xml:space="preserve">), difficulté à assumer le rôle paternel (§7,</w:t>
      </w:r>
      <w:r>
        <w:t xml:space="preserve"> </w:t>
      </w:r>
      <w:hyperlink r:id="rId30">
        <w:r>
          <w:rPr>
            <w:rStyle w:val="Hyperlink"/>
          </w:rPr>
          <w:t xml:space="preserve">pont 7</w:t>
        </w:r>
      </w:hyperlink>
      <w:r>
        <w:t xml:space="preserve">), absence pendant tout l’été 2013 (§9,</w:t>
      </w:r>
      <w:r>
        <w:t xml:space="preserve"> </w:t>
      </w:r>
      <w:hyperlink r:id="rId31">
        <w:r>
          <w:rPr>
            <w:rStyle w:val="Hyperlink"/>
          </w:rPr>
          <w:t xml:space="preserve">pont 9</w:t>
        </w:r>
      </w:hyperlink>
      <w:r>
        <w:t xml:space="preserve">), rare disponibilité et rôle seulement supplétif (§15-17,</w:t>
      </w:r>
      <w:r>
        <w:t xml:space="preserve"> </w:t>
      </w:r>
      <w:hyperlink r:id="rId32">
        <w:r>
          <w:rPr>
            <w:rStyle w:val="Hyperlink"/>
          </w:rPr>
          <w:t xml:space="preserve">pont 14-17</w:t>
        </w:r>
      </w:hyperlink>
      <w:r>
        <w:t xml:space="preserve">), prétendue entente sur la garde exclusive (§18,</w:t>
      </w:r>
      <w:r>
        <w:t xml:space="preserve"> </w:t>
      </w:r>
      <w:hyperlink r:id="rId33">
        <w:r>
          <w:rPr>
            <w:rStyle w:val="Hyperlink"/>
          </w:rPr>
          <w:t xml:space="preserve">pont 18</w:t>
        </w:r>
      </w:hyperlink>
      <w:r>
        <w:t xml:space="preserve">), refus de l’autorité parentale par présentation sélective (§30-31,</w:t>
      </w:r>
      <w:r>
        <w:t xml:space="preserve"> </w:t>
      </w:r>
      <w:hyperlink r:id="rId34">
        <w:r>
          <w:rPr>
            <w:rStyle w:val="Hyperlink"/>
          </w:rPr>
          <w:t xml:space="preserve">pont 30-31</w:t>
        </w:r>
      </w:hyperlink>
      <w:r>
        <w:t xml:space="preserve">) et obstruction à l’usage des assurances (§57a,</w:t>
      </w:r>
      <w:r>
        <w:t xml:space="preserve"> </w:t>
      </w:r>
      <w:hyperlink r:id="rId35">
        <w:r>
          <w:rPr>
            <w:rStyle w:val="Hyperlink"/>
          </w:rPr>
          <w:t xml:space="preserve">pont 56-57</w:t>
        </w:r>
      </w:hyperlink>
      <w:r>
        <w:t xml:space="preserve">). Les énoncés exacts, seulement décontextualisés ou non étayés demeurent concédés et ne portent pas cette conclusion.</w:t>
      </w:r>
    </w:p>
    <w:p>
      <w:pPr>
        <w:pStyle w:val="Heading2"/>
      </w:pPr>
      <w:bookmarkStart w:id="36" w:name="objectif-de-démonstration"/>
      <w:r>
        <w:t xml:space="preserve">2. Objectif de démonstration</w:t>
      </w:r>
      <w:bookmarkEnd w:id="36"/>
    </w:p>
    <w:p>
      <w:pPr>
        <w:pStyle w:val="FirstParagraph"/>
      </w:pPr>
      <w:r>
        <w:rPr>
          <w:b/>
        </w:rPr>
        <w:t xml:space="preserve">Classification : §3 = la troisième d’une succession de reconfigurations. Il réécrit la</w:t>
      </w:r>
      <w:r>
        <w:rPr>
          <w:b/>
        </w:rPr>
        <w:t xml:space="preserve"> </w:t>
      </w:r>
      <w:r>
        <w:rPr>
          <w:i/>
          <w:b/>
        </w:rPr>
        <w:t xml:space="preserve">causalité</w:t>
      </w:r>
      <w:r>
        <w:rPr>
          <w:b/>
        </w:rPr>
        <w:t xml:space="preserve"> </w:t>
      </w:r>
      <w:r>
        <w:rPr>
          <w:b/>
        </w:rPr>
        <w:t xml:space="preserve">de la saisine et attribue faussement sa</w:t>
      </w:r>
      <w:r>
        <w:rPr>
          <w:b/>
        </w:rPr>
        <w:t xml:space="preserve"> </w:t>
      </w:r>
      <w:r>
        <w:rPr>
          <w:i/>
          <w:b/>
        </w:rPr>
        <w:t xml:space="preserve">finalité</w:t>
      </w:r>
      <w:r>
        <w:rPr>
          <w:b/>
        </w:rPr>
        <w:t xml:space="preserve"> </w:t>
      </w:r>
      <w:r>
        <w:rPr>
          <w:b/>
        </w:rPr>
        <w:t xml:space="preserve">aux droits des enfants.</w:t>
      </w:r>
    </w:p>
    <w:p>
      <w:pPr>
        <w:pStyle w:val="Heading3"/>
      </w:pPr>
      <w:bookmarkStart w:id="37" w:name="X65fa474a1879359ccccf5e5291fe91762454278"/>
      <w:r>
        <w:t xml:space="preserve">2.1. Ce que la démonstration affirme — et ce qu’elle n’affirme pas</w:t>
      </w:r>
      <w:bookmarkEnd w:id="37"/>
    </w:p>
    <w:p>
      <w:pPr>
        <w:pStyle w:val="FirstParagraph"/>
      </w:pPr>
      <w:r>
        <w:t xml:space="preserve">La démonstration n’exige pas de prouver que la garde exclusive ne pouvait, dans aucune hypothèse, être conforme à l’intérêt des enfants. Elle n’exige pas davantage de prouver qu’aucune raison véritable ne pouvait abstraitement exister. Elle porte sur le</w:t>
      </w:r>
      <w:r>
        <w:t xml:space="preserve"> </w:t>
      </w:r>
      <w:r>
        <w:rPr>
          <w:b/>
        </w:rPr>
        <w:t xml:space="preserve">processus décisionnel observable</w:t>
      </w:r>
      <w:r>
        <w:t xml:space="preserve"> </w:t>
      </w:r>
      <w:r>
        <w:t xml:space="preserve">: la conclusion de garde exclusive a été maintenue sans laisser la réalité vécue des enfants gouverner son choix, puis une réalité différente a été présentée au Tribunal pour faire apparaître cette conclusion comme le résultat de l’application de la norme.</w:t>
      </w:r>
    </w:p>
    <w:p>
      <w:pPr>
        <w:pStyle w:val="BodyText"/>
      </w:pPr>
      <w:r>
        <w:t xml:space="preserve">L’analogie exacte est celle d’un médecin qui choisirait volontairement le dossier d’un autre patient pour déterminer un traitement. Le traitement pourrait, par coïncidence, convenir au patient réel ; cette possibilité ne répare pas le processus. Ce qui est démontré est que la décision a été volontairement rattachée au</w:t>
      </w:r>
      <w:r>
        <w:t xml:space="preserve"> </w:t>
      </w:r>
      <w:r>
        <w:rPr>
          <w:b/>
        </w:rPr>
        <w:t xml:space="preserve">mauvais substrat factuel</w:t>
      </w:r>
      <w:r>
        <w:t xml:space="preserve">, non que son résultat était métaphysiquement impossible.</w:t>
      </w:r>
    </w:p>
    <w:p>
      <w:pPr>
        <w:pStyle w:val="Heading3"/>
      </w:pPr>
      <w:bookmarkStart w:id="38" w:name="lordre-normatif-et-son-inversion"/>
      <w:r>
        <w:t xml:space="preserve">2.2. L’ordre normatif et son inversion</w:t>
      </w:r>
      <w:bookmarkEnd w:id="38"/>
    </w:p>
    <w:p>
      <w:pPr>
        <w:pStyle w:val="FirstParagraph"/>
      </w:pPr>
      <w:r>
        <w:t xml:space="preserve">Dans l’ordre normal de décision, le raisonnement doit suivre la séquence suivante :</w:t>
      </w:r>
    </w:p>
    <w:p>
      <w:pPr>
        <w:pStyle w:val="BlockText"/>
      </w:pPr>
      <w:r>
        <w:rPr>
          <w:b/>
        </w:rPr>
        <w:t xml:space="preserve">réalité vécue des enfants (R) → appréciation de leur intérêt (N) → modalité de garde (C)</w:t>
      </w:r>
    </w:p>
    <w:p>
      <w:pPr>
        <w:pStyle w:val="FirstParagraph"/>
      </w:pPr>
      <w:r>
        <w:t xml:space="preserve">La séquence documentée inverse cet ordre :</w:t>
      </w:r>
    </w:p>
    <w:p>
      <w:pPr>
        <w:pStyle w:val="BlockText"/>
      </w:pPr>
      <w:r>
        <w:rPr>
          <w:b/>
        </w:rPr>
        <w:t xml:space="preserve">conclusion recherchée fixée (C) → modification de la réalité ou de sa représentation (R</w:t>
      </w:r>
      <w:r>
        <w:rPr>
          <w:i/>
          <w:b/>
        </w:rPr>
        <w:t xml:space="preserve">) → présentation de C comme résultat de N appliquée à R</w:t>
      </w:r>
    </w:p>
    <w:p>
      <w:pPr>
        <w:pStyle w:val="FirstParagraph"/>
      </w:pPr>
      <w:r>
        <w:t xml:space="preserve">Cette inversion explique</w:t>
      </w:r>
      <w:r>
        <w:t xml:space="preserve"> </w:t>
      </w:r>
      <w:r>
        <w:rPr>
          <w:b/>
        </w:rPr>
        <w:t xml:space="preserve">ce qui donne naissance au besoin de substitution</w:t>
      </w:r>
      <w:r>
        <w:t xml:space="preserve">. Trois conditions se rencontrent :</w:t>
      </w:r>
    </w:p>
    <w:p>
      <w:pPr>
        <w:pStyle w:val="Compact"/>
        <w:numPr>
          <w:numId w:val="1001"/>
          <w:ilvl w:val="0"/>
        </w:numPr>
      </w:pPr>
      <w:r>
        <w:t xml:space="preserve">la garde exclusive constitue la conclusion recherchée avant que la réalité des enfants soit laissée libre de déterminer l’issue ;</w:t>
      </w:r>
    </w:p>
    <w:p>
      <w:pPr>
        <w:pStyle w:val="Compact"/>
        <w:numPr>
          <w:numId w:val="1001"/>
          <w:ilvl w:val="0"/>
        </w:numPr>
      </w:pPr>
      <w:r>
        <w:t xml:space="preserve">le cadre normatif exige néanmoins que cette conclusion soit justifiée par l’intérêt des enfants ;</w:t>
      </w:r>
    </w:p>
    <w:p>
      <w:pPr>
        <w:pStyle w:val="Compact"/>
        <w:numPr>
          <w:numId w:val="1001"/>
          <w:ilvl w:val="0"/>
        </w:numPr>
      </w:pPr>
      <w:r>
        <w:t xml:space="preserve">pour faire apparaître la conclusion fixée comme le produit de ce cadre, il faut disposer d’un substrat factuel qui la supporte.</w:t>
      </w:r>
    </w:p>
    <w:p>
      <w:pPr>
        <w:pStyle w:val="FirstParagraph"/>
      </w:pPr>
      <w:r>
        <w:t xml:space="preserve">Lorsque la réalité vécue n’est pas admise comme pouvant remettre la conclusion en question, l’écart ne peut être résolu qu’en modifiant</w:t>
      </w:r>
      <w:r>
        <w:t xml:space="preserve"> </w:t>
      </w:r>
      <w:r>
        <w:rPr>
          <w:b/>
        </w:rPr>
        <w:t xml:space="preserve">la situation qui sera ultérieurement constatée</w:t>
      </w:r>
      <w:r>
        <w:t xml:space="preserve"> </w:t>
      </w:r>
      <w:r>
        <w:t xml:space="preserve">ou</w:t>
      </w:r>
      <w:r>
        <w:t xml:space="preserve"> </w:t>
      </w:r>
      <w:r>
        <w:rPr>
          <w:b/>
        </w:rPr>
        <w:t xml:space="preserve">la représentation de la situation soumise au décideur</w:t>
      </w:r>
      <w:r>
        <w:t xml:space="preserve">. La substitution n’est donc pas seulement un fait récurrent : elle est la conséquence interne du refus de laisser les faits réels gouverner la conclusion.</w:t>
      </w:r>
    </w:p>
    <w:p>
      <w:pPr>
        <w:pStyle w:val="Heading3"/>
      </w:pPr>
      <w:bookmarkStart w:id="39" w:name="p-1-révèle-la-naissance-du-mécanisme"/>
      <w:r>
        <w:t xml:space="preserve">2.3. P-1 révèle la naissance du mécanisme</w:t>
      </w:r>
      <w:bookmarkEnd w:id="39"/>
    </w:p>
    <w:p>
      <w:pPr>
        <w:pStyle w:val="FirstParagraph"/>
      </w:pPr>
      <w:r>
        <w:t xml:space="preserve">P-1 ne démontre pas seulement qu’une méthode de substitution avait été conçue dès 2013. Il en révèle la genèse logique. Face à une séparation éventuelle, le document oppose lui-même deux issues — la garde partagée et la garde exclusive — et identifie la seconde comme l’objectif souhaité : « Tu veux avoir la garde et lui puisse voir les enfants plusieurs fois par semaine. » La décision devait néanmoins être présentée comme conforme à l’intérêt des enfants et à leurs besoins.</w:t>
      </w:r>
    </w:p>
    <w:p>
      <w:pPr>
        <w:pStyle w:val="BodyText"/>
      </w:pPr>
      <w:r>
        <w:rPr>
          <w:b/>
        </w:rPr>
        <w:t xml:space="preserve">L’incompatibilité concrète.</w:t>
      </w:r>
      <w:r>
        <w:t xml:space="preserve"> </w:t>
      </w:r>
      <w:r>
        <w:t xml:space="preserve">La situation contemporaine comprend un père présent dans la résidence et auprès des enfants. Cette présence soutient la continuité de leurs liens avec lui et constitue donc un fait que l’appréciation de leur stabilité doit prendre en compte. Elle ne rend pas abstraitement impossible une garde exclusive ; elle empêche toutefois de présenter celle-ci comme la simple continuité d’une organisation où les enfants auraient déjà été principalement entourés de leur mère et où la présence paternelle aurait été périphérique. Pour que la garde exclusive apparaisse ultérieurement comme la continuité de ce que les enfants connaissent, cette présence doit d’abord être réduite.</w:t>
      </w:r>
    </w:p>
    <w:p>
      <w:pPr>
        <w:pStyle w:val="BodyText"/>
      </w:pPr>
      <w:r>
        <w:rPr>
          <w:b/>
        </w:rPr>
        <w:t xml:space="preserve">La variable que le plan choisit de transformer.</w:t>
      </w:r>
      <w:r>
        <w:t xml:space="preserve"> </w:t>
      </w:r>
      <w:r>
        <w:t xml:space="preserve">Le courriel ne laisse aucun doute sur le mécanisme :</w:t>
      </w:r>
    </w:p>
    <w:p>
      <w:pPr>
        <w:pStyle w:val="Compact"/>
        <w:numPr>
          <w:numId w:val="1002"/>
          <w:ilvl w:val="0"/>
        </w:numPr>
      </w:pPr>
      <w:r>
        <w:t xml:space="preserve">d’alléguer un danger permettant une intervention urgente ;</w:t>
      </w:r>
    </w:p>
    <w:p>
      <w:pPr>
        <w:pStyle w:val="Compact"/>
        <w:numPr>
          <w:numId w:val="1002"/>
          <w:ilvl w:val="0"/>
        </w:numPr>
      </w:pPr>
      <w:r>
        <w:t xml:space="preserve">d’obtenir que le père soit relocalisé et limité à des « droits d’accès sans coucher » ;</w:t>
      </w:r>
    </w:p>
    <w:p>
      <w:pPr>
        <w:pStyle w:val="Compact"/>
        <w:numPr>
          <w:numId w:val="1002"/>
          <w:ilvl w:val="0"/>
        </w:numPr>
      </w:pPr>
      <w:r>
        <w:t xml:space="preserve">de réduire ainsi sa présence quotidienne auprès des enfants ;</w:t>
      </w:r>
    </w:p>
    <w:p>
      <w:pPr>
        <w:pStyle w:val="Compact"/>
        <w:numPr>
          <w:numId w:val="1002"/>
          <w:ilvl w:val="0"/>
        </w:numPr>
      </w:pPr>
      <w:r>
        <w:t xml:space="preserve">de laisser le temps convertir cette réduction en « précédent » et en « routine » mère-enfants ;</w:t>
      </w:r>
    </w:p>
    <w:p>
      <w:pPr>
        <w:pStyle w:val="Compact"/>
        <w:numPr>
          <w:numId w:val="1002"/>
          <w:ilvl w:val="0"/>
        </w:numPr>
      </w:pPr>
      <w:r>
        <w:t xml:space="preserve">de soumettre ensuite cette routine au Tribunal comme continuité que les juges hésitent à modifier.</w:t>
      </w:r>
    </w:p>
    <w:p>
      <w:pPr>
        <w:pStyle w:val="FirstParagraph"/>
      </w:pPr>
      <w:r>
        <w:t xml:space="preserve">Le plan ne demande donc pas quelle organisation correspond à la réalité des enfants. Il propose de</w:t>
      </w:r>
      <w:r>
        <w:t xml:space="preserve"> </w:t>
      </w:r>
      <w:r>
        <w:rPr>
          <w:b/>
        </w:rPr>
        <w:t xml:space="preserve">réduire la présence du père</w:t>
      </w:r>
      <w:r>
        <w:t xml:space="preserve">, puis de faire de cette présence réduite la nouvelle référence de stabilité. La situation devient compatible avec la garde exclusive parce que la rupture initiale est transformée, par l’écoulement du temps, en continuité apparente. Comme le plan n’a pas été exécuté tel quel en 2013, cette conséquence demeure formulée au conditionnel : il</w:t>
      </w:r>
      <w:r>
        <w:t xml:space="preserve"> </w:t>
      </w:r>
      <w:r>
        <w:rPr>
          <w:b/>
        </w:rPr>
        <w:t xml:space="preserve">aurait réduit</w:t>
      </w:r>
      <w:r>
        <w:t xml:space="preserve"> </w:t>
      </w:r>
      <w:r>
        <w:t xml:space="preserve">la présence paternelle et</w:t>
      </w:r>
      <w:r>
        <w:t xml:space="preserve"> </w:t>
      </w:r>
      <w:r>
        <w:rPr>
          <w:b/>
        </w:rPr>
        <w:t xml:space="preserve">aurait créé</w:t>
      </w:r>
      <w:r>
        <w:t xml:space="preserve"> </w:t>
      </w:r>
      <w:r>
        <w:t xml:space="preserve">la routine s’il avait été mis à exécution.</w:t>
      </w:r>
    </w:p>
    <w:p>
      <w:pPr>
        <w:pStyle w:val="BodyText"/>
      </w:pPr>
      <w:r>
        <w:rPr>
          <w:b/>
        </w:rPr>
        <w:t xml:space="preserve">Le facteur bloquant révélé par le moyen choisi.</w:t>
      </w:r>
      <w:r>
        <w:t xml:space="preserve"> </w:t>
      </w:r>
      <w:r>
        <w:t xml:space="preserve">Une stratégie révèle ce qu’elle cherche à neutraliser par la variable qu’elle modifie. Ici, le plan ne propose ni d’améliorer une capacité parentale, ni de répondre à un besoin nouvellement évalué : il agit directement sur la quantité et la nature des contacts père-enfants. La présence paternelle préexistante est donc traitée par le plan comme le fait qui empêche la garde exclusive recherchée d’apparaître comme la continuité naturelle de la vie des enfants.</w:t>
      </w:r>
    </w:p>
    <w:p>
      <w:pPr>
        <w:pStyle w:val="BodyText"/>
      </w:pPr>
      <w:r>
        <w:rPr>
          <w:b/>
        </w:rPr>
        <w:t xml:space="preserve">La tension entre sécurité et stabilité.</w:t>
      </w:r>
      <w:r>
        <w:t xml:space="preserve"> </w:t>
      </w:r>
      <w:r>
        <w:t xml:space="preserve">Le plan invoque simultanément une compromission de la sécurité et du développement d’Alexia — besoin qui, selon la hiérarchie analytique retenue, précède la stabilité — mais fait reposer son effet durable sur l’installation d’une routine. Si le danger allégué gouvernait réellement les modalités, il constituerait lui-même la raison des restrictions et devrait continuer de les gouverner jusqu’à un fait nouveau, une rétractation ou une mesure correctrice. Or le mécanisme durable explicitement anticipé est différent :</w:t>
      </w:r>
      <w:r>
        <w:t xml:space="preserve"> </w:t>
      </w:r>
      <w:r>
        <w:rPr>
          <w:b/>
        </w:rPr>
        <w:t xml:space="preserve">réduction de la présence → routine → hésitation judiciaire à changer ce qui fonctionne</w:t>
      </w:r>
      <w:r>
        <w:t xml:space="preserve">. Cette dissociation soutient l’inférence que le registre de sécurité sert à obtenir la rupture initiale, tandis que la stabilité de la situation ainsi produite doit ensuite consolider la conclusion.</w:t>
      </w:r>
    </w:p>
    <w:p>
      <w:pPr>
        <w:pStyle w:val="BodyText"/>
      </w:pPr>
      <w:r>
        <w:t xml:space="preserve">La hiérarchie précise entre stabilité affective, géographique et temporelle demeure une proposition juridique à faire confirmer par le procureur. Le constat documentaire n’en dépend toutefois pas : le plan provoque une rupture dans la continuité des contacts avec le père afin de créer une continuité temporelle maternelle qu’il prévoit ensuite d’invoquer.</w:t>
      </w:r>
    </w:p>
    <w:p>
      <w:pPr>
        <w:pStyle w:val="BodyText"/>
      </w:pPr>
      <w:r>
        <w:t xml:space="preserve">Le départ volontaire du père en février 2015 a rendu caduque la mesure destinée à le faire sortir. Il a aussi produit de facto une garde exclusive chez la mère. Le Tribunal n’était donc plus requis pour</w:t>
      </w:r>
      <w:r>
        <w:t xml:space="preserve"> </w:t>
      </w:r>
      <w:r>
        <w:rPr>
          <w:b/>
        </w:rPr>
        <w:t xml:space="preserve">créer</w:t>
      </w:r>
      <w:r>
        <w:t xml:space="preserve"> </w:t>
      </w:r>
      <w:r>
        <w:t xml:space="preserve">cette situation, mais pour la</w:t>
      </w:r>
      <w:r>
        <w:t xml:space="preserve"> </w:t>
      </w:r>
      <w:r>
        <w:rPr>
          <w:b/>
        </w:rPr>
        <w:t xml:space="preserve">formaliser ou la consolider</w:t>
      </w:r>
      <w:r>
        <w:t xml:space="preserve">. La Requête de novembre 2015, rédigée par Me Ferreira et jurée par Élise, fournit alors au Tribunal une histoire familiale qui fait apparaître cette situation comme conforme à l’intérêt des enfants. La comparaison avec P-1 porte sur la structure du raisonnement, non sur l’identité de l’auteure ni sur une transmission d’instructions.</w:t>
      </w:r>
    </w:p>
    <w:p>
      <w:pPr>
        <w:pStyle w:val="Heading3"/>
      </w:pPr>
      <w:bookmarkStart w:id="40" w:name="deux-publics-deux-régimes-dinformation"/>
      <w:r>
        <w:t xml:space="preserve">2.4. Deux publics, deux régimes d’information</w:t>
      </w:r>
      <w:bookmarkEnd w:id="40"/>
    </w:p>
    <w:p>
      <w:pPr>
        <w:pStyle w:val="FirstParagraph"/>
      </w:pPr>
      <w:r>
        <w:t xml:space="preserve">Les négociations privées et l’instance judiciaire ne présentent pas la même asymétrie d’information.</w:t>
      </w:r>
    </w:p>
    <w:p>
      <w:pPr>
        <w:pStyle w:val="BodyText"/>
      </w:pPr>
      <w:r>
        <w:rPr>
          <w:b/>
        </w:rPr>
        <w:t xml:space="preserve">Devant le père</w:t>
      </w:r>
      <w:r>
        <w:t xml:space="preserve">, les deux parents connaissent directement l’histoire familiale. Une image de désengagement historique contraire à cette expérience commune pouvait lui être énoncée, mais elle ne pouvait remplir une fonction persuasive : il en connaissait immédiatement la fausseté. Durant les négociations d’avril, août et septembre 2015, cette thèse ne lui est d’ailleurs pas soumise. Aucune discussion ne porte sur la violence, la compromission ou le prétendu désengagement historique. La demanderesse lui soumet plutôt la conclusion de garde exclusive, des horaires d’accès et les formules « compte tenu des circonstances », jeune âge et maintien de la routine.</w:t>
      </w:r>
    </w:p>
    <w:p>
      <w:pPr>
        <w:pStyle w:val="BodyText"/>
      </w:pPr>
      <w:r>
        <w:rPr>
          <w:b/>
        </w:rPr>
        <w:t xml:space="preserve">Devant le Tribunal</w:t>
      </w:r>
      <w:r>
        <w:t xml:space="preserve">, le décideur ne connaît pas directement la vie familiale. Il doit raisonner à partir des faits qui lui sont présentés. La Requête de novembre 2015 lui fournit alors une thèse absente des négociations : un père historiquement périphérique, rarement disponible, désengagé et obstructif. Les ponts de 2015 démontrent, composante par composante, que le noyau pertinent de cette image était faux ou sélectivement construit et que la demanderesse connaissait les faits contraires.</w:t>
      </w:r>
    </w:p>
    <w:p>
      <w:pPr>
        <w:pStyle w:val="BodyText"/>
      </w:pPr>
      <w:r>
        <w:t xml:space="preserve">L’efficacité de la substitution dépend donc de l’asymétrie d’information :</w:t>
      </w:r>
      <w:r>
        <w:t xml:space="preserve"> </w:t>
      </w:r>
      <w:r>
        <w:rPr>
          <w:b/>
        </w:rPr>
        <w:t xml:space="preserve">le père connaît R ; le Tribunal peut être conduit à décider à partir de R</w:t>
      </w:r>
      <w:r>
        <w:t xml:space="preserve">*.</w:t>
      </w:r>
    </w:p>
    <w:p>
      <w:pPr>
        <w:pStyle w:val="Heading3"/>
      </w:pPr>
      <w:bookmarkStart w:id="41" w:name="X629992b53aef5c3cd112c7d15a5c84186c8c905"/>
      <w:r>
        <w:t xml:space="preserve">2.5. La cause commune de l’échec des négociations et de la substitution</w:t>
      </w:r>
      <w:bookmarkEnd w:id="41"/>
    </w:p>
    <w:p>
      <w:pPr>
        <w:pStyle w:val="FirstParagraph"/>
      </w:pPr>
      <w:r>
        <w:t xml:space="preserve">Le père a effectivement refusé certaines modalités et formulé des positions fermes. La démonstration ne nie pas ce fait. Elle distingue toutefois la</w:t>
      </w:r>
      <w:r>
        <w:t xml:space="preserve"> </w:t>
      </w:r>
      <w:r>
        <w:rPr>
          <w:b/>
        </w:rPr>
        <w:t xml:space="preserve">cause première</w:t>
      </w:r>
      <w:r>
        <w:t xml:space="preserve"> </w:t>
      </w:r>
      <w:r>
        <w:t xml:space="preserve">de ses effets.</w:t>
      </w:r>
    </w:p>
    <w:p>
      <w:pPr>
        <w:pStyle w:val="BodyText"/>
      </w:pPr>
      <w:r>
        <w:t xml:space="preserve">La distribution de sa fermeté et de sa flexibilité est elle-même explicative. Le 21 mai, il formule trois options qu’il qualifie de « non négociables » : ce fait défavorable doit être concédé et montre qu’il n’est pas alors entièrement flexible. Sa position formelle du 2 septembre accepte toutefois le principe d’une progression, concède une transition jusqu’au 7 février 2016, laisse à la mère le choix des jours pour tenir compte de ses cours de danse et propose subsidiairement une alternance pour les fêtes. À ce stade, il est donc</w:t>
      </w:r>
      <w:r>
        <w:t xml:space="preserve"> </w:t>
      </w:r>
      <w:r>
        <w:rPr>
          <w:b/>
        </w:rPr>
        <w:t xml:space="preserve">ferme sur la garde partagée comme destination, mais flexible sur la transition et l’exécution</w:t>
      </w:r>
      <w:r>
        <w:t xml:space="preserve">.</w:t>
      </w:r>
    </w:p>
    <w:p>
      <w:pPr>
        <w:pStyle w:val="BodyText"/>
      </w:pPr>
      <w:r>
        <w:t xml:space="preserve">Cette distribution est cohérente avec l’absence de justification communiquée. Le père peut accommoder les moyens, le calendrier et les contraintes maternelles sans renoncer à la destination qu’il estime conforme à l’intérêt des enfants. En revanche, aucun raisonnement tiré de leur réalité ne lui est fourni pour justifier une réduction permanente de son rôle sous la forme d’une garde exclusive. Sa fermeté sur ce point ne constitue donc pas, par elle-même, un refus de l’amiable : elle est la conséquence prévisible du défaut de fondement de la concession définitive qu’on lui demande.</w:t>
      </w:r>
    </w:p>
    <w:p>
      <w:pPr>
        <w:pStyle w:val="BodyText"/>
      </w:pPr>
      <w:r>
        <w:t xml:space="preserve">La cause première alléguée ici est la suivante : la garde exclusive était maintenue comme conclusion sans être soumise, entre les parents, à une justification tirée de leur connaissance commune de la réalité des enfants. Deux conséquences parallèles en découlent :</w:t>
      </w:r>
    </w:p>
    <w:p>
      <w:pPr>
        <w:pStyle w:val="Compact"/>
        <w:numPr>
          <w:numId w:val="1003"/>
          <w:ilvl w:val="0"/>
        </w:numPr>
      </w:pPr>
      <w:r>
        <w:rPr>
          <w:b/>
        </w:rPr>
        <w:t xml:space="preserve">dans les négociations</w:t>
      </w:r>
      <w:r>
        <w:t xml:space="preserve">, le père devait consentir à une conclusion sans disposer du raisonnement reliant cette conclusion aux besoins réels des enfants ; placé lui aussi sous la norme de leur intérêt et connaissant les faits, il ne pouvait la ratifier de bonne foi sur la seule base des formules communiquées ; l’impasse en résulte ;</w:t>
      </w:r>
    </w:p>
    <w:p>
      <w:pPr>
        <w:pStyle w:val="Compact"/>
        <w:numPr>
          <w:numId w:val="1003"/>
          <w:ilvl w:val="0"/>
        </w:numPr>
      </w:pPr>
      <w:r>
        <w:rPr>
          <w:b/>
        </w:rPr>
        <w:t xml:space="preserve">devant le Tribunal</w:t>
      </w:r>
      <w:r>
        <w:t xml:space="preserve">, la même conclusion devait franchir le filtre de l’intérêt des enfants ; une représentation factuelle compatible avec elle devenait alors nécessaire ; le récit de désengagement historique remplit cette fonction.</w:t>
      </w:r>
    </w:p>
    <w:p>
      <w:pPr>
        <w:pStyle w:val="FirstParagraph"/>
      </w:pPr>
      <w:r>
        <w:t xml:space="preserve">L’échec des négociations et la substitution factuelle ne sont donc pas deux événements indépendants. Ils sont les</w:t>
      </w:r>
      <w:r>
        <w:t xml:space="preserve"> </w:t>
      </w:r>
      <w:r>
        <w:rPr>
          <w:b/>
        </w:rPr>
        <w:t xml:space="preserve">deux effets du même choix</w:t>
      </w:r>
      <w:r>
        <w:t xml:space="preserve"> </w:t>
      </w:r>
      <w:r>
        <w:t xml:space="preserve">: maintenir la conclusion sans laisser la réalité vécue des enfants en déterminer l’issue. Le §3 transforme ensuite l’un de ces effets — le refus de certaines modalités — en cause première de la saisine et efface l’autre — la substitution utilisée pour justifier la conclusion devant le Tribunal.</w:t>
      </w:r>
    </w:p>
    <w:p>
      <w:pPr>
        <w:pStyle w:val="Heading3"/>
      </w:pPr>
      <w:bookmarkStart w:id="42" w:name="la-chronologie-probatoire-complète"/>
      <w:r>
        <w:t xml:space="preserve">2.6. La chronologie probatoire complète</w:t>
      </w:r>
      <w:bookmarkEnd w:id="42"/>
    </w:p>
    <w:p>
      <w:pPr>
        <w:pStyle w:val="Compact"/>
        <w:numPr>
          <w:numId w:val="1004"/>
          <w:ilvl w:val="0"/>
        </w:numPr>
      </w:pPr>
      <w:r>
        <w:rPr>
          <w:b/>
        </w:rPr>
        <w:t xml:space="preserve">Juin 2013 — conception prospective.</w:t>
      </w:r>
      <w:r>
        <w:t xml:space="preserve"> </w:t>
      </w:r>
      <w:r>
        <w:t xml:space="preserve">P-1 fixe la garde exclusive comme objectif et propose de reconfigurer l’organisation familiale afin de créer un statu quo compatible avec elle.</w:t>
      </w:r>
    </w:p>
    <w:p>
      <w:pPr>
        <w:pStyle w:val="Compact"/>
        <w:numPr>
          <w:numId w:val="1004"/>
          <w:ilvl w:val="0"/>
        </w:numPr>
      </w:pPr>
      <w:r>
        <w:rPr>
          <w:b/>
        </w:rPr>
        <w:t xml:space="preserve">Février 2015 — changement de circonstances.</w:t>
      </w:r>
      <w:r>
        <w:t xml:space="preserve"> </w:t>
      </w:r>
      <w:r>
        <w:t xml:space="preserve">Le père quitte volontairement la résidence ; la mesure d’éviction projetée devient sans objet et la garde exclusive existe de facto.</w:t>
      </w:r>
    </w:p>
    <w:p>
      <w:pPr>
        <w:pStyle w:val="Compact"/>
        <w:numPr>
          <w:numId w:val="1004"/>
          <w:ilvl w:val="0"/>
        </w:numPr>
      </w:pPr>
      <w:r>
        <w:rPr>
          <w:b/>
        </w:rPr>
        <w:t xml:space="preserve">Avril à septembre 2015 — négociations privées.</w:t>
      </w:r>
      <w:r>
        <w:t xml:space="preserve"> </w:t>
      </w:r>
      <w:r>
        <w:t xml:space="preserve">La garde exclusive demeure la conclusion maternelle. Les propositions peuvent être sincères quant à l’élargissement progressif des accès, mais elles ne soumettent pas au père la thèse de danger de 2013 ni celle de désengagement historique de novembre 2015. Le lien entre la garde exclusive et la réalité vécue des enfants n’est pas exposé au-delà de l’âge, de la routine et de « circonstances » non identifiées.</w:t>
      </w:r>
    </w:p>
    <w:p>
      <w:pPr>
        <w:pStyle w:val="Compact"/>
        <w:numPr>
          <w:numId w:val="1004"/>
          <w:ilvl w:val="0"/>
        </w:numPr>
      </w:pPr>
      <w:r>
        <w:rPr>
          <w:b/>
        </w:rPr>
        <w:t xml:space="preserve">Novembre 2015 — justification judiciaire.</w:t>
      </w:r>
      <w:r>
        <w:t xml:space="preserve"> </w:t>
      </w:r>
      <w:r>
        <w:t xml:space="preserve">La Requête présente au Tribunal la thèse nouvelle du désengagement historique. Les ponts correspondants établissent la fausseté et la connaissance des composantes retenues.</w:t>
      </w:r>
    </w:p>
    <w:p>
      <w:pPr>
        <w:pStyle w:val="Compact"/>
        <w:numPr>
          <w:numId w:val="1004"/>
          <w:ilvl w:val="0"/>
        </w:numPr>
      </w:pPr>
      <w:r>
        <w:rPr>
          <w:b/>
        </w:rPr>
        <w:t xml:space="preserve">Janvier 2016 — formalisation.</w:t>
      </w:r>
      <w:r>
        <w:t xml:space="preserve"> </w:t>
      </w:r>
      <w:r>
        <w:t xml:space="preserve">Le jugement par défaut confie la garde à la mère et reprend l’horaire préexistant du dimanche de 16 h à 20 h.</w:t>
      </w:r>
    </w:p>
    <w:p>
      <w:pPr>
        <w:pStyle w:val="Compact"/>
        <w:numPr>
          <w:numId w:val="1004"/>
          <w:ilvl w:val="0"/>
        </w:numPr>
      </w:pPr>
      <w:r>
        <w:rPr>
          <w:b/>
        </w:rPr>
        <w:t xml:space="preserve">Octobre 2019 — réécriture causale et validation rétrospective.</w:t>
      </w:r>
      <w:r>
        <w:t xml:space="preserve"> </w:t>
      </w:r>
      <w:r>
        <w:t xml:space="preserve">Le §3 attribue la saisine au refus paternel et la procédure à la défense des droits des enfants; le §4 invoque immédiatement le jugement ayant formalisé la même routine, sans révéler ni l’origine du régime, ni l’absence de justification fondée sur les besoins réels, ni la substitution factuelle utilisée devant le Tribunal.</w:t>
      </w:r>
    </w:p>
    <w:p>
      <w:pPr>
        <w:pStyle w:val="Heading3"/>
      </w:pPr>
      <w:bookmarkStart w:id="43" w:name="répartition-des-fonctions-probatoires"/>
      <w:r>
        <w:t xml:space="preserve">2.7. Répartition des fonctions probatoires</w:t>
      </w:r>
      <w:bookmarkEnd w:id="43"/>
    </w:p>
    <w:p>
      <w:pPr>
        <w:pStyle w:val="Compact"/>
        <w:numPr>
          <w:numId w:val="1005"/>
          <w:ilvl w:val="0"/>
        </w:numPr>
      </w:pPr>
      <w:r>
        <w:rPr>
          <w:b/>
        </w:rPr>
        <w:t xml:space="preserve">P-1</w:t>
      </w:r>
      <w:r>
        <w:t xml:space="preserve"> </w:t>
      </w:r>
      <w:r>
        <w:t xml:space="preserve">établit la conclusion antérieure, la méthode prospective de reconfiguration et, surtout, la raison structurelle de cette méthode : rendre la situation compatible avec une conclusion fixée en amont.</w:t>
      </w:r>
    </w:p>
    <w:p>
      <w:pPr>
        <w:pStyle w:val="Compact"/>
        <w:numPr>
          <w:numId w:val="1005"/>
          <w:ilvl w:val="0"/>
        </w:numPr>
      </w:pPr>
      <w:r>
        <w:rPr>
          <w:b/>
        </w:rPr>
        <w:t xml:space="preserve">Les négociations de 2015</w:t>
      </w:r>
      <w:r>
        <w:t xml:space="preserve"> </w:t>
      </w:r>
      <w:r>
        <w:t xml:space="preserve">établissent le contraste entre les deux publics : la thèse historique ensuite présentée au Tribunal n’est pas débattue avec le père ; la conclusion lui est soumise sans le raisonnement factuel qui sera ultérieurement fourni au juge.</w:t>
      </w:r>
    </w:p>
    <w:p>
      <w:pPr>
        <w:pStyle w:val="Compact"/>
        <w:numPr>
          <w:numId w:val="1005"/>
          <w:ilvl w:val="0"/>
        </w:numPr>
      </w:pPr>
      <w:r>
        <w:rPr>
          <w:b/>
        </w:rPr>
        <w:t xml:space="preserve">Les ponts de novembre 2015</w:t>
      </w:r>
      <w:r>
        <w:t xml:space="preserve"> </w:t>
      </w:r>
      <w:r>
        <w:t xml:space="preserve">établissent indépendamment la fausseté matérielle et la connaissance de chaque composante retenue du récit substitué.</w:t>
      </w:r>
    </w:p>
    <w:p>
      <w:pPr>
        <w:pStyle w:val="Compact"/>
        <w:numPr>
          <w:numId w:val="1005"/>
          <w:ilvl w:val="0"/>
        </w:numPr>
      </w:pPr>
      <w:r>
        <w:rPr>
          <w:b/>
        </w:rPr>
        <w:t xml:space="preserve">Le §3 de 2019</w:t>
      </w:r>
      <w:r>
        <w:t xml:space="preserve"> </w:t>
      </w:r>
      <w:r>
        <w:t xml:space="preserve">réécrit la chaîne : il présente l’effet de l’impasse comme sa cause et attribue aux droits des enfants une procédure qui n’a pas utilisé leur réalité comme substrat de décision.</w:t>
      </w:r>
    </w:p>
    <w:p>
      <w:pPr>
        <w:pStyle w:val="Heading3"/>
      </w:pPr>
      <w:bookmarkStart w:id="44" w:name="X4fa14dff72678c5a40761015798ebbd9491408b"/>
      <w:r>
        <w:t xml:space="preserve">2.8. Connaissance du défendeur et portée de P-1</w:t>
      </w:r>
      <w:bookmarkEnd w:id="44"/>
    </w:p>
    <w:p>
      <w:pPr>
        <w:pStyle w:val="FirstParagraph"/>
      </w:pPr>
      <w:r>
        <w:t xml:space="preserve">Le 26 juin 2013, le défendeur écrit à sa propre avocate que « la sœur de ma conjointe est avocate et la guide de façon à me piéger », puis rattache cette perception aux messages selon lesquels il serait « agressif » et inspirerait la « peur » (</w:t>
      </w:r>
      <w:hyperlink r:id="rId45">
        <w:r>
          <w:rPr>
            <w:rStyle w:val="Hyperlink"/>
          </w:rPr>
          <w:t xml:space="preserve">thread 89 / email-365</w:t>
        </w:r>
      </w:hyperlink>
      <w:r>
        <w:t xml:space="preserve">). Cette pièce établit sa connaissance contemporaine de l’existence d’une stratégie et du registre de danger, sans établir à elle seule qu’il connaissait chaque terme de P-1.</w:t>
      </w:r>
    </w:p>
    <w:p>
      <w:pPr>
        <w:pStyle w:val="BodyText"/>
      </w:pPr>
      <w:r>
        <w:t xml:space="preserve">Le 15 mai 2015, il transmet à Me Poirier le document complet P-1, incluant le mécanisme de la routine (</w:t>
      </w:r>
      <w:hyperlink r:id="rId46">
        <w:r>
          <w:rPr>
            <w:rStyle w:val="Hyperlink"/>
          </w:rPr>
          <w:t xml:space="preserve">thread 116 / email-475</w:t>
        </w:r>
      </w:hyperlink>
      <w:r>
        <w:t xml:space="preserve">). Il explique simultanément les raisons de son refus et distingue ce refus des modalités proposées d’un refus de ses obligations parentales. Cette pièce rattache directement sa connaissance de P-1 aux négociations de 2015, sous réserve des questions de secret professionnel exposées plus loin.</w:t>
      </w:r>
    </w:p>
    <w:p>
      <w:pPr>
        <w:pStyle w:val="Heading3"/>
      </w:pPr>
      <w:bookmarkStart w:id="47" w:name="X1e9d88fae860d767a76313974d4f564fb30b275"/>
      <w:r>
        <w:t xml:space="preserve">2.9. Conclusion logique sur les deux faussetés</w:t>
      </w:r>
      <w:bookmarkEnd w:id="47"/>
    </w:p>
    <w:p>
      <w:pPr>
        <w:pStyle w:val="FirstParagraph"/>
      </w:pPr>
      <w:r>
        <w:rPr>
          <w:b/>
        </w:rPr>
        <w:t xml:space="preserve">Fausse cause.</w:t>
      </w:r>
      <w:r>
        <w:t xml:space="preserve"> </w:t>
      </w:r>
      <w:r>
        <w:t xml:space="preserve">Le fait que le père ait refusé certaines modalités est vrai, mais son emploi comme cause première est faux. Le cadre normatif exigeait de relier toute modalité à l’intérêt des enfants. Or la conclusion de garde exclusive lui a été soumise sans le raisonnement tiré de leur réalité commune qui aurait permis de la ratifier. L’impasse est l’effet de ce défaut de fondement communiqué ; elle n’est pas la cause autonome qui aurait obligé la demanderesse à saisir le Tribunal.</w:t>
      </w:r>
    </w:p>
    <w:p>
      <w:pPr>
        <w:pStyle w:val="BodyText"/>
      </w:pPr>
      <w:r>
        <w:rPr>
          <w:b/>
        </w:rPr>
        <w:t xml:space="preserve">Fausse finalité.</w:t>
      </w:r>
      <w:r>
        <w:t xml:space="preserve"> </w:t>
      </w:r>
      <w:r>
        <w:t xml:space="preserve">Faire valoir les droits des enfants exige que leur intérêt soit apprécié à partir de leur situation réelle. Les ponts de 2015 établissent que la Requête a plutôt fourni une image connue fausse du rôle paternel. Il n’est pas nécessaire de démontrer que la garde exclusive ne pouvait jamais servir l’intérêt des enfants : il suffit de démontrer que la procédure a volontairement fait appliquer la norme à</w:t>
      </w:r>
      <w:r>
        <w:t xml:space="preserve"> </w:t>
      </w:r>
      <w:r>
        <w:rPr>
          <w:b/>
        </w:rPr>
        <w:t xml:space="preserve">R</w:t>
      </w:r>
      <w:r>
        <w:t xml:space="preserve">* plutôt qu’à</w:t>
      </w:r>
      <w:r>
        <w:t xml:space="preserve"> </w:t>
      </w:r>
      <w:r>
        <w:rPr>
          <w:b/>
        </w:rPr>
        <w:t xml:space="preserve">R</w:t>
      </w:r>
      <w:r>
        <w:t xml:space="preserve">.</w:t>
      </w:r>
    </w:p>
    <w:p>
      <w:pPr>
        <w:pStyle w:val="BodyText"/>
      </w:pPr>
      <w:r>
        <w:t xml:space="preserve">→</w:t>
      </w:r>
      <w:r>
        <w:t xml:space="preserve"> </w:t>
      </w:r>
      <w:r>
        <w:rPr>
          <w:b/>
        </w:rPr>
        <w:t xml:space="preserve">P-1, les négociations et la Requête permettent d’observer le même défaut normatif à des moments distincts : la garde exclusive n’est pas rattachée à l’intérêt des enfants par un raisonnement partant de leur réalité réelle. P-1 aurait modifié l’organisation future ; la Requête modifie la représentation du passé ; les négociations ne communiquent au père aucun raisonnement complet fondé sur la réalité commune. Le §3 réécrit ensuite cette absence de justification comme conséquence du refus paternel et comme défense des droits des enfants.</w:t>
      </w:r>
    </w:p>
    <w:p>
      <w:pPr>
        <w:pStyle w:val="Heading2"/>
      </w:pPr>
      <w:bookmarkStart w:id="48" w:name="X1480d188ed3436f9851d80e351db9a0d33580ec"/>
      <w:r>
        <w:t xml:space="preserve">3. Force probatoire — appréciation calibrée (constat de revue)</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Force</w:t>
            </w:r>
          </w:p>
        </w:tc>
      </w:tr>
      <w:tr>
        <w:tc>
          <w:p>
            <w:pPr>
              <w:pStyle w:val="Compact"/>
              <w:jc w:val="left"/>
            </w:pPr>
            <w:r>
              <w:t xml:space="preserve">contre la</w:t>
            </w:r>
            <w:r>
              <w:t xml:space="preserve"> </w:t>
            </w:r>
            <w:r>
              <w:rPr>
                <w:b/>
              </w:rPr>
              <w:t xml:space="preserve">cause déclarée dominante</w:t>
            </w:r>
            <w:r>
              <w:t xml:space="preserve"> </w:t>
            </w:r>
            <w:r>
              <w:t xml:space="preserve">(« puisque […] obligée de saisir »)</w:t>
            </w:r>
          </w:p>
        </w:tc>
        <w:tc>
          <w:p>
            <w:pPr>
              <w:pStyle w:val="Compact"/>
              <w:jc w:val="left"/>
            </w:pPr>
            <w:r>
              <w:rPr>
                <w:b/>
              </w:rPr>
              <w:t xml:space="preserve">forte comme inversion causale</w:t>
            </w:r>
            <w:r>
              <w:t xml:space="preserve"> </w:t>
            </w:r>
            <w:r>
              <w:t xml:space="preserve">— participation du père aux négociations, refus réciproques, absence de justification tirée de la réalité commune, P-1 comme planification du mécanisme et récit substitué en 2015</w:t>
            </w:r>
          </w:p>
        </w:tc>
      </w:tr>
      <w:tr>
        <w:tc>
          <w:p>
            <w:pPr>
              <w:pStyle w:val="Compact"/>
              <w:jc w:val="left"/>
            </w:pPr>
            <w:r>
              <w:t xml:space="preserve">pour nier que le refus paternel ait été</w:t>
            </w:r>
            <w:r>
              <w:t xml:space="preserve"> </w:t>
            </w:r>
            <w:r>
              <w:rPr>
                <w:b/>
              </w:rPr>
              <w:t xml:space="preserve">une condition factuelle contributive</w:t>
            </w:r>
            <w:r>
              <w:t xml:space="preserve"> </w:t>
            </w:r>
            <w:r>
              <w:t xml:space="preserve">de la saisine</w:t>
            </w:r>
          </w:p>
        </w:tc>
        <w:tc>
          <w:p>
            <w:pPr>
              <w:pStyle w:val="Compact"/>
              <w:jc w:val="left"/>
            </w:pPr>
            <w:r>
              <w:rPr>
                <w:b/>
              </w:rPr>
              <w:t xml:space="preserve">insuffisante</w:t>
            </w:r>
            <w:r>
              <w:t xml:space="preserve"> </w:t>
            </w:r>
            <w:r>
              <w:t xml:space="preserve">— sans accord, une décision judiciaire demeurait nécessaire ; le moyen doit attaquer son élévation en cause première et suffisante, non nier toute contribution causale</w:t>
            </w:r>
          </w:p>
        </w:tc>
      </w:tr>
      <w:tr>
        <w:tc>
          <w:p>
            <w:pPr>
              <w:pStyle w:val="Compact"/>
              <w:jc w:val="left"/>
            </w:pPr>
            <w:r>
              <w:t xml:space="preserve">pour affirmer que le père</w:t>
            </w:r>
            <w:r>
              <w:t xml:space="preserve"> </w:t>
            </w:r>
            <w:r>
              <w:rPr>
                <w:b/>
              </w:rPr>
              <w:t xml:space="preserve">n’a jamais refusé</w:t>
            </w:r>
            <w:r>
              <w:t xml:space="preserve"> </w:t>
            </w:r>
            <w:r>
              <w:t xml:space="preserve">de régler</w:t>
            </w:r>
          </w:p>
        </w:tc>
        <w:tc>
          <w:p>
            <w:pPr>
              <w:pStyle w:val="Compact"/>
              <w:jc w:val="left"/>
            </w:pPr>
            <w:r>
              <w:rPr>
                <w:b/>
              </w:rPr>
              <w:t xml:space="preserve">insuffisante</w:t>
            </w:r>
            <w:r>
              <w:t xml:space="preserve"> </w:t>
            </w:r>
            <w:r>
              <w:t xml:space="preserve">— il a refusé les propositions maternelles ;</w:t>
            </w:r>
            <w:r>
              <w:t xml:space="preserve"> </w:t>
            </w:r>
            <w:r>
              <w:rPr>
                <w:b/>
              </w:rPr>
              <w:t xml:space="preserve">ne pas plaider « il n’a rien refusé »</w:t>
            </w:r>
          </w:p>
        </w:tc>
      </w:tr>
      <w:tr>
        <w:tc>
          <w:p>
            <w:pPr>
              <w:pStyle w:val="Compact"/>
              <w:jc w:val="left"/>
            </w:pPr>
            <w:r>
              <w:t xml:space="preserve">contre la</w:t>
            </w:r>
            <w:r>
              <w:t xml:space="preserve"> </w:t>
            </w:r>
            <w:r>
              <w:rPr>
                <w:b/>
              </w:rPr>
              <w:t xml:space="preserve">fonction objective déclarée</w:t>
            </w:r>
            <w:r>
              <w:t xml:space="preserve"> </w:t>
            </w:r>
            <w:r>
              <w:t xml:space="preserve">(« faire valoir les droits des enfants »)</w:t>
            </w:r>
          </w:p>
        </w:tc>
        <w:tc>
          <w:p>
            <w:pPr>
              <w:pStyle w:val="Compact"/>
              <w:jc w:val="left"/>
            </w:pPr>
            <w:r>
              <w:rPr>
                <w:b/>
              </w:rPr>
              <w:t xml:space="preserve">forte par incorporation</w:t>
            </w:r>
            <w:r>
              <w:t xml:space="preserve"> </w:t>
            </w:r>
            <w:r>
              <w:t xml:space="preserve">— les ponts et la synthèse 2015 établissent le noyau connu faux substitué à la réalité des enfants ; P-1 en établit la fonction planifiée</w:t>
            </w:r>
          </w:p>
        </w:tc>
      </w:tr>
      <w:tr>
        <w:tc>
          <w:p>
            <w:pPr>
              <w:pStyle w:val="Compact"/>
              <w:jc w:val="left"/>
            </w:pPr>
            <w:r>
              <w:t xml:space="preserve">pour exclure toute</w:t>
            </w:r>
            <w:r>
              <w:t xml:space="preserve"> </w:t>
            </w:r>
            <w:r>
              <w:rPr>
                <w:b/>
              </w:rPr>
              <w:t xml:space="preserve">préoccupation subjective concurrente</w:t>
            </w:r>
            <w:r>
              <w:t xml:space="preserve"> </w:t>
            </w:r>
            <w:r>
              <w:t xml:space="preserve">pour les enfants</w:t>
            </w:r>
          </w:p>
        </w:tc>
        <w:tc>
          <w:p>
            <w:pPr>
              <w:pStyle w:val="Compact"/>
              <w:jc w:val="left"/>
            </w:pPr>
            <w:r>
              <w:rPr>
                <w:b/>
              </w:rPr>
              <w:t xml:space="preserve">insuffisante et non nécessaire</w:t>
            </w:r>
            <w:r>
              <w:t xml:space="preserve"> </w:t>
            </w:r>
            <w:r>
              <w:t xml:space="preserve">— une croyance sincère dans le résultat pourrait coexister avec l’usage intentionnel de faits faux ; la réfutation porte sur le processus et ses prémisses</w:t>
            </w:r>
          </w:p>
        </w:tc>
      </w:tr>
      <w:tr>
        <w:tc>
          <w:p>
            <w:pPr>
              <w:pStyle w:val="Compact"/>
              <w:jc w:val="left"/>
            </w:pPr>
            <w:r>
              <w:t xml:space="preserve">connaissance de la</w:t>
            </w:r>
            <w:r>
              <w:t xml:space="preserve"> </w:t>
            </w:r>
            <w:r>
              <w:rPr>
                <w:b/>
              </w:rPr>
              <w:t xml:space="preserve">fausse cause</w:t>
            </w:r>
          </w:p>
        </w:tc>
        <w:tc>
          <w:p>
            <w:pPr>
              <w:pStyle w:val="Compact"/>
              <w:jc w:val="left"/>
            </w:pPr>
            <w:r>
              <w:rPr>
                <w:b/>
              </w:rPr>
              <w:t xml:space="preserve">forte à très forte</w:t>
            </w:r>
            <w:r>
              <w:t xml:space="preserve"> </w:t>
            </w:r>
            <w:r>
              <w:t xml:space="preserve">— la demanderesse connaissait ses refus, les offres du père et l’absence de débat sur la thèse ensuite soumise</w:t>
            </w:r>
          </w:p>
        </w:tc>
      </w:tr>
      <w:tr>
        <w:tc>
          <w:p>
            <w:pPr>
              <w:pStyle w:val="Compact"/>
              <w:jc w:val="left"/>
            </w:pPr>
            <w:r>
              <w:t xml:space="preserve">connaissance de la</w:t>
            </w:r>
            <w:r>
              <w:t xml:space="preserve"> </w:t>
            </w:r>
            <w:r>
              <w:rPr>
                <w:b/>
              </w:rPr>
              <w:t xml:space="preserve">fausse finalité</w:t>
            </w:r>
          </w:p>
        </w:tc>
        <w:tc>
          <w:p>
            <w:pPr>
              <w:pStyle w:val="Compact"/>
              <w:jc w:val="left"/>
            </w:pPr>
            <w:r>
              <w:rPr>
                <w:b/>
              </w:rPr>
              <w:t xml:space="preserve">forte sur le noyau connu faux</w:t>
            </w:r>
            <w:r>
              <w:t xml:space="preserve"> </w:t>
            </w:r>
            <w:r>
              <w:t xml:space="preserve">— participation personnelle aux faits contraires, propres communications, offres reçues et usage documenté des assurances</w:t>
            </w:r>
          </w:p>
        </w:tc>
      </w:tr>
      <w:tr>
        <w:tc>
          <w:p>
            <w:pPr>
              <w:pStyle w:val="Compact"/>
              <w:jc w:val="left"/>
            </w:pPr>
            <w:r>
              <w:t xml:space="preserve">pour établir que la</w:t>
            </w:r>
            <w:r>
              <w:t xml:space="preserve"> </w:t>
            </w:r>
            <w:r>
              <w:rPr>
                <w:b/>
              </w:rPr>
              <w:t xml:space="preserve">conclusion a précédé et gouverné le choix du substrat factuel</w:t>
            </w:r>
          </w:p>
        </w:tc>
        <w:tc>
          <w:p>
            <w:pPr>
              <w:pStyle w:val="Compact"/>
              <w:jc w:val="left"/>
            </w:pPr>
            <w:r>
              <w:rPr>
                <w:b/>
              </w:rPr>
              <w:t xml:space="preserve">forte comme inférence structurelle</w:t>
            </w:r>
            <w:r>
              <w:t xml:space="preserve"> </w:t>
            </w:r>
            <w:r>
              <w:t xml:space="preserve">— P-1 part de la conclusion et propose de modifier la situation ; la Requête part de la même conclusion et lui associe un récit connu faux ; les négociations n’exposent pas ce récit au père</w:t>
            </w:r>
          </w:p>
        </w:tc>
      </w:tr>
      <w:tr>
        <w:tc>
          <w:p>
            <w:pPr>
              <w:pStyle w:val="Compact"/>
              <w:jc w:val="left"/>
            </w:pPr>
            <w:r>
              <w:rPr>
                <w:b/>
              </w:rPr>
              <w:t xml:space="preserve">comparaison structurelle P-1 / Requête 2015</w:t>
            </w:r>
          </w:p>
        </w:tc>
        <w:tc>
          <w:p>
            <w:pPr>
              <w:pStyle w:val="Compact"/>
              <w:jc w:val="left"/>
            </w:pPr>
            <w:r>
              <w:rPr>
                <w:b/>
              </w:rPr>
              <w:t xml:space="preserve">très forte quant au défaut de raisonnement</w:t>
            </w:r>
            <w:r>
              <w:t xml:space="preserve"> </w:t>
            </w:r>
            <w:r>
              <w:t xml:space="preserve">— dans les deux documents, la garde exclusive n’est pas déduite de l’intérêt des enfants à partir de leur réalité réelle ; une situation compatible est plutôt produite prospectivement ou représentée rétrospectivement</w:t>
            </w:r>
          </w:p>
        </w:tc>
      </w:tr>
      <w:tr>
        <w:tc>
          <w:p>
            <w:pPr>
              <w:pStyle w:val="Compact"/>
              <w:jc w:val="left"/>
            </w:pPr>
            <w:r>
              <w:t xml:space="preserve">pour attribuer à Me Ayoub la</w:t>
            </w:r>
            <w:r>
              <w:t xml:space="preserve"> </w:t>
            </w:r>
            <w:r>
              <w:rPr>
                <w:b/>
              </w:rPr>
              <w:t xml:space="preserve">Requête de 2015 ou des instructions à Me Ferreira</w:t>
            </w:r>
          </w:p>
        </w:tc>
        <w:tc>
          <w:p>
            <w:pPr>
              <w:pStyle w:val="Compact"/>
              <w:jc w:val="left"/>
            </w:pPr>
            <w:r>
              <w:rPr>
                <w:b/>
              </w:rPr>
              <w:t xml:space="preserve">aucune portée</w:t>
            </w:r>
            <w:r>
              <w:t xml:space="preserve"> </w:t>
            </w:r>
            <w:r>
              <w:t xml:space="preserve">— Me Ferreira a rédigé la Requête ; la comparaison n’a pas cet objet et aucune communication entre les avocates n’est inférée sans preuve distincte</w:t>
            </w:r>
          </w:p>
        </w:tc>
      </w:tr>
      <w:tr>
        <w:tc>
          <w:p>
            <w:pPr>
              <w:pStyle w:val="Compact"/>
              <w:jc w:val="left"/>
            </w:pPr>
            <w:r>
              <w:t xml:space="preserve">pour introduire</w:t>
            </w:r>
            <w:r>
              <w:t xml:space="preserve"> </w:t>
            </w:r>
            <w:r>
              <w:rPr>
                <w:b/>
              </w:rPr>
              <w:t xml:space="preserve">P-1 comme socle causal</w:t>
            </w:r>
          </w:p>
        </w:tc>
        <w:tc>
          <w:p>
            <w:pPr>
              <w:pStyle w:val="Compact"/>
              <w:jc w:val="left"/>
            </w:pPr>
            <w:r>
              <w:rPr>
                <w:b/>
              </w:rPr>
              <w:t xml:space="preserve">forte sous réserve de la chaîne complète</w:t>
            </w:r>
            <w:r>
              <w:t xml:space="preserve"> </w:t>
            </w:r>
            <w:r>
              <w:t xml:space="preserve">— P-1 documente non seulement la planification d’une reconfiguration, mais la cause de son besoin : faire franchir le filtre de l’intérêt des enfants à une conclusion fixée sans laisser leur réalité gouverner l’issue</w:t>
            </w:r>
          </w:p>
        </w:tc>
      </w:tr>
      <w:tr>
        <w:tc>
          <w:p>
            <w:pPr>
              <w:pStyle w:val="Compact"/>
              <w:jc w:val="left"/>
            </w:pPr>
            <w:r>
              <w:rPr>
                <w:b/>
              </w:rPr>
              <w:t xml:space="preserve">boucle routine → demande → jugement → validation rétrospective</w:t>
            </w:r>
          </w:p>
        </w:tc>
        <w:tc>
          <w:p>
            <w:pPr>
              <w:pStyle w:val="Compact"/>
              <w:jc w:val="left"/>
            </w:pPr>
            <w:r>
              <w:rPr>
                <w:b/>
              </w:rPr>
              <w:t xml:space="preserve">forte sur la chronologie documentaire</w:t>
            </w:r>
            <w:r>
              <w:t xml:space="preserve"> </w:t>
            </w:r>
            <w:r>
              <w:t xml:space="preserve">— horaire initial concédé, routine invoquée en avril, accès hebdomadaire demandé en novembre, même horaire formalisé en janvier, jugement invoqué immédiatement après le §3 en 2019 ; la portée normative demeure une inférence</w:t>
            </w:r>
          </w:p>
        </w:tc>
      </w:tr>
      <w:tr>
        <w:tc>
          <w:p>
            <w:pPr>
              <w:pStyle w:val="Compact"/>
              <w:jc w:val="left"/>
            </w:pPr>
            <w:r>
              <w:t xml:space="preserve">pour affirmer que la garde exclusive était</w:t>
            </w:r>
            <w:r>
              <w:t xml:space="preserve"> </w:t>
            </w:r>
            <w:r>
              <w:rPr>
                <w:b/>
              </w:rPr>
              <w:t xml:space="preserve">nécessairement contraire</w:t>
            </w:r>
            <w:r>
              <w:t xml:space="preserve"> </w:t>
            </w:r>
            <w:r>
              <w:t xml:space="preserve">à l’intérêt des enfants</w:t>
            </w:r>
          </w:p>
        </w:tc>
        <w:tc>
          <w:p>
            <w:pPr>
              <w:pStyle w:val="Compact"/>
              <w:jc w:val="left"/>
            </w:pPr>
            <w:r>
              <w:rPr>
                <w:b/>
              </w:rPr>
              <w:t xml:space="preserve">non requis et non démontré par ce pont</w:t>
            </w:r>
            <w:r>
              <w:t xml:space="preserve"> </w:t>
            </w:r>
            <w:r>
              <w:t xml:space="preserve">— la critique porte sur le substrat factuel intentionnellement substitué, non sur l’impossibilité abstraite du résultat</w:t>
            </w:r>
          </w:p>
        </w:tc>
      </w:tr>
    </w:tbl>
    <w:p>
      <w:pPr>
        <w:pStyle w:val="Heading3"/>
      </w:pPr>
      <w:bookmarkStart w:id="49" w:name="audit-de-complétude"/>
      <w:r>
        <w:t xml:space="preserve">3.1. Audit de complétude</w:t>
      </w:r>
      <w:bookmarkEnd w:id="49"/>
    </w:p>
    <w:p>
      <w:pPr>
        <w:pStyle w:val="FirstParagraph"/>
      </w:pPr>
      <w:r>
        <w:rPr>
          <w:b/>
        </w:rPr>
        <w:t xml:space="preserve">Complet sur le raisonnement.</w:t>
      </w:r>
      <w:r>
        <w:t xml:space="preserve"> </w:t>
      </w:r>
      <w:r>
        <w:t xml:space="preserve">Le pont contient désormais : l’allégation exacte ; sa décomposition ; un bloc de 31 faits sourcés ; le cadre normatif ; la démonstration intégrale du défaut de justification malgré les occasions ; la démonstration intégrale de la substitution factuelle ; la démonstration intégrale de la boucle de consolidation ; l’incompatibilité concrète entre la présence paternelle et la continuité maternelle recherchée ; les deux publics et leur asymétrie d’information ; la cause commune de l’impasse et de la substitution ; la connaissance ; les contre-thèses ; les limites ; les pièces nécessaires ; et une version procédurale distillée.</w:t>
      </w:r>
    </w:p>
    <w:p>
      <w:pPr>
        <w:pStyle w:val="BodyText"/>
      </w:pPr>
      <w:r>
        <w:rPr>
          <w:b/>
        </w:rPr>
        <w:t xml:space="preserve">Non complet sur la préparation de la preuve.</w:t>
      </w:r>
      <w:r>
        <w:t xml:space="preserve"> </w:t>
      </w:r>
      <w:r>
        <w:t xml:space="preserve">Quatre conditions demeurent extérieures au raisonnement :</w:t>
      </w:r>
    </w:p>
    <w:p>
      <w:pPr>
        <w:pStyle w:val="Compact"/>
        <w:numPr>
          <w:numId w:val="1006"/>
          <w:ilvl w:val="0"/>
        </w:numPr>
      </w:pPr>
      <w:r>
        <w:t xml:space="preserve">la synthèse 2015 doit demeurer à jour avec la force propre de chaque pont incorporé ;</w:t>
      </w:r>
    </w:p>
    <w:p>
      <w:pPr>
        <w:pStyle w:val="Compact"/>
        <w:numPr>
          <w:numId w:val="1006"/>
          <w:ilvl w:val="0"/>
        </w:numPr>
      </w:pPr>
      <w:r>
        <w:t xml:space="preserve">les pièces doivent recevoir leurs cotes finales et certaines extractions restent à faire ;</w:t>
      </w:r>
    </w:p>
    <w:p>
      <w:pPr>
        <w:pStyle w:val="Compact"/>
        <w:numPr>
          <w:numId w:val="1006"/>
          <w:ilvl w:val="0"/>
        </w:numPr>
      </w:pPr>
      <w:r>
        <w:t xml:space="preserve">la recevabilité de P-1 et la portée du secret professionnel doivent être tranchées ;</w:t>
      </w:r>
    </w:p>
    <w:p>
      <w:pPr>
        <w:pStyle w:val="Compact"/>
        <w:numPr>
          <w:numId w:val="1006"/>
          <w:ilvl w:val="0"/>
        </w:numPr>
      </w:pPr>
      <w:r>
        <w:t xml:space="preserve">le privilège relatif aux négociations d’avril à septembre 2015 doit être tranché ou le moyen doit être plaidé sur la preuve admissible indépendante.</w:t>
      </w:r>
    </w:p>
    <w:p>
      <w:pPr>
        <w:pStyle w:val="FirstParagraph"/>
      </w:pPr>
      <w:r>
        <w:rPr>
          <w:b/>
        </w:rPr>
        <w:t xml:space="preserve">Proposition la plus forte.</w:t>
      </w:r>
      <w:r>
        <w:t xml:space="preserve"> </w:t>
      </w:r>
      <w:r>
        <w:t xml:space="preserve">La Requête a soumis au Tribunal un noyau factuel absent des négociations, faux et connu comme tel, tandis que P-1 documentait antérieurement une opération structurellement comparable. P-1 aurait modifié</w:t>
      </w:r>
      <w:r>
        <w:t xml:space="preserve"> </w:t>
      </w:r>
      <w:r>
        <w:rPr>
          <w:b/>
        </w:rPr>
        <w:t xml:space="preserve">la situation</w:t>
      </w:r>
      <w:r>
        <w:t xml:space="preserve"> </w:t>
      </w:r>
      <w:r>
        <w:t xml:space="preserve">en réduisant prospectivement la présence du père, puis aurait présenté la routine produite comme continuité. La Requête modifie</w:t>
      </w:r>
      <w:r>
        <w:t xml:space="preserve"> </w:t>
      </w:r>
      <w:r>
        <w:rPr>
          <w:b/>
        </w:rPr>
        <w:t xml:space="preserve">la représentation de l’histoire</w:t>
      </w:r>
      <w:r>
        <w:t xml:space="preserve"> </w:t>
      </w:r>
      <w:r>
        <w:t xml:space="preserve">en effaçant rétrospectivement cette présence, puis présente le père périphérique comme continuité. La comparaison démontre le même défaut dans les deux exercices : aucun raisonnement ne part de la réalité réelle des enfants pour établir en quoi la garde exclusive répond à leur intérêt ; une réalité compatible avec cette conclusion est plutôt produite ou représentée.</w:t>
      </w:r>
    </w:p>
    <w:p>
      <w:pPr>
        <w:pStyle w:val="BodyText"/>
      </w:pPr>
      <w:r>
        <w:rPr>
          <w:b/>
        </w:rPr>
        <w:t xml:space="preserve">Proposition la plus vulnérable.</w:t>
      </w:r>
      <w:r>
        <w:t xml:space="preserve"> </w:t>
      </w:r>
      <w:r>
        <w:t xml:space="preserve">Dire que le refus du père n’a joué absolument aucun rôle causal ou qu’aucune préoccupation pour les enfants n’a pu coexister avec la stratégie excéderait la preuve. La formulation sûre est que le §3</w:t>
      </w:r>
      <w:r>
        <w:t xml:space="preserve"> </w:t>
      </w:r>
      <w:r>
        <w:rPr>
          <w:b/>
        </w:rPr>
        <w:t xml:space="preserve">élève un effet contributif en cause suffisante</w:t>
      </w:r>
      <w:r>
        <w:t xml:space="preserve">, efface la fermeture préalable de la conclusion et présente comme défense des droits un processus fondé sur un substrat factuel intentionnellement substitué.</w:t>
      </w:r>
    </w:p>
    <w:p>
      <w:pPr>
        <w:pStyle w:val="BodyText"/>
      </w:pPr>
      <w:r>
        <w:rPr>
          <w:b/>
        </w:rPr>
        <w:t xml:space="preserve">Le meilleur angle (à mener) :</w:t>
      </w:r>
      <w:r>
        <w:t xml:space="preserve"> </w:t>
      </w:r>
      <w:r>
        <w:rPr>
          <w:i/>
        </w:rPr>
        <w:t xml:space="preserve">le défendeur a refusé certaines modalités, mais il a proposé la garde partagée et accepté une transition. Durant les négociations, la garde exclusive lui a été soumise sans le raisonnement tiré de la réalité commune qui aurait permis de la rattacher à l’intérêt des enfants. Devant le Tribunal, une thèse nouvelle de désengagement historique a rempli cette fonction ; les ponts de 2015 en démontrent le noyau faux et connu comme tel. P-1 explique pourquoi cette substitution devient nécessaire : lorsque la conclusion est fixée sans laisser la réalité gouverner l’issue, la situation ou sa représentation doit être rendue compatible avec elle. Le §3 transforme l’effet de cette fermeture — l’impasse — en cause première de la saisine.</w:t>
      </w:r>
    </w:p>
    <w:p>
      <w:pPr>
        <w:pStyle w:val="BodyText"/>
      </w:pPr>
      <w:r>
        <w:rPr>
          <w:b/>
        </w:rPr>
        <w:t xml:space="preserve">Connaissance des deux faussetés.</w:t>
      </w:r>
      <w:r>
        <w:t xml:space="preserve"> </w:t>
      </w:r>
      <w:r>
        <w:t xml:space="preserve">La connaissance de la cause fausse découle de la participation personnelle de la demanderesse aux négociations : elle connaissait ses propres refus, les offres et concessions du père et l’absence de débat sur le récit historique ensuite présenté. La connaissance de la finalité fausse découle des ponts de 2015 : pour le noyau retenu, elle avait vécu les faits contraires, détenait ou avait transmis les communications pertinentes et utilisait elle-même les assurances dont elle alléguait que l’usage lui était refusé. En jurant le §3 en 2019, elle connaissait donc à la fois la séquence réelle ayant mené à la saisine et la nature fabriquée de l’image présentée comme celle des enfants.</w:t>
      </w:r>
    </w:p>
    <w:p>
      <w:pPr>
        <w:pStyle w:val="BodyText"/>
      </w:pPr>
      <w:r>
        <w:rPr>
          <w:b/>
        </w:rPr>
        <w:t xml:space="preserve">Limite volontaire.</w:t>
      </w:r>
      <w:r>
        <w:t xml:space="preserve"> </w:t>
      </w:r>
      <w:r>
        <w:t xml:space="preserve">Cette conclusion ne s’étend pas indistinctement à tous les paragraphes de la Requête. Les faits exacts (§31 et §56), les demi-vérités décontextualisées et les énoncés seulement non étayés sont traités selon leur force propre. La fausse finalité repose sur le noyau affirmativement contredit et connu faux, non sur une prétention que chaque phrase de la Requête serait fausse.</w:t>
      </w:r>
    </w:p>
    <w:p>
      <w:pPr>
        <w:pStyle w:val="Compact"/>
        <w:numPr>
          <w:numId w:val="1007"/>
          <w:ilvl w:val="0"/>
        </w:numPr>
      </w:pPr>
      <w:r>
        <w:rPr>
          <w:b/>
        </w:rPr>
        <w:t xml:space="preserve">Niveau immédiat</w:t>
      </w:r>
      <w:r>
        <w:t xml:space="preserve"> </w:t>
      </w:r>
      <w:r>
        <w:t xml:space="preserve">: tient sans la théorie générale (P-2, offres et concessions contemporaines).</w:t>
      </w:r>
      <w:r>
        <w:t xml:space="preserve"> </w:t>
      </w:r>
      <w:r>
        <w:rPr>
          <w:b/>
        </w:rPr>
        <w:t xml:space="preserve">Niveau central</w:t>
      </w:r>
      <w:r>
        <w:t xml:space="preserve"> </w:t>
      </w:r>
      <w:r>
        <w:t xml:space="preserve">: structurel, à réserver aux moyens ; il présuppose que les déformations de 2013 et de 2015 soient établies par leurs démonstrations autonomes (§14-17, §6 et analyse maîtresse P-1).</w:t>
      </w:r>
    </w:p>
    <w:p>
      <w:pPr>
        <w:pStyle w:val="Compact"/>
        <w:numPr>
          <w:numId w:val="1007"/>
          <w:ilvl w:val="0"/>
        </w:numPr>
      </w:pPr>
      <w:r>
        <w:rPr>
          <w:b/>
        </w:rPr>
        <w:t xml:space="preserve">Autorat</w:t>
      </w:r>
      <w:r>
        <w:t xml:space="preserve"> </w:t>
      </w:r>
      <w:r>
        <w:t xml:space="preserve">: §3 = énoncé</w:t>
      </w:r>
      <w:r>
        <w:t xml:space="preserve"> </w:t>
      </w:r>
      <w:r>
        <w:rPr>
          <w:b/>
        </w:rPr>
        <w:t xml:space="preserve">de 2019</w:t>
      </w:r>
      <w:r>
        <w:t xml:space="preserve">, rédigé par Me Ayoub et juré par Élise ; la rédaction et la déclaration doivent être attribuées séparément. La Requête de 2015, elle, est rédigée par Me Ferreira et jurée par Élise.</w:t>
      </w:r>
    </w:p>
    <w:p>
      <w:pPr>
        <w:pStyle w:val="Heading2"/>
      </w:pPr>
      <w:bookmarkStart w:id="50" w:name="faits-essentiels-plaidables"/>
      <w:r>
        <w:t xml:space="preserve">4. Faits essentiels plaidables</w:t>
      </w:r>
      <w:bookmarkEnd w:id="50"/>
    </w:p>
    <w:p>
      <w:pPr>
        <w:pStyle w:val="FirstParagraph"/>
      </w:pPr>
      <w:r>
        <w:rPr>
          <w:i/>
        </w:rPr>
        <w:t xml:space="preserve">(strictement chronologiques et plats)</w:t>
      </w:r>
    </w:p>
    <w:p>
      <w:pPr>
        <w:pStyle w:val="Heading3"/>
      </w:pPr>
      <w:bookmarkStart w:id="51" w:name="X4a53aa5067f2ed51010d0e6bc841a57014db0a1"/>
      <w:r>
        <w:t xml:space="preserve">A. P-1 — conclusion, mesure et routine projetées</w:t>
      </w:r>
      <w:bookmarkEnd w:id="51"/>
    </w:p>
    <w:p>
      <w:pPr>
        <w:numPr>
          <w:numId w:val="1008"/>
          <w:ilvl w:val="0"/>
        </w:numPr>
      </w:pPr>
      <w:r>
        <w:t xml:space="preserve">Le 11 juin 2013, Me Marie-Josée Ayoub écrit P-1 à Élise Ayoub et présente « le plan » qu’elle suivrait comme avocate (</w:t>
      </w:r>
      <w:hyperlink r:id="rId52">
        <w:r>
          <w:rPr>
            <w:rStyle w:val="Hyperlink"/>
          </w:rPr>
          <w:t xml:space="preserve">piece_pdf-1.md</w:t>
        </w:r>
      </w:hyperlink>
      <w:r>
        <w:t xml:space="preserve">).</w:t>
      </w:r>
    </w:p>
    <w:p>
      <w:pPr>
        <w:numPr>
          <w:numId w:val="1008"/>
          <w:ilvl w:val="0"/>
        </w:numPr>
      </w:pPr>
      <w:r>
        <w:t xml:space="preserve">P-1 identifie la garde maternelle comme la conclusion recherchée : « Tu veux avoir la garde et lui puisse voir les enfants plusieurs fois par semaine » (</w:t>
      </w:r>
      <w:hyperlink r:id="rId52">
        <w:r>
          <w:rPr>
            <w:rStyle w:val="Hyperlink"/>
          </w:rPr>
          <w:t xml:space="preserve">piece_pdf-1.md</w:t>
        </w:r>
      </w:hyperlink>
      <w:r>
        <w:t xml:space="preserve">, C4).</w:t>
      </w:r>
    </w:p>
    <w:p>
      <w:pPr>
        <w:numPr>
          <w:numId w:val="1008"/>
          <w:ilvl w:val="0"/>
        </w:numPr>
      </w:pPr>
      <w:r>
        <w:t xml:space="preserve">P-1 affirme qu’Alexia vit dans la violence conjugale depuis sa naissance et que sa sécurité et son développement sont compromis (</w:t>
      </w:r>
      <w:hyperlink r:id="rId52">
        <w:r>
          <w:rPr>
            <w:rStyle w:val="Hyperlink"/>
          </w:rPr>
          <w:t xml:space="preserve">piece_pdf-1.md</w:t>
        </w:r>
      </w:hyperlink>
      <w:r>
        <w:t xml:space="preserve">, C1).</w:t>
      </w:r>
    </w:p>
    <w:p>
      <w:pPr>
        <w:numPr>
          <w:numId w:val="1008"/>
          <w:ilvl w:val="0"/>
        </w:numPr>
      </w:pPr>
      <w:r>
        <w:t xml:space="preserve">P-1 prévoit une garde exclusive urgente, des droits d’accès sans coucher pour le père et sa relocalisation hors de la résidence familiale (</w:t>
      </w:r>
      <w:hyperlink r:id="rId52">
        <w:r>
          <w:rPr>
            <w:rStyle w:val="Hyperlink"/>
          </w:rPr>
          <w:t xml:space="preserve">piece_pdf-1.md</w:t>
        </w:r>
      </w:hyperlink>
      <w:r>
        <w:t xml:space="preserve">, C3 et C5).</w:t>
      </w:r>
    </w:p>
    <w:p>
      <w:pPr>
        <w:numPr>
          <w:numId w:val="1008"/>
          <w:ilvl w:val="0"/>
        </w:numPr>
      </w:pPr>
      <w:r>
        <w:t xml:space="preserve">P-1 prévoit que, pendant la procédure, les enfants demeureront avec leur mère, qu’un « précédent » et une routine mère-enfants s’installeront, puis que les juges hésiteront à modifier ce qui fonctionne (</w:t>
      </w:r>
      <w:hyperlink r:id="rId52">
        <w:r>
          <w:rPr>
            <w:rStyle w:val="Hyperlink"/>
          </w:rPr>
          <w:t xml:space="preserve">piece_pdf-1.md</w:t>
        </w:r>
      </w:hyperlink>
      <w:r>
        <w:t xml:space="preserve">, C4).</w:t>
      </w:r>
    </w:p>
    <w:p>
      <w:pPr>
        <w:numPr>
          <w:numId w:val="1008"/>
          <w:ilvl w:val="0"/>
        </w:numPr>
      </w:pPr>
      <w:r>
        <w:t xml:space="preserve">Le 26 juin 2013, le défendeur écrit à sa propre avocate que la sœur avocate de sa conjointe la guide « de façon à me piéger » et associe cette perception aux messages « agressif » et « peur de moi » (</w:t>
      </w:r>
      <w:hyperlink r:id="rId45">
        <w:r>
          <w:rPr>
            <w:rStyle w:val="Hyperlink"/>
          </w:rPr>
          <w:t xml:space="preserve">piece_thread-89_email-365.md</w:t>
        </w:r>
      </w:hyperlink>
      <w:r>
        <w:t xml:space="preserve">).</w:t>
      </w:r>
    </w:p>
    <w:p>
      <w:pPr>
        <w:pStyle w:val="Heading3"/>
      </w:pPr>
      <w:bookmarkStart w:id="53" w:name="Xc17c13feb3a6096762fc8f147616f72ef00481e"/>
      <w:r>
        <w:t xml:space="preserve">B. Séparation et création de l’horaire initial</w:t>
      </w:r>
      <w:bookmarkEnd w:id="53"/>
    </w:p>
    <w:p>
      <w:pPr>
        <w:numPr>
          <w:numId w:val="1009"/>
          <w:ilvl w:val="0"/>
        </w:numPr>
      </w:pPr>
      <w:r>
        <w:t xml:space="preserve">Le 23 février 2015, le défendeur quitte volontairement la résidence familiale et loue un appartement à proximité ; la demanderesse exerce dès lors la garde de fait des enfants (</w:t>
      </w:r>
      <w:hyperlink r:id="rId54">
        <w:r>
          <w:rPr>
            <w:rStyle w:val="Hyperlink"/>
          </w:rPr>
          <w:t xml:space="preserve">piece_document-1.md</w:t>
        </w:r>
      </w:hyperlink>
      <w:r>
        <w:t xml:space="preserve">, §4 ;</w:t>
      </w:r>
      <w:r>
        <w:t xml:space="preserve"> </w:t>
      </w:r>
      <w:hyperlink r:id="rId26">
        <w:r>
          <w:rPr>
            <w:rStyle w:val="Hyperlink"/>
          </w:rPr>
          <w:t xml:space="preserve">faits_par3_2019.md</w:t>
        </w:r>
      </w:hyperlink>
      <w:r>
        <w:t xml:space="preserve">, faits 14-15).</w:t>
      </w:r>
    </w:p>
    <w:p>
      <w:pPr>
        <w:numPr>
          <w:numId w:val="1009"/>
          <w:ilvl w:val="0"/>
        </w:numPr>
      </w:pPr>
      <w:r>
        <w:t xml:space="preserve">Après son départ, le défendeur demande ou instaure des accès le dimanche de 16 h à 20 h au domicile de ses parents. Ce fait est allégué au §20 de la Requête et est concédé par le défendeur (</w:t>
      </w:r>
      <w:hyperlink r:id="rId54">
        <w:r>
          <w:rPr>
            <w:rStyle w:val="Hyperlink"/>
          </w:rPr>
          <w:t xml:space="preserve">piece_document-1.md</w:t>
        </w:r>
      </w:hyperlink>
      <w:r>
        <w:t xml:space="preserve">, §20 ;</w:t>
      </w:r>
      <w:r>
        <w:t xml:space="preserve"> </w:t>
      </w:r>
      <w:hyperlink r:id="rId55">
        <w:r>
          <w:rPr>
            <w:rStyle w:val="Hyperlink"/>
          </w:rPr>
          <w:t xml:space="preserve">pont §20-21</w:t>
        </w:r>
      </w:hyperlink>
      <w:r>
        <w:t xml:space="preserve">).</w:t>
      </w:r>
    </w:p>
    <w:p>
      <w:pPr>
        <w:numPr>
          <w:numId w:val="1009"/>
          <w:ilvl w:val="0"/>
        </w:numPr>
      </w:pPr>
      <w:r>
        <w:t xml:space="preserve">L’allégation du §20 est vraie quant à l’origine immédiate de l’horaire, mais elle ne contient pas le contexte permettant d’apprécier pourquoi le défendeur avait adopté un régime aussi restrictif ni ses positions ultérieures d’élargissement.</w:t>
      </w:r>
    </w:p>
    <w:p>
      <w:pPr>
        <w:pStyle w:val="Heading3"/>
      </w:pPr>
      <w:bookmarkStart w:id="56" w:name="Xbd734f68542e3389cef35e83f069d8a2edf2fef"/>
      <w:r>
        <w:t xml:space="preserve">C. Occasions de justifier les modalités pendant les négociations</w:t>
      </w:r>
      <w:bookmarkEnd w:id="56"/>
    </w:p>
    <w:p>
      <w:pPr>
        <w:numPr>
          <w:numId w:val="1010"/>
          <w:ilvl w:val="0"/>
        </w:numPr>
      </w:pPr>
      <w:r>
        <w:t xml:space="preserve">Le 4 mars 2015, le défendeur fait préparer par son procureur une offre de garde partagée selon un horaire 2-2-3 (</w:t>
      </w:r>
      <w:hyperlink r:id="rId57">
        <w:r>
          <w:rPr>
            <w:rStyle w:val="Hyperlink"/>
          </w:rPr>
          <w:t xml:space="preserve">piece_pdf-2.md</w:t>
        </w:r>
      </w:hyperlink>
      <w:r>
        <w:t xml:space="preserve"> </w:t>
      </w:r>
      <w:r>
        <w:t xml:space="preserve">;</w:t>
      </w:r>
      <w:r>
        <w:t xml:space="preserve"> </w:t>
      </w:r>
      <w:hyperlink r:id="rId26">
        <w:r>
          <w:rPr>
            <w:rStyle w:val="Hyperlink"/>
          </w:rPr>
          <w:t xml:space="preserve">faits_par3_2019.md</w:t>
        </w:r>
      </w:hyperlink>
      <w:r>
        <w:t xml:space="preserve">, faits 18-20).</w:t>
      </w:r>
    </w:p>
    <w:p>
      <w:pPr>
        <w:numPr>
          <w:numId w:val="1010"/>
          <w:ilvl w:val="0"/>
        </w:numPr>
      </w:pPr>
      <w:r>
        <w:t xml:space="preserve">Le 7 avril 2015, le défendeur écrit à la demanderesse : « je ne vais pas poursuivre quelque procédure que ce soit pour changer la situation […] je veux te payer ce que je te dois selon la loi. Pas moins et pas plus. » Cette communication est produite par la demanderesse elle-même comme pièce P-2 (</w:t>
      </w:r>
      <w:hyperlink r:id="rId26">
        <w:r>
          <w:rPr>
            <w:rStyle w:val="Hyperlink"/>
          </w:rPr>
          <w:t xml:space="preserve">faits_par3_2019.md</w:t>
        </w:r>
      </w:hyperlink>
      <w:r>
        <w:t xml:space="preserve">, faits 22 et 26).</w:t>
      </w:r>
    </w:p>
    <w:p>
      <w:pPr>
        <w:numPr>
          <w:numId w:val="1010"/>
          <w:ilvl w:val="0"/>
        </w:numPr>
      </w:pPr>
      <w:r>
        <w:t xml:space="preserve">Le 20 avril 2015, le défendeur transmet une offre formelle de garde partagée 2-2-3 (</w:t>
      </w:r>
      <w:hyperlink r:id="rId57">
        <w:r>
          <w:rPr>
            <w:rStyle w:val="Hyperlink"/>
          </w:rPr>
          <w:t xml:space="preserve">piece_pdf-2.md</w:t>
        </w:r>
      </w:hyperlink>
      <w:r>
        <w:t xml:space="preserve">).</w:t>
      </w:r>
    </w:p>
    <w:p>
      <w:pPr>
        <w:numPr>
          <w:numId w:val="1010"/>
          <w:ilvl w:val="0"/>
        </w:numPr>
      </w:pPr>
      <w:r>
        <w:t xml:space="preserve">Le 27 avril 2015, Me Ayoub refuse la garde partagée au nom de l’intérêt des enfants : « Compte tenu des circonstances, nous considérons qu’il y a contre-indication à l’établissement de la garde partagée […] vu leur jeune âge et qu’il n’est pas dans leur intérêt de modifier une routine établie depuis plus deux mois » (</w:t>
      </w:r>
      <w:hyperlink r:id="rId58">
        <w:r>
          <w:rPr>
            <w:rStyle w:val="Hyperlink"/>
          </w:rPr>
          <w:t xml:space="preserve">piece_pdf-3.md</w:t>
        </w:r>
      </w:hyperlink>
      <w:r>
        <w:t xml:space="preserve">, C2).</w:t>
      </w:r>
    </w:p>
    <w:p>
      <w:pPr>
        <w:numPr>
          <w:numId w:val="1010"/>
          <w:ilvl w:val="0"/>
        </w:numPr>
      </w:pPr>
      <w:r>
        <w:t xml:space="preserve">La lettre du 27 avril ne nomme pas les « circonstances » et ne rattache pas la garde exclusive à des besoins individualisés d’Alexia ou de Nicolas au-delà de leur âge et de l’existence de la routine (</w:t>
      </w:r>
      <w:hyperlink r:id="rId58">
        <w:r>
          <w:rPr>
            <w:rStyle w:val="Hyperlink"/>
          </w:rPr>
          <w:t xml:space="preserve">piece_pdf-3.md</w:t>
        </w:r>
      </w:hyperlink>
      <w:r>
        <w:t xml:space="preserve">, C2).</w:t>
      </w:r>
    </w:p>
    <w:p>
      <w:pPr>
        <w:numPr>
          <w:numId w:val="1010"/>
          <w:ilvl w:val="0"/>
        </w:numPr>
      </w:pPr>
      <w:r>
        <w:t xml:space="preserve">Dans la même lettre, la demanderesse offre pourtant des accès élargis comprenant plusieurs nuitées non supervisées en semaine et la fin de semaine (</w:t>
      </w:r>
      <w:hyperlink r:id="rId58">
        <w:r>
          <w:rPr>
            <w:rStyle w:val="Hyperlink"/>
          </w:rPr>
          <w:t xml:space="preserve">piece_pdf-3.md</w:t>
        </w:r>
      </w:hyperlink>
      <w:r>
        <w:t xml:space="preserve">, C3).</w:t>
      </w:r>
    </w:p>
    <w:p>
      <w:pPr>
        <w:numPr>
          <w:numId w:val="1010"/>
          <w:ilvl w:val="0"/>
        </w:numPr>
      </w:pPr>
      <w:r>
        <w:t xml:space="preserve">Le 27 avril 2015, le défendeur répond : « Dans le but de ne pas changer la routine établie des enfants, nous garderons alors les droits d’accès tels qu’ils sont » (</w:t>
      </w:r>
      <w:hyperlink r:id="rId59">
        <w:r>
          <w:rPr>
            <w:rStyle w:val="Hyperlink"/>
          </w:rPr>
          <w:t xml:space="preserve">piece_thread-100_email-399.md</w:t>
        </w:r>
      </w:hyperlink>
      <w:r>
        <w:t xml:space="preserve">).</w:t>
      </w:r>
    </w:p>
    <w:p>
      <w:pPr>
        <w:numPr>
          <w:numId w:val="1010"/>
          <w:ilvl w:val="0"/>
        </w:numPr>
      </w:pPr>
      <w:r>
        <w:t xml:space="preserve">Le 15 mai 2015, le défendeur transmet à Me Poirier le texte complet de P-1 et écrit que son refus des modalités proposées ne signifie pas qu’il refuse de s’acquitter de ses obligations parentales (</w:t>
      </w:r>
      <w:hyperlink r:id="rId46">
        <w:r>
          <w:rPr>
            <w:rStyle w:val="Hyperlink"/>
          </w:rPr>
          <w:t xml:space="preserve">piece_thread-116_email-475.md</w:t>
        </w:r>
      </w:hyperlink>
      <w:r>
        <w:t xml:space="preserve">).</w:t>
      </w:r>
    </w:p>
    <w:p>
      <w:pPr>
        <w:numPr>
          <w:numId w:val="1010"/>
          <w:ilvl w:val="0"/>
        </w:numPr>
      </w:pPr>
      <w:r>
        <w:t xml:space="preserve">Le 13 août 2015, Me Ayoub rédige un projet de consentement maintenant la garde maternelle et prévoyant un accroissement progressif des accès, dont deux nuitées consécutives du dimanche au mardi matin (</w:t>
      </w:r>
      <w:hyperlink r:id="rId60">
        <w:r>
          <w:rPr>
            <w:rStyle w:val="Hyperlink"/>
          </w:rPr>
          <w:t xml:space="preserve">piece_pdf-5.md</w:t>
        </w:r>
      </w:hyperlink>
      <w:r>
        <w:t xml:space="preserve">).</w:t>
      </w:r>
    </w:p>
    <w:p>
      <w:pPr>
        <w:numPr>
          <w:numId w:val="1010"/>
          <w:ilvl w:val="0"/>
        </w:numPr>
      </w:pPr>
      <w:r>
        <w:t xml:space="preserve">Le 2 septembre 2015, le défendeur accepte le principe d’une progression, demande qu’elle mène à une garde partagée 2-2-3 le 7 février 2016 et laisse à la demanderesse le choix des jours afin de tenir compte de ses cours de danse (</w:t>
      </w:r>
      <w:hyperlink r:id="rId61">
        <w:r>
          <w:rPr>
            <w:rStyle w:val="Hyperlink"/>
          </w:rPr>
          <w:t xml:space="preserve">piece_pdf-6.md</w:t>
        </w:r>
      </w:hyperlink>
      <w:r>
        <w:t xml:space="preserve">).</w:t>
      </w:r>
    </w:p>
    <w:p>
      <w:pPr>
        <w:numPr>
          <w:numId w:val="1010"/>
          <w:ilvl w:val="0"/>
        </w:numPr>
      </w:pPr>
      <w:r>
        <w:t xml:space="preserve">La correspondance de négociation recensée d’avril à septembre 2015 n’invoque ni la violence ou la compromission de 2013, ni la thèse de désengagement historique ensuite présentée au Tribunal. Elle ne contient aucun raisonnement complet partant de la réalité vécue des enfants pour démontrer pourquoi la garde exclusive devait répondre à leurs besoins (</w:t>
      </w:r>
      <w:hyperlink r:id="rId26">
        <w:r>
          <w:rPr>
            <w:rStyle w:val="Hyperlink"/>
          </w:rPr>
          <w:t xml:space="preserve">faits_par3_2019.md</w:t>
        </w:r>
      </w:hyperlink>
      <w:r>
        <w:t xml:space="preserve">, faits 16-bis et 28-48).</w:t>
      </w:r>
    </w:p>
    <w:p>
      <w:pPr>
        <w:pStyle w:val="Heading3"/>
      </w:pPr>
      <w:bookmarkStart w:id="62" w:name="X29e7343ecd060f1ed0dca0d0b42c6f58ba780a3"/>
      <w:r>
        <w:t xml:space="preserve">D. Requête de novembre 2015 — récit, conclusions et étiquette normative</w:t>
      </w:r>
      <w:bookmarkEnd w:id="62"/>
    </w:p>
    <w:p>
      <w:pPr>
        <w:numPr>
          <w:numId w:val="1011"/>
          <w:ilvl w:val="0"/>
        </w:numPr>
      </w:pPr>
      <w:r>
        <w:t xml:space="preserve">Le 19 novembre 2015, une Requête rédigée par Me Adelia Ferreira est jurée par Élise et déposée au Tribunal (</w:t>
      </w:r>
      <w:hyperlink r:id="rId54">
        <w:r>
          <w:rPr>
            <w:rStyle w:val="Hyperlink"/>
          </w:rPr>
          <w:t xml:space="preserve">piece_document-1.md</w:t>
        </w:r>
      </w:hyperlink>
      <w:r>
        <w:t xml:space="preserve">).</w:t>
      </w:r>
    </w:p>
    <w:p>
      <w:pPr>
        <w:numPr>
          <w:numId w:val="1011"/>
          <w:ilvl w:val="0"/>
        </w:numPr>
      </w:pPr>
      <w:r>
        <w:t xml:space="preserve">La Requête présente le père comme historiquement minimalement impliqué, rarement disponible, absent pendant l’été 2013 et seulement supplétif. Les ponts correspondants établissent séparément la fausseté ou la présentation sélective des composantes retenues et la connaissance des faits contraires (</w:t>
      </w:r>
      <w:hyperlink r:id="rId23">
        <w:r>
          <w:rPr>
            <w:rStyle w:val="Hyperlink"/>
          </w:rPr>
          <w:t xml:space="preserve">synthèse 2015</w:t>
        </w:r>
      </w:hyperlink>
      <w:r>
        <w:t xml:space="preserve">).</w:t>
      </w:r>
    </w:p>
    <w:p>
      <w:pPr>
        <w:numPr>
          <w:numId w:val="1011"/>
          <w:ilvl w:val="0"/>
        </w:numPr>
      </w:pPr>
      <w:r>
        <w:t xml:space="preserve">Au §20, la Requête allègue que l’horaire du dimanche de 16 h à 20 h a été établi à la demande du défendeur pour coïncider avec ses visites chez ses parents (</w:t>
      </w:r>
      <w:hyperlink r:id="rId54">
        <w:r>
          <w:rPr>
            <w:rStyle w:val="Hyperlink"/>
          </w:rPr>
          <w:t xml:space="preserve">piece_document-1.md</w:t>
        </w:r>
      </w:hyperlink>
      <w:r>
        <w:t xml:space="preserve">, §20).</w:t>
      </w:r>
    </w:p>
    <w:p>
      <w:pPr>
        <w:numPr>
          <w:numId w:val="1011"/>
          <w:ilvl w:val="0"/>
        </w:numPr>
      </w:pPr>
      <w:r>
        <w:t xml:space="preserve">Au §26, la demanderesse demande au Tribunal de lui confier la garde et offre au défendeur des accès réguliers à raison d’une fois par semaine (</w:t>
      </w:r>
      <w:hyperlink r:id="rId54">
        <w:r>
          <w:rPr>
            <w:rStyle w:val="Hyperlink"/>
          </w:rPr>
          <w:t xml:space="preserve">piece_document-1.md</w:t>
        </w:r>
      </w:hyperlink>
      <w:r>
        <w:t xml:space="preserve">, §26).</w:t>
      </w:r>
    </w:p>
    <w:p>
      <w:pPr>
        <w:numPr>
          <w:numId w:val="1011"/>
          <w:ilvl w:val="0"/>
        </w:numPr>
      </w:pPr>
      <w:r>
        <w:t xml:space="preserve">Aux §66 et §67, la Requête affirme que la demande est formulée dans le meilleur intérêt des enfants et qu’elle est bien fondée en faits et en droit (</w:t>
      </w:r>
      <w:hyperlink r:id="rId54">
        <w:r>
          <w:rPr>
            <w:rStyle w:val="Hyperlink"/>
          </w:rPr>
          <w:t xml:space="preserve">piece_document-1.md</w:t>
        </w:r>
      </w:hyperlink>
      <w:r>
        <w:t xml:space="preserve">, §66-67).</w:t>
      </w:r>
    </w:p>
    <w:p>
      <w:pPr>
        <w:numPr>
          <w:numId w:val="1011"/>
          <w:ilvl w:val="0"/>
        </w:numPr>
      </w:pPr>
      <w:r>
        <w:t xml:space="preserve">La Requête ne mentionne ni le projet progressif du 13 août ni la réponse favorable du 2 septembre 2015. Elle n’expose pas non plus un raisonnement partant de la réalité réelle des enfants pour démontrer pourquoi la garde exclusive et un accès hebdomadaire répondent à leurs besoins (</w:t>
      </w:r>
      <w:hyperlink r:id="rId54">
        <w:r>
          <w:rPr>
            <w:rStyle w:val="Hyperlink"/>
          </w:rPr>
          <w:t xml:space="preserve">piece_document-1.md</w:t>
        </w:r>
      </w:hyperlink>
      <w:r>
        <w:t xml:space="preserve">, comparé à</w:t>
      </w:r>
      <w:r>
        <w:t xml:space="preserve"> </w:t>
      </w:r>
      <w:hyperlink r:id="rId60">
        <w:r>
          <w:rPr>
            <w:rStyle w:val="Hyperlink"/>
          </w:rPr>
          <w:t xml:space="preserve">piece_pdf-5.md</w:t>
        </w:r>
      </w:hyperlink>
      <w:r>
        <w:t xml:space="preserve"> </w:t>
      </w:r>
      <w:r>
        <w:t xml:space="preserve">et</w:t>
      </w:r>
      <w:r>
        <w:t xml:space="preserve"> </w:t>
      </w:r>
      <w:hyperlink r:id="rId61">
        <w:r>
          <w:rPr>
            <w:rStyle w:val="Hyperlink"/>
          </w:rPr>
          <w:t xml:space="preserve">piece_pdf-6.md</w:t>
        </w:r>
      </w:hyperlink>
      <w:r>
        <w:t xml:space="preserve">).</w:t>
      </w:r>
    </w:p>
    <w:p>
      <w:pPr>
        <w:pStyle w:val="Heading3"/>
      </w:pPr>
      <w:bookmarkStart w:id="63" w:name="e.-jugement-et-réécriture-de-2019"/>
      <w:r>
        <w:t xml:space="preserve">E. Jugement et réécriture de 2019</w:t>
      </w:r>
      <w:bookmarkEnd w:id="63"/>
    </w:p>
    <w:p>
      <w:pPr>
        <w:numPr>
          <w:numId w:val="1012"/>
          <w:ilvl w:val="0"/>
        </w:numPr>
      </w:pPr>
      <w:r>
        <w:t xml:space="preserve">Le 14 janvier 2016, le défendeur étant absent, un jugement par défaut confie la garde à la demanderesse et fixe les accès du défendeur au dimanche de 16 h à 20 h (</w:t>
      </w:r>
      <w:hyperlink r:id="rId64">
        <w:r>
          <w:rPr>
            <w:rStyle w:val="Hyperlink"/>
          </w:rPr>
          <w:t xml:space="preserve">piece_pdf-14.md</w:t>
        </w:r>
      </w:hyperlink>
      <w:r>
        <w:t xml:space="preserve"> </w:t>
      </w:r>
      <w:r>
        <w:t xml:space="preserve">;</w:t>
      </w:r>
      <w:r>
        <w:t xml:space="preserve"> </w:t>
      </w:r>
      <w:hyperlink r:id="rId65">
        <w:r>
          <w:rPr>
            <w:rStyle w:val="Hyperlink"/>
          </w:rPr>
          <w:t xml:space="preserve">piece_document-3.md</w:t>
        </w:r>
      </w:hyperlink>
      <w:r>
        <w:t xml:space="preserve">, §4).</w:t>
      </w:r>
    </w:p>
    <w:p>
      <w:pPr>
        <w:numPr>
          <w:numId w:val="1012"/>
          <w:ilvl w:val="0"/>
        </w:numPr>
      </w:pPr>
      <w:r>
        <w:t xml:space="preserve">Sur le volet garde-accès, le jugement formalise donc l’horaire dominical de quatre heures qui existait avant la Requête et que celle-ci attribuait à la demande du défendeur (</w:t>
      </w:r>
      <w:hyperlink r:id="rId64">
        <w:r>
          <w:rPr>
            <w:rStyle w:val="Hyperlink"/>
          </w:rPr>
          <w:t xml:space="preserve">piece_pdf-14.md</w:t>
        </w:r>
      </w:hyperlink>
      <w:r>
        <w:t xml:space="preserve">, comparé à</w:t>
      </w:r>
      <w:r>
        <w:t xml:space="preserve"> </w:t>
      </w:r>
      <w:hyperlink r:id="rId54">
        <w:r>
          <w:rPr>
            <w:rStyle w:val="Hyperlink"/>
          </w:rPr>
          <w:t xml:space="preserve">piece_document-1.md</w:t>
        </w:r>
      </w:hyperlink>
      <w:r>
        <w:t xml:space="preserve">, §20).</w:t>
      </w:r>
    </w:p>
    <w:p>
      <w:pPr>
        <w:numPr>
          <w:numId w:val="1012"/>
          <w:ilvl w:val="0"/>
        </w:numPr>
      </w:pPr>
      <w:r>
        <w:t xml:space="preserve">Le 21 octobre 2019, Élise jure une déclaration rédigée par Me Ayoub (</w:t>
      </w:r>
      <w:hyperlink r:id="rId65">
        <w:r>
          <w:rPr>
            <w:rStyle w:val="Hyperlink"/>
          </w:rPr>
          <w:t xml:space="preserve">piece_document-3.md</w:t>
        </w:r>
      </w:hyperlink>
      <w:r>
        <w:t xml:space="preserve">).</w:t>
      </w:r>
    </w:p>
    <w:p>
      <w:pPr>
        <w:numPr>
          <w:numId w:val="1012"/>
          <w:ilvl w:val="0"/>
        </w:numPr>
      </w:pPr>
      <w:r>
        <w:t xml:space="preserve">Au §3, elle affirme : « Puisque le défendeur refusait de régler le litige à l’amiable, j’ai été obligée de saisir le Tribunal afin de faire valoir les droits de nos enfants » (</w:t>
      </w:r>
      <w:hyperlink r:id="rId65">
        <w:r>
          <w:rPr>
            <w:rStyle w:val="Hyperlink"/>
          </w:rPr>
          <w:t xml:space="preserve">piece_document-3.md</w:t>
        </w:r>
      </w:hyperlink>
      <w:r>
        <w:t xml:space="preserve">, §3).</w:t>
      </w:r>
    </w:p>
    <w:p>
      <w:pPr>
        <w:numPr>
          <w:numId w:val="1012"/>
          <w:ilvl w:val="0"/>
        </w:numPr>
      </w:pPr>
      <w:r>
        <w:t xml:space="preserve">Au paragraphe immédiatement suivant, elle invoque le jugement du 14 janvier 2016 lui confiant la garde et limitant les accès du défendeur au dimanche de 16 h à 20 h (</w:t>
      </w:r>
      <w:hyperlink r:id="rId65">
        <w:r>
          <w:rPr>
            <w:rStyle w:val="Hyperlink"/>
          </w:rPr>
          <w:t xml:space="preserve">piece_document-3.md</w:t>
        </w:r>
      </w:hyperlink>
      <w:r>
        <w:t xml:space="preserve">, §4).</w:t>
      </w:r>
    </w:p>
    <w:p>
      <w:pPr>
        <w:pStyle w:val="Heading2"/>
      </w:pPr>
      <w:bookmarkStart w:id="66" w:name="inférences-réservées-aux-moyens"/>
      <w:r>
        <w:t xml:space="preserve">5. Inférences réservées aux moyens</w:t>
      </w:r>
      <w:bookmarkEnd w:id="66"/>
    </w:p>
    <w:p>
      <w:pPr>
        <w:pStyle w:val="Compact"/>
        <w:numPr>
          <w:numId w:val="1013"/>
          <w:ilvl w:val="0"/>
        </w:numPr>
      </w:pPr>
      <w:r>
        <w:rPr>
          <w:b/>
        </w:rPr>
        <w:t xml:space="preserve">Inversion.</w:t>
      </w:r>
      <w:r>
        <w:t xml:space="preserve"> </w:t>
      </w:r>
      <w:r>
        <w:t xml:space="preserve">Le dossier documente la recherche d’un règlement</w:t>
      </w:r>
      <w:r>
        <w:t xml:space="preserve"> </w:t>
      </w:r>
      <w:r>
        <w:rPr>
          <w:b/>
        </w:rPr>
        <w:t xml:space="preserve">par le défendeur</w:t>
      </w:r>
      <w:r>
        <w:t xml:space="preserve"> </w:t>
      </w:r>
      <w:r>
        <w:t xml:space="preserve">(faits 1-3, 5). Ses actes ne prouvent pas qu’il a accepté les propositions maternelles ; ils rendent toutefois matériellement incomplète l’attribution de l’impasse à son seul « refus d’amiable » et la présentation comme « forcée » d’une saisine que la demanderesse a choisie.</w:t>
      </w:r>
    </w:p>
    <w:p>
      <w:pPr>
        <w:pStyle w:val="Compact"/>
        <w:numPr>
          <w:numId w:val="1013"/>
          <w:ilvl w:val="0"/>
        </w:numPr>
      </w:pPr>
      <w:r>
        <w:rPr>
          <w:b/>
        </w:rPr>
        <w:t xml:space="preserve">Effacement de l’agentivité.</w:t>
      </w:r>
      <w:r>
        <w:t xml:space="preserve"> </w:t>
      </w:r>
      <w:r>
        <w:t xml:space="preserve">« J’ai été obligée de saisir » convertit une</w:t>
      </w:r>
      <w:r>
        <w:t xml:space="preserve"> </w:t>
      </w:r>
      <w:r>
        <w:rPr>
          <w:b/>
        </w:rPr>
        <w:t xml:space="preserve">stratégie choisie</w:t>
      </w:r>
      <w:r>
        <w:t xml:space="preserve"> </w:t>
      </w:r>
      <w:r>
        <w:t xml:space="preserve">en</w:t>
      </w:r>
      <w:r>
        <w:t xml:space="preserve"> </w:t>
      </w:r>
      <w:r>
        <w:rPr>
          <w:b/>
        </w:rPr>
        <w:t xml:space="preserve">nécessité subie</w:t>
      </w:r>
      <w:r>
        <w:t xml:space="preserve"> </w:t>
      </w:r>
      <w:r>
        <w:t xml:space="preserve">— même procédé que d’autres énoncés de la partie maternelle (« Élise est obligée de… »).</w:t>
      </w:r>
    </w:p>
    <w:p>
      <w:pPr>
        <w:pStyle w:val="Compact"/>
        <w:numPr>
          <w:numId w:val="1013"/>
          <w:ilvl w:val="0"/>
        </w:numPr>
      </w:pPr>
      <w:r>
        <w:rPr>
          <w:b/>
        </w:rPr>
        <w:t xml:space="preserve">Substitution de la finalité.</w:t>
      </w:r>
      <w:r>
        <w:t xml:space="preserve"> </w:t>
      </w:r>
      <w:r>
        <w:t xml:space="preserve">« Afin de faire valoir les droits de nos enfants » présente la procédure comme l’expression de leur réalité et de leurs intérêts. Les ponts de 2015 établissent plutôt que le noyau soumis au Tribunal retranchait leur expérience réelle du père et lui substituait une image connue fausse de désengagement et d’obstruction. La formule attribue ainsi aux enfants la finalité d’une construction qui servait la garde exclusive antérieurement recherchée.</w:t>
      </w:r>
    </w:p>
    <w:p>
      <w:pPr>
        <w:pStyle w:val="Compact"/>
        <w:numPr>
          <w:numId w:val="1013"/>
          <w:ilvl w:val="0"/>
        </w:numPr>
      </w:pPr>
      <w:r>
        <w:rPr>
          <w:b/>
        </w:rPr>
        <w:t xml:space="preserve">Deux faussetés indépendantes mais convergentes.</w:t>
      </w:r>
      <w:r>
        <w:t xml:space="preserve"> </w:t>
      </w:r>
      <w:r>
        <w:t xml:space="preserve">La fausse cause pourrait être démontrée par les négociations et P-1 même sans reprendre toute la preuve du récit de 2015. La fausse finalité pourrait être démontrée par le noyau connu faux des ponts de 2015 et sa fonction, même si le père avait refusé certaines modalités. Leur réunion dans une seule phrase renforce toutefois l’inversion : le §3 attribue au père la nécessité d’une saisine et aux enfants la finalité d’une procédure dont le mécanisme et les prémisses relevaient d’une reconfiguration.</w:t>
      </w:r>
    </w:p>
    <w:p>
      <w:pPr>
        <w:pStyle w:val="Compact"/>
        <w:numPr>
          <w:numId w:val="1013"/>
          <w:ilvl w:val="0"/>
        </w:numPr>
      </w:pPr>
      <w:r>
        <w:rPr>
          <w:b/>
        </w:rPr>
        <w:t xml:space="preserve">Refus de ratifier ≠ refus de régler (le noyau).</w:t>
      </w:r>
      <w:r>
        <w:t xml:space="preserve"> </w:t>
      </w:r>
      <w:r>
        <w:t xml:space="preserve">Le défendeur ne refusait pas le règlement amiable</w:t>
      </w:r>
      <w:r>
        <w:t xml:space="preserve"> </w:t>
      </w:r>
      <w:r>
        <w:rPr>
          <w:b/>
        </w:rPr>
        <w:t xml:space="preserve">comme mode</w:t>
      </w:r>
      <w:r>
        <w:t xml:space="preserve"> </w:t>
      </w:r>
      <w:r>
        <w:t xml:space="preserve">; il refusait de consentir à une</w:t>
      </w:r>
      <w:r>
        <w:t xml:space="preserve"> </w:t>
      </w:r>
      <w:r>
        <w:rPr>
          <w:b/>
        </w:rPr>
        <w:t xml:space="preserve">garde exclusive</w:t>
      </w:r>
      <w:r>
        <w:t xml:space="preserve"> </w:t>
      </w:r>
      <w:r>
        <w:t xml:space="preserve">sans que lui soit communiqué le raisonnement reliant cette conclusion à la réalité vécue des enfants (jeune âge, routine et « circonstances » non nommées ; désengagement historique absent des négociations — fait 9). §3 convertit le défaut d’accepter cette conclusion en cause de la saisine. Le défendeur n’avait pas à prévoir la future reconfiguration narrative : son refus portait sur la conclusion et les raisons alors communiquées, non sur une histoire qui ne lui avait pas été soumise.</w:t>
      </w:r>
    </w:p>
    <w:p>
      <w:pPr>
        <w:pStyle w:val="Compact"/>
        <w:numPr>
          <w:numId w:val="1013"/>
          <w:ilvl w:val="0"/>
        </w:numPr>
      </w:pPr>
      <w:r>
        <w:rPr>
          <w:b/>
        </w:rPr>
        <w:t xml:space="preserve">Indice probant du choix méthodologique (calibré — non un « aveu » formel).</w:t>
      </w:r>
      <w:r>
        <w:t xml:space="preserve"> </w:t>
      </w:r>
      <w:r>
        <w:t xml:space="preserve">Recourir à ces reconfigurations n’est pas une admission formelle qu’un tribunal n’aurait jamais pu accorder la garde exclusive sur la base de faits réels. Sa valeur probante tient à ceci : dans un</w:t>
      </w:r>
      <w:r>
        <w:t xml:space="preserve"> </w:t>
      </w:r>
      <w:r>
        <w:rPr>
          <w:b/>
        </w:rPr>
        <w:t xml:space="preserve">plan détaillé</w:t>
      </w:r>
      <w:r>
        <w:t xml:space="preserve"> </w:t>
      </w:r>
      <w:r>
        <w:t xml:space="preserve">recensant les motifs et les moyens disponibles (P-1), Me Ayoub ne propose pas de laisser la réalité familiale déterminer la conclusion ; elle recommande de</w:t>
      </w:r>
      <w:r>
        <w:t xml:space="preserve"> </w:t>
      </w:r>
      <w:r>
        <w:rPr>
          <w:b/>
        </w:rPr>
        <w:t xml:space="preserve">créer une configuration</w:t>
      </w:r>
      <w:r>
        <w:t xml:space="preserve"> </w:t>
      </w:r>
      <w:r>
        <w:t xml:space="preserve">compatible avec la conclusion déjà recherchée. Les ponts de 2015 établissent ensuite que la configuration narrative substituée est composée d’allégations fausses et connues comme telles. L’inférence exacte est que la réalité des enfants n’a volontairement pas été admise comme donnée pouvant gouverner l’issue ; la reconfiguration sert à faire apparaître la conclusion fixée comme le produit de cette réalité ([[feedback_fabrication_revele_la_croyance]] — révèle le choix de méthode, non l’impossibilité juridique du résultat).</w:t>
      </w:r>
    </w:p>
    <w:p>
      <w:pPr>
        <w:pStyle w:val="Compact"/>
        <w:numPr>
          <w:numId w:val="1013"/>
          <w:ilvl w:val="0"/>
        </w:numPr>
      </w:pPr>
      <w:r>
        <w:rPr>
          <w:b/>
        </w:rPr>
        <w:t xml:space="preserve">Créer plutôt qu’invoquer (corollaire qui renforce l’indice).</w:t>
      </w:r>
      <w:r>
        <w:t xml:space="preserve"> </w:t>
      </w:r>
      <w:r>
        <w:t xml:space="preserve">Un désengagement</w:t>
      </w:r>
      <w:r>
        <w:t xml:space="preserve"> </w:t>
      </w:r>
      <w:r>
        <w:rPr>
          <w:i/>
        </w:rPr>
        <w:t xml:space="preserve">historique</w:t>
      </w:r>
      <w:r>
        <w:t xml:space="preserve">, s’il avait été réel, était disponible dès 2013 : un fait préexistant s’invoque. P-1 ne l’invoque pas comme fondement suffisant ; il propose plutôt de</w:t>
      </w:r>
      <w:r>
        <w:t xml:space="preserve"> </w:t>
      </w:r>
      <w:r>
        <w:rPr>
          <w:b/>
        </w:rPr>
        <w:t xml:space="preserve">réduire prospectivement</w:t>
      </w:r>
      <w:r>
        <w:t xml:space="preserve"> </w:t>
      </w:r>
      <w:r>
        <w:t xml:space="preserve">le rôle du père afin qu’une nouvelle routine s’installe. Si le plan avait été exécuté conformément à ses termes, il aurait produit une configuration ressemblant à celle que la Requête de 2015 présente rétrospectivement comme historique. Cette correspondance renforce l’indice, sans permettre d’affirmer que P-1 a effectivement créé la routine observée en 2015.</w:t>
      </w:r>
      <w:r>
        <w:t xml:space="preserve"> </w:t>
      </w:r>
      <w:r>
        <w:rPr>
          <w:i/>
        </w:rPr>
        <w:t xml:space="preserve">(Moyen — présomption de fait, art. 2849, ancré sur P-1 ; suppose P-1 atteignable. Ne pas la surqualifier en « aveu ».)</w:t>
      </w:r>
    </w:p>
    <w:p>
      <w:pPr>
        <w:pStyle w:val="Compact"/>
        <w:numPr>
          <w:numId w:val="1013"/>
          <w:ilvl w:val="0"/>
        </w:numPr>
      </w:pPr>
      <w:r>
        <w:rPr>
          <w:b/>
        </w:rPr>
        <w:t xml:space="preserve">L’urgence comme outil de reconfiguration projeté.</w:t>
      </w:r>
      <w:r>
        <w:t xml:space="preserve"> </w:t>
      </w:r>
      <w:r>
        <w:t xml:space="preserve">La procédure envisagée est</w:t>
      </w:r>
      <w:r>
        <w:t xml:space="preserve"> </w:t>
      </w:r>
      <w:r>
        <w:rPr>
          <w:b/>
        </w:rPr>
        <w:t xml:space="preserve">urgente et temporaire, sans témoignage oral</w:t>
      </w:r>
      <w:r>
        <w:t xml:space="preserve"> </w:t>
      </w:r>
      <w:r>
        <w:t xml:space="preserve">(« le juge n’entend pas de témoin », P-1), ce qui réduit l’examen factuel immédiat. ⚠️</w:t>
      </w:r>
      <w:r>
        <w:t xml:space="preserve"> </w:t>
      </w:r>
      <w:r>
        <w:rPr>
          <w:b/>
        </w:rPr>
        <w:t xml:space="preserve">Ne pas la qualifier d’« ex parte »</w:t>
      </w:r>
      <w:r>
        <w:t xml:space="preserve"> </w:t>
      </w:r>
      <w:r>
        <w:t xml:space="preserve">: P-1 ne démontre ni l’absence de signification, ni l’absence du père ou de son avocat (analyse maîtresse §4.3). Si elle avait été obtenue, la mesure aurait immédiatement réduit le rôle quotidien du père ; l’écoulement du temps aurait ensuite transformé cette organisation imposée en routine présentable au Tribunal. Le mécanisme exploite l’</w:t>
      </w:r>
      <w:r>
        <w:rPr>
          <w:b/>
        </w:rPr>
        <w:t xml:space="preserve">asymétrie parents/tribunal</w:t>
      </w:r>
      <w:r>
        <w:t xml:space="preserve"> </w:t>
      </w:r>
      <w:r>
        <w:t xml:space="preserve">— le Tribunal dépend du récit et de la preuve présentés — alors que l’asymétrie factuelle</w:t>
      </w:r>
      <w:r>
        <w:t xml:space="preserve"> </w:t>
      </w:r>
      <w:r>
        <w:rPr>
          <w:b/>
        </w:rPr>
        <w:t xml:space="preserve">entre les parents</w:t>
      </w:r>
      <w:r>
        <w:t xml:space="preserve"> </w:t>
      </w:r>
      <w:r>
        <w:t xml:space="preserve">est nulle.</w:t>
      </w:r>
    </w:p>
    <w:p>
      <w:pPr>
        <w:pStyle w:val="Compact"/>
        <w:numPr>
          <w:numId w:val="1013"/>
          <w:ilvl w:val="0"/>
        </w:numPr>
      </w:pPr>
      <w:r>
        <w:rPr>
          <w:b/>
        </w:rPr>
        <w:t xml:space="preserve">Fonction instrumentale des accusations de 2013.</w:t>
      </w:r>
      <w:r>
        <w:t xml:space="preserve"> </w:t>
      </w:r>
      <w:r>
        <w:t xml:space="preserve">La violence, la compromission et l’urgence ne constituent pas l’objet durable du plan. Elles sont les prémisses projetées pour obtenir la mesure temporaire permettant de</w:t>
      </w:r>
      <w:r>
        <w:t xml:space="preserve"> </w:t>
      </w:r>
      <w:r>
        <w:rPr>
          <w:b/>
        </w:rPr>
        <w:t xml:space="preserve">reconfigurer l’organisation familiale</w:t>
      </w:r>
      <w:r>
        <w:t xml:space="preserve">. L’efficacité durable expressément anticipée repose ensuite sur la routine créée et sur l’hésitation judiciaire à la modifier. Ces accusations demeurent aussi le cadre grave connu du défendeur pendant les négociations, cadre que la demanderesse remplace sans explication par le désengagement historique (</w:t>
      </w:r>
      <w:hyperlink r:id="rId24">
        <w:r>
          <w:rPr>
            <w:rStyle w:val="Hyperlink"/>
          </w:rPr>
          <w:t xml:space="preserve">these_patron_abstrait.md</w:t>
        </w:r>
      </w:hyperlink>
      <w:r>
        <w:t xml:space="preserve"> </w:t>
      </w:r>
      <w:r>
        <w:t xml:space="preserve">§7.6).</w:t>
      </w:r>
    </w:p>
    <w:p>
      <w:pPr>
        <w:pStyle w:val="Compact"/>
        <w:numPr>
          <w:numId w:val="1013"/>
          <w:ilvl w:val="0"/>
        </w:numPr>
      </w:pPr>
      <w:r>
        <w:rPr>
          <w:b/>
        </w:rPr>
        <w:t xml:space="preserve">Le régime restrictif et les accusations de 2013 (inférence contextuelle subsidiaire).</w:t>
      </w:r>
      <w:r>
        <w:t xml:space="preserve"> </w:t>
      </w:r>
      <w:r>
        <w:t xml:space="preserve">« Compte tenu des circonstances » (pdf-3) ne nomme aucune circonstance. La lettre refuse la garde partagée au nom du jeune âge et de la routine tout en offrant immédiatement des nuitées et un élargissement substantiel des accès. Elle ne précise donc ni quelle composante de la routine devait être protégée, ni pourquoi la garde principale maternelle constituait la réponse requise. Si la restriction antérieure de quatre heures devait encore être justifiée, la seule circonstance documentée d’une gravité proportionnelle était l’accusation de violence conjugale et de compromission de 2013.</w:t>
      </w:r>
      <w:r>
        <w:t xml:space="preserve"> </w:t>
      </w:r>
      <w:r>
        <w:rPr>
          <w:i/>
        </w:rPr>
        <w:t xml:space="preserve">(Inférence contextuelle, non textuelle.)</w:t>
      </w:r>
    </w:p>
    <w:p>
      <w:pPr>
        <w:pStyle w:val="Compact"/>
        <w:numPr>
          <w:numId w:val="1013"/>
          <w:ilvl w:val="0"/>
        </w:numPr>
      </w:pPr>
      <w:r>
        <w:rPr>
          <w:b/>
        </w:rPr>
        <w:t xml:space="preserve">Le trilemme de la demanderesse.</w:t>
      </w:r>
      <w:r>
        <w:t xml:space="preserve"> </w:t>
      </w:r>
      <w:r>
        <w:rPr>
          <w:i/>
        </w:rPr>
        <w:t xml:space="preserve">(i)</w:t>
      </w:r>
      <w:r>
        <w:t xml:space="preserve"> </w:t>
      </w:r>
      <w:r>
        <w:t xml:space="preserve">Les accusations restaient opérantes : les nuitées non supervisées offertes deviennent difficiles à concilier avec le danger structurel précédemment décrit.</w:t>
      </w:r>
      <w:r>
        <w:t xml:space="preserve"> </w:t>
      </w:r>
      <w:r>
        <w:rPr>
          <w:i/>
        </w:rPr>
        <w:t xml:space="preserve">(ii)</w:t>
      </w:r>
      <w:r>
        <w:t xml:space="preserve"> </w:t>
      </w:r>
      <w:r>
        <w:t xml:space="preserve">Elles avaient cessé : leur abandon devait pouvoir être expliqué.</w:t>
      </w:r>
      <w:r>
        <w:t xml:space="preserve"> </w:t>
      </w:r>
      <w:r>
        <w:rPr>
          <w:i/>
        </w:rPr>
        <w:t xml:space="preserve">(iii)</w:t>
      </w:r>
      <w:r>
        <w:t xml:space="preserve"> </w:t>
      </w:r>
      <w:r>
        <w:t xml:space="preserve">D’autres circonstances justifiaient la garde exclusive : elles devaient être identifiées et reliées aux besoins des enfants. Dans les trois cas, le défendeur ne reçoit pas de justification cohérente de la conclusion qu’on lui demande d’accepter.</w:t>
      </w:r>
      <w:r>
        <w:t xml:space="preserve"> </w:t>
      </w:r>
      <w:r>
        <w:rPr>
          <w:i/>
        </w:rPr>
        <w:t xml:space="preserve">(Recoupe</w:t>
      </w:r>
      <w:r>
        <w:rPr>
          <w:i/>
        </w:rPr>
        <w:t xml:space="preserve"> </w:t>
      </w:r>
      <w:hyperlink r:id="rId24">
        <w:r>
          <w:rPr>
            <w:rStyle w:val="Hyperlink"/>
            <w:i/>
          </w:rPr>
          <w:t xml:space="preserve">these_patron_abstrait.md</w:t>
        </w:r>
      </w:hyperlink>
      <w:r>
        <w:rPr>
          <w:i/>
        </w:rPr>
        <w:t xml:space="preserve"> </w:t>
      </w:r>
      <w:r>
        <w:rPr>
          <w:i/>
        </w:rPr>
        <w:t xml:space="preserve">§7.4-7.5 ; [[feedback_stabilite_inversee]].)</w:t>
      </w:r>
    </w:p>
    <w:p>
      <w:pPr>
        <w:pStyle w:val="Compact"/>
        <w:numPr>
          <w:numId w:val="1013"/>
          <w:ilvl w:val="0"/>
        </w:numPr>
      </w:pPr>
      <w:r>
        <w:rPr>
          <w:b/>
        </w:rPr>
        <w:t xml:space="preserve">Ce que le maintien de la routine établit — et n’établit pas.</w:t>
      </w:r>
      <w:r>
        <w:t xml:space="preserve"> </w:t>
      </w:r>
      <w:r>
        <w:t xml:space="preserve">Le défendeur a refusé l’élargissement offert, mais il a appliqué littéralement le principe de stabilité invoqué par la demanderesse. Cela ne prouve ni qu’il reconnaissait la véracité des accusations, ni que le maintien exact des quatre heures était la seule décision possible. Cela empêche toutefois de présenter sa conduite comme un simple rejet de la considération d’intérêt des enfants qui lui avait été communiquée.</w:t>
      </w:r>
    </w:p>
    <w:p>
      <w:pPr>
        <w:pStyle w:val="Compact"/>
        <w:numPr>
          <w:numId w:val="1013"/>
          <w:ilvl w:val="0"/>
        </w:numPr>
      </w:pPr>
      <w:r>
        <w:rPr>
          <w:b/>
        </w:rPr>
        <w:t xml:space="preserve">Patron (trois temps).</w:t>
      </w:r>
      <w:r>
        <w:t xml:space="preserve"> </w:t>
      </w:r>
      <w:r>
        <w:t xml:space="preserve">§3 (2019) reconfigure la</w:t>
      </w:r>
      <w:r>
        <w:t xml:space="preserve"> </w:t>
      </w:r>
      <w:r>
        <w:rPr>
          <w:b/>
        </w:rPr>
        <w:t xml:space="preserve">causalité</w:t>
      </w:r>
      <w:r>
        <w:t xml:space="preserve"> </w:t>
      </w:r>
      <w:r>
        <w:t xml:space="preserve">; il rattache 2013 (</w:t>
      </w:r>
      <w:r>
        <w:rPr>
          <w:b/>
        </w:rPr>
        <w:t xml:space="preserve">reconfiguration prospective de l’organisation</w:t>
      </w:r>
      <w:r>
        <w:t xml:space="preserve">) et 2015 (</w:t>
      </w:r>
      <w:r>
        <w:rPr>
          <w:b/>
        </w:rPr>
        <w:t xml:space="preserve">reconfiguration rétrospective de l’histoire</w:t>
      </w:r>
      <w:r>
        <w:t xml:space="preserve">). Le point commun n’est pas une simple variation de motifs : dans les deux cas, le mécanisme comble l’écart entre la réalité familiale et la garde exclusive recherchée, d’abord en proposant de modifier la réalité, ensuite en la décrivant autrement ([[feedback_patron_abstrait]]).</w:t>
      </w:r>
    </w:p>
    <w:p>
      <w:pPr>
        <w:pStyle w:val="Heading2"/>
      </w:pPr>
      <w:bookmarkStart w:id="67" w:name="Xe895af5e035e83571f4e02a93615c12597e069d"/>
      <w:r>
        <w:t xml:space="preserve">5-bis. Le rôle</w:t>
      </w:r>
      <w:r>
        <w:t xml:space="preserve"> </w:t>
      </w:r>
      <w:r>
        <w:rPr>
          <w:b/>
        </w:rPr>
        <w:t xml:space="preserve">subordonné</w:t>
      </w:r>
      <w:r>
        <w:t xml:space="preserve"> </w:t>
      </w:r>
      <w:r>
        <w:t xml:space="preserve">de la variabilité — preuve de structure/fonction, jamais preuve première de la fausseté</w:t>
      </w:r>
      <w:bookmarkEnd w:id="67"/>
    </w:p>
    <w:p>
      <w:pPr>
        <w:pStyle w:val="FirstParagraph"/>
      </w:pPr>
      <w:r>
        <w:rPr>
          <w:b/>
        </w:rPr>
        <w:t xml:space="preserve">⚠️ Ordre probatoire impératif.</w:t>
      </w:r>
      <w:r>
        <w:t xml:space="preserve"> </w:t>
      </w:r>
      <w:r>
        <w:t xml:space="preserve">« Objectif constant + motifs variables »</w:t>
      </w:r>
      <w:r>
        <w:t xml:space="preserve"> </w:t>
      </w:r>
      <w:r>
        <w:rPr>
          <w:b/>
        </w:rPr>
        <w:t xml:space="preserve">n’établit aucune faute</w:t>
      </w:r>
      <w:r>
        <w:t xml:space="preserve">. L’intérêt de l’enfant</w:t>
      </w:r>
      <w:r>
        <w:t xml:space="preserve"> </w:t>
      </w:r>
      <w:r>
        <w:rPr>
          <w:b/>
        </w:rPr>
        <w:t xml:space="preserve">exige</w:t>
      </w:r>
      <w:r>
        <w:t xml:space="preserve"> </w:t>
      </w:r>
      <w:r>
        <w:t xml:space="preserve">précisément que les positions puissent évoluer — avec l’âge, les besoins, la qualité des relations, l’apparition ou la disparition d’un risque, de nouvelles observations, une évaluation professionnelle, les effets constatés d’un horaire.</w:t>
      </w:r>
      <w:r>
        <w:t xml:space="preserve"> </w:t>
      </w:r>
      <w:r>
        <w:rPr>
          <w:b/>
        </w:rPr>
        <w:t xml:space="preserve">Une variation fondée sur cette évolution est légitime, voire souhaitable.</w:t>
      </w:r>
      <w:r>
        <w:t xml:space="preserve"> </w:t>
      </w:r>
      <w:r>
        <w:t xml:space="preserve">La faute ne se déduit</w:t>
      </w:r>
      <w:r>
        <w:t xml:space="preserve"> </w:t>
      </w:r>
      <w:r>
        <w:rPr>
          <w:b/>
        </w:rPr>
        <w:t xml:space="preserve">jamais</w:t>
      </w:r>
      <w:r>
        <w:t xml:space="preserve"> </w:t>
      </w:r>
      <w:r>
        <w:t xml:space="preserve">du seul changement de motif.</w:t>
      </w:r>
    </w:p>
    <w:p>
      <w:pPr>
        <w:pStyle w:val="BodyText"/>
      </w:pPr>
      <w:r>
        <w:rPr>
          <w:b/>
        </w:rPr>
        <w:t xml:space="preserve">La hiérarchie probatoire (dans cet ordre strict) :</w:t>
      </w:r>
      <w:r>
        <w:t xml:space="preserve"> </w:t>
      </w:r>
      <w:r>
        <w:t xml:space="preserve">1.</w:t>
      </w:r>
      <w:r>
        <w:t xml:space="preserve"> </w:t>
      </w:r>
      <w:r>
        <w:rPr>
          <w:b/>
        </w:rPr>
        <w:t xml:space="preserve">Fausseté des prémisses factuelles proposées en 2013 — démontrée indépendamment</w:t>
      </w:r>
      <w:r>
        <w:t xml:space="preserve">, par leurs propres éléments (faits connus en 2013 ; incohérence entre le danger décrit et les mesures anticipées ; fonction explicitement attribuée à la procédure ; objectifs annoncés). Ces prémisses sont le véhicule procédural du plan ; le mécanisme central demeure la reconfiguration projetée de l’organisation familiale —</w:t>
      </w:r>
      <w:r>
        <w:t xml:space="preserve"> </w:t>
      </w:r>
      <w:hyperlink r:id="rId24">
        <w:r>
          <w:rPr>
            <w:rStyle w:val="Hyperlink"/>
          </w:rPr>
          <w:t xml:space="preserve">these_patron_abstrait.md</w:t>
        </w:r>
      </w:hyperlink>
      <w:r>
        <w:t xml:space="preserve"> </w:t>
      </w:r>
      <w:r>
        <w:t xml:space="preserve">§7.4.</w:t>
      </w:r>
      <w:r>
        <w:t xml:space="preserve"> </w:t>
      </w:r>
      <w:r>
        <w:t xml:space="preserve">2.</w:t>
      </w:r>
      <w:r>
        <w:t xml:space="preserve"> </w:t>
      </w:r>
      <w:r>
        <w:rPr>
          <w:b/>
        </w:rPr>
        <w:t xml:space="preserve">Fausseté des allégations de 2015 — démontrée une à une</w:t>
      </w:r>
      <w:r>
        <w:t xml:space="preserve">, chacune par sa preuve propre (implication minimale ; absence l’été ; rare disponibilité ; mère assumant seule soins/activités ; aide subsidiaire ; refus d’accès / de recevoir / de médiation / d’autorité) —</w:t>
      </w:r>
      <w:r>
        <w:t xml:space="preserve"> </w:t>
      </w:r>
      <w:r>
        <w:rPr>
          <w:b/>
        </w:rPr>
        <w:t xml:space="preserve">ponts 2015</w:t>
      </w:r>
      <w:r>
        <w:t xml:space="preserve"> </w:t>
      </w:r>
      <w:r>
        <w:t xml:space="preserve">+</w:t>
      </w:r>
      <w:r>
        <w:t xml:space="preserve"> </w:t>
      </w:r>
      <w:hyperlink r:id="rId23">
        <w:r>
          <w:rPr>
            <w:rStyle w:val="Hyperlink"/>
          </w:rPr>
          <w:t xml:space="preserve">synthese_abus_diffamation_requete2015.md</w:t>
        </w:r>
      </w:hyperlink>
      <w:r>
        <w:t xml:space="preserve"> </w:t>
      </w:r>
      <w:r>
        <w:t xml:space="preserve">§1.</w:t>
      </w:r>
      <w:r>
        <w:t xml:space="preserve"> </w:t>
      </w:r>
      <w:r>
        <w:rPr>
          <w:b/>
        </w:rPr>
        <w:t xml:space="preserve">La fausseté ne découle jamais de la différence avec 2013.</w:t>
      </w:r>
      <w:r>
        <w:t xml:space="preserve"> </w:t>
      </w:r>
      <w:r>
        <w:t xml:space="preserve">3.</w:t>
      </w:r>
      <w:r>
        <w:t xml:space="preserve"> </w:t>
      </w:r>
      <w:r>
        <w:rPr>
          <w:b/>
        </w:rPr>
        <w:t xml:space="preserve">Connaissance (scienter) — démontrée séparément</w:t>
      </w:r>
      <w:r>
        <w:t xml:space="preserve"> </w:t>
      </w:r>
      <w:r>
        <w:t xml:space="preserve">: participation aux événements ; soins/activités personnellement observés ; offres reçues ; propres communications ; documents transmis ou approuvés — synthèse §1-ter.</w:t>
      </w:r>
      <w:r>
        <w:t xml:space="preserve"> </w:t>
      </w:r>
      <w:r>
        <w:t xml:space="preserve">4.</w:t>
      </w:r>
      <w:r>
        <w:t xml:space="preserve"> </w:t>
      </w:r>
      <w:r>
        <w:rPr>
          <w:b/>
        </w:rPr>
        <w:t xml:space="preserve">Seulement ensuite : la variabilité</w:t>
      </w:r>
      <w:r>
        <w:t xml:space="preserve">, comme élément</w:t>
      </w:r>
      <w:r>
        <w:t xml:space="preserve"> </w:t>
      </w:r>
      <w:r>
        <w:rPr>
          <w:b/>
        </w:rPr>
        <w:t xml:space="preserve">secondaire</w:t>
      </w:r>
      <w:r>
        <w:t xml:space="preserve">. Elle sert à</w:t>
      </w:r>
      <w:r>
        <w:t xml:space="preserve"> </w:t>
      </w:r>
      <w:r>
        <w:rPr>
          <w:i/>
        </w:rPr>
        <w:t xml:space="preserve">demander</w:t>
      </w:r>
      <w:r>
        <w:t xml:space="preserve"> </w:t>
      </w:r>
      <w:r>
        <w:t xml:space="preserve">: quel changement dans la réalité des enfants explique la substitution du motif ? quel fait nouveau ? quelle rétractation/réévaluation ? pourquoi les restrictions sont-elles levées ou maintenues ? pourquoi la conclusion demeure-t-elle identique ?</w:t>
      </w:r>
      <w:r>
        <w:t xml:space="preserve"> </w:t>
      </w:r>
      <w:r>
        <w:rPr>
          <w:b/>
        </w:rPr>
        <w:t xml:space="preserve">L’absence d’explication ne prouve pas la fausseté</w:t>
      </w:r>
      <w:r>
        <w:t xml:space="preserve"> </w:t>
      </w:r>
      <w:r>
        <w:t xml:space="preserve">(déjà acquise en 1-3) — elle est un</w:t>
      </w:r>
      <w:r>
        <w:t xml:space="preserve"> </w:t>
      </w:r>
      <w:r>
        <w:rPr>
          <w:b/>
        </w:rPr>
        <w:t xml:space="preserve">signal de cohérence déficiente</w:t>
      </w:r>
      <w:r>
        <w:t xml:space="preserve"> </w:t>
      </w:r>
      <w:r>
        <w:t xml:space="preserve">qui</w:t>
      </w:r>
      <w:r>
        <w:t xml:space="preserve"> </w:t>
      </w:r>
      <w:r>
        <w:rPr>
          <w:b/>
        </w:rPr>
        <w:t xml:space="preserve">renforce</w:t>
      </w:r>
      <w:r>
        <w:t xml:space="preserve"> </w:t>
      </w:r>
      <w:r>
        <w:t xml:space="preserve">une démonstration indépendante.</w:t>
      </w:r>
    </w:p>
    <w:p>
      <w:pPr>
        <w:pStyle w:val="BodyText"/>
      </w:pPr>
      <w:r>
        <w:rPr>
          <w:b/>
        </w:rPr>
        <w:t xml:space="preserve">Le vrai rôle de la variabilité (structure/fonction, une fois la fausseté acquise).</w:t>
      </w:r>
      <w:r>
        <w:t xml:space="preserve"> </w:t>
      </w:r>
      <w:r>
        <w:t xml:space="preserve">La succession des motifs — sans évolution correspondante de la réalité des enfants — devient alors pertinente pour comprendre leur</w:t>
      </w:r>
      <w:r>
        <w:t xml:space="preserve"> </w:t>
      </w:r>
      <w:r>
        <w:rPr>
          <w:b/>
        </w:rPr>
        <w:t xml:space="preserve">fonction commune</w:t>
      </w:r>
      <w:r>
        <w:t xml:space="preserve"> </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Moment</w:t>
            </w:r>
          </w:p>
        </w:tc>
        <w:tc>
          <w:tcPr>
            <w:tcBorders>
              <w:bottom w:val="single"/>
            </w:tcBorders>
            <w:vAlign w:val="bottom"/>
          </w:tcPr>
          <w:p>
            <w:pPr>
              <w:pStyle w:val="Compact"/>
              <w:jc w:val="left"/>
            </w:pPr>
            <w:r>
              <w:t xml:space="preserve">Mécanisme ou justification</w:t>
            </w:r>
          </w:p>
        </w:tc>
        <w:tc>
          <w:tcPr>
            <w:tcBorders>
              <w:bottom w:val="single"/>
            </w:tcBorders>
            <w:vAlign w:val="bottom"/>
          </w:tcPr>
          <w:p>
            <w:pPr>
              <w:pStyle w:val="Compact"/>
              <w:jc w:val="left"/>
            </w:pPr>
            <w:r>
              <w:t xml:space="preserve">Conclusion</w:t>
            </w:r>
          </w:p>
        </w:tc>
      </w:tr>
      <w:tr>
        <w:tc>
          <w:p>
            <w:pPr>
              <w:pStyle w:val="Compact"/>
              <w:jc w:val="left"/>
            </w:pPr>
            <w:r>
              <w:t xml:space="preserve">Juin 2013</w:t>
            </w:r>
          </w:p>
        </w:tc>
        <w:tc>
          <w:p>
            <w:pPr>
              <w:pStyle w:val="Compact"/>
              <w:jc w:val="left"/>
            </w:pPr>
            <w:r>
              <w:t xml:space="preserve">obtenir une mesure temporaire, réduire prospectivement le rôle du père, laisser une routine s’installer, puis invoquer sa stabilité</w:t>
            </w:r>
          </w:p>
        </w:tc>
        <w:tc>
          <w:p>
            <w:pPr>
              <w:pStyle w:val="Compact"/>
              <w:jc w:val="left"/>
            </w:pPr>
            <w:r>
              <w:t xml:space="preserve">garde exclusive</w:t>
            </w:r>
          </w:p>
        </w:tc>
      </w:tr>
      <w:tr>
        <w:tc>
          <w:p>
            <w:pPr>
              <w:pStyle w:val="Compact"/>
              <w:jc w:val="left"/>
            </w:pPr>
            <w:r>
              <w:t xml:space="preserve">Avril 2015</w:t>
            </w:r>
          </w:p>
        </w:tc>
        <w:tc>
          <w:p>
            <w:pPr>
              <w:pStyle w:val="Compact"/>
              <w:jc w:val="left"/>
            </w:pPr>
            <w:r>
              <w:t xml:space="preserve">jeune âge + routine de deux mois, sans articulation complète entre ces éléments et la garde exclusive</w:t>
            </w:r>
          </w:p>
        </w:tc>
        <w:tc>
          <w:p>
            <w:pPr>
              <w:pStyle w:val="Compact"/>
              <w:jc w:val="left"/>
            </w:pPr>
            <w:r>
              <w:t xml:space="preserve">garde exclusive</w:t>
            </w:r>
          </w:p>
        </w:tc>
      </w:tr>
      <w:tr>
        <w:tc>
          <w:p>
            <w:pPr>
              <w:pStyle w:val="Compact"/>
              <w:jc w:val="left"/>
            </w:pPr>
            <w:r>
              <w:t xml:space="preserve">Août 2015</w:t>
            </w:r>
          </w:p>
        </w:tc>
        <w:tc>
          <w:p>
            <w:pPr>
              <w:pStyle w:val="Compact"/>
              <w:jc w:val="left"/>
            </w:pPr>
            <w:r>
              <w:t xml:space="preserve">progression horaire sans démonstration fondée sur les besoins vécus des enfants</w:t>
            </w:r>
          </w:p>
        </w:tc>
        <w:tc>
          <w:p>
            <w:pPr>
              <w:pStyle w:val="Compact"/>
              <w:jc w:val="left"/>
            </w:pPr>
            <w:r>
              <w:t xml:space="preserve">garde exclusive</w:t>
            </w:r>
          </w:p>
        </w:tc>
      </w:tr>
      <w:tr>
        <w:tc>
          <w:p>
            <w:pPr>
              <w:pStyle w:val="Compact"/>
              <w:jc w:val="left"/>
            </w:pPr>
            <w:r>
              <w:t xml:space="preserve">Nov. 2015</w:t>
            </w:r>
          </w:p>
        </w:tc>
        <w:tc>
          <w:p>
            <w:pPr>
              <w:pStyle w:val="Compact"/>
              <w:jc w:val="left"/>
            </w:pPr>
            <w:r>
              <w:t xml:space="preserve">réécriture rétrospective : père historiquement indisponible / désengagé</w:t>
            </w:r>
          </w:p>
        </w:tc>
        <w:tc>
          <w:p>
            <w:pPr>
              <w:pStyle w:val="Compact"/>
              <w:jc w:val="left"/>
            </w:pPr>
            <w:r>
              <w:t xml:space="preserve">garde exclusive</w:t>
            </w:r>
          </w:p>
        </w:tc>
      </w:tr>
      <w:tr>
        <w:tc>
          <w:p>
            <w:pPr>
              <w:pStyle w:val="Compact"/>
              <w:jc w:val="left"/>
            </w:pPr>
            <w:r>
              <w:t xml:space="preserve">Oct. 2019 (§3)</w:t>
            </w:r>
          </w:p>
        </w:tc>
        <w:tc>
          <w:p>
            <w:pPr>
              <w:pStyle w:val="Compact"/>
              <w:jc w:val="left"/>
            </w:pPr>
            <w:r>
              <w:t xml:space="preserve">refus du père de régler</w:t>
            </w:r>
          </w:p>
        </w:tc>
        <w:tc>
          <w:p>
            <w:pPr>
              <w:pStyle w:val="Compact"/>
              <w:jc w:val="left"/>
            </w:pPr>
            <w:r>
              <w:rPr>
                <w:i/>
              </w:rPr>
              <w:t xml:space="preserve">(justification rétrospective de la saisine)</w:t>
            </w:r>
          </w:p>
        </w:tc>
      </w:tr>
    </w:tbl>
    <w:p>
      <w:pPr>
        <w:pStyle w:val="BodyText"/>
      </w:pPr>
      <w:r>
        <w:t xml:space="preserve">Aucun fait nouveau, évaluation, thérapie, rétractation ni nouvelle mesure de protection n’explique le passage de la compromission (2013) au désengagement (2015).</w:t>
      </w:r>
      <w:r>
        <w:t xml:space="preserve"> </w:t>
      </w:r>
      <w:r>
        <w:rPr>
          <w:b/>
        </w:rPr>
        <w:t xml:space="preserve">Adaptation au public</w:t>
      </w:r>
      <w:r>
        <w:t xml:space="preserve"> </w:t>
      </w:r>
      <w:r>
        <w:t xml:space="preserve">(une fois la fausseté acquise, éclaire la fonction)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Destinataire</w:t>
            </w:r>
          </w:p>
        </w:tc>
        <w:tc>
          <w:tcPr>
            <w:tcBorders>
              <w:bottom w:val="single"/>
            </w:tcBorders>
            <w:vAlign w:val="bottom"/>
          </w:tcPr>
          <w:p>
            <w:pPr>
              <w:pStyle w:val="Compact"/>
              <w:jc w:val="left"/>
            </w:pPr>
            <w:r>
              <w:t xml:space="preserve">Connaissance de la famille</w:t>
            </w:r>
          </w:p>
        </w:tc>
        <w:tc>
          <w:tcPr>
            <w:tcBorders>
              <w:bottom w:val="single"/>
            </w:tcBorders>
            <w:vAlign w:val="bottom"/>
          </w:tcPr>
          <w:p>
            <w:pPr>
              <w:pStyle w:val="Compact"/>
              <w:jc w:val="left"/>
            </w:pPr>
            <w:r>
              <w:t xml:space="preserve">Discours</w:t>
            </w:r>
          </w:p>
        </w:tc>
      </w:tr>
      <w:tr>
        <w:tc>
          <w:p>
            <w:pPr>
              <w:pStyle w:val="Compact"/>
              <w:jc w:val="left"/>
            </w:pPr>
            <w:r>
              <w:rPr>
                <w:b/>
              </w:rPr>
              <w:t xml:space="preserve">Tribunal</w:t>
            </w:r>
            <w:r>
              <w:t xml:space="preserve"> </w:t>
            </w:r>
            <w:r>
              <w:t xml:space="preserve">(plan 2013 ; Requête 2015)</w:t>
            </w:r>
          </w:p>
        </w:tc>
        <w:tc>
          <w:p>
            <w:pPr>
              <w:pStyle w:val="Compact"/>
              <w:jc w:val="left"/>
            </w:pPr>
            <w:r>
              <w:t xml:space="preserve">faible / indirecte</w:t>
            </w:r>
          </w:p>
        </w:tc>
        <w:tc>
          <w:p>
            <w:pPr>
              <w:pStyle w:val="Compact"/>
              <w:jc w:val="left"/>
            </w:pPr>
            <w:r>
              <w:t xml:space="preserve">mécanisme de reconfiguration appuyé sur une trame factuelle</w:t>
            </w:r>
          </w:p>
        </w:tc>
      </w:tr>
      <w:tr>
        <w:tc>
          <w:p>
            <w:pPr>
              <w:pStyle w:val="Compact"/>
              <w:jc w:val="left"/>
            </w:pPr>
            <w:r>
              <w:rPr>
                <w:b/>
              </w:rPr>
              <w:t xml:space="preserve">Père</w:t>
            </w:r>
            <w:r>
              <w:t xml:space="preserve"> </w:t>
            </w:r>
            <w:r>
              <w:t xml:space="preserve">(négociations avril-août 2015)</w:t>
            </w:r>
          </w:p>
        </w:tc>
        <w:tc>
          <w:p>
            <w:pPr>
              <w:pStyle w:val="Compact"/>
              <w:jc w:val="left"/>
            </w:pPr>
            <w:r>
              <w:t xml:space="preserve">directe / élevée</w:t>
            </w:r>
          </w:p>
        </w:tc>
        <w:tc>
          <w:p>
            <w:pPr>
              <w:pStyle w:val="Compact"/>
              <w:jc w:val="left"/>
            </w:pPr>
            <w:r>
              <w:t xml:space="preserve">scénarios de garde accompagnés de motifs sommaires, sans raisonnement cohérent reliant la garde exclusive à la réalité vécue des enfants</w:t>
            </w:r>
          </w:p>
        </w:tc>
      </w:tr>
    </w:tbl>
    <w:p>
      <w:pPr>
        <w:pStyle w:val="BodyText"/>
      </w:pPr>
      <w:r>
        <w:rPr>
          <w:b/>
        </w:rPr>
        <w:t xml:space="preserve">Test du père obstructeur (neutralise la contre-thèse).</w:t>
      </w:r>
      <w:r>
        <w:t xml:space="preserve"> </w:t>
      </w:r>
      <w:r>
        <w:t xml:space="preserve">Même un père obstructeur aurait pu se voir opposer une justification véritable et cohérente, reconnaissable d’un document à l’autre ; son refus aurait alors été documenté comme le rejet de cette justification. Ici, le père</w:t>
      </w:r>
      <w:r>
        <w:t xml:space="preserve"> </w:t>
      </w:r>
      <w:r>
        <w:rPr>
          <w:b/>
        </w:rPr>
        <w:t xml:space="preserve">propose</w:t>
      </w:r>
      <w:r>
        <w:t xml:space="preserve"> </w:t>
      </w:r>
      <w:r>
        <w:t xml:space="preserve">la garde partagée, maintient la routine invoquée et</w:t>
      </w:r>
      <w:r>
        <w:t xml:space="preserve"> </w:t>
      </w:r>
      <w:r>
        <w:rPr>
          <w:b/>
        </w:rPr>
        <w:t xml:space="preserve">accepte</w:t>
      </w:r>
      <w:r>
        <w:t xml:space="preserve"> </w:t>
      </w:r>
      <w:r>
        <w:t xml:space="preserve">le principe d’une progression. L’obstruction n’explique ni l’absence, pendant les négociations, du fondement historique ensuite présenté au Tribunal, ni le fait que le raisonnement communiqué varie avec le niveau d’information du destinataire.</w:t>
      </w:r>
    </w:p>
    <w:p>
      <w:pPr>
        <w:pStyle w:val="BodyText"/>
      </w:pPr>
      <w:r>
        <w:rPr>
          <w:b/>
        </w:rPr>
        <w:t xml:space="preserve">Formule correcte (mécanisme factuel, non qualification juridique) :</w:t>
      </w:r>
      <w:r>
        <w:t xml:space="preserve"> </w:t>
      </w:r>
      <w:r>
        <w:t xml:space="preserve">&gt;</w:t>
      </w:r>
      <w:r>
        <w:t xml:space="preserve"> </w:t>
      </w:r>
      <w:r>
        <w:rPr>
          <w:b/>
        </w:rPr>
        <w:t xml:space="preserve">Objectif constant + reconfiguration prospective de l’organisation en 2013 + reconfiguration rétrospective de l’histoire en 2015 + fausseté et connaissance démontrées indépendamment + impossibilité de faire fonctionner la même représentation auprès du père en raison de sa connaissance directe + réécriture causale en 2019.</w:t>
      </w:r>
      <w:r>
        <w:t xml:space="preserve"> </w:t>
      </w:r>
      <w:r>
        <w:t xml:space="preserve">&gt;</w:t>
      </w:r>
      <w:r>
        <w:t xml:space="preserve"> </w:t>
      </w:r>
      <w:r>
        <w:t xml:space="preserve">&gt;</w:t>
      </w:r>
      <w:r>
        <w:t xml:space="preserve"> </w:t>
      </w:r>
      <w:r>
        <w:rPr>
          <w:i/>
        </w:rPr>
        <w:t xml:space="preserve">(Une justification ancrée dans la réalité des enfants aurait pu être exposée tant au père qu’au Tribunal. Une représentation contraire à cette réalité ne pouvait remplir la même fonction auprès de ces deux publics, parce qu’ils ne disposaient pas du même niveau d’information.)</w:t>
      </w:r>
      <w:r>
        <w:t xml:space="preserve"> </w:t>
      </w:r>
      <w:r>
        <w:t xml:space="preserve">Même cette formule ne constitue</w:t>
      </w:r>
      <w:r>
        <w:t xml:space="preserve"> </w:t>
      </w:r>
      <w:r>
        <w:rPr>
          <w:b/>
        </w:rPr>
        <w:t xml:space="preserve">pas encore</w:t>
      </w:r>
      <w:r>
        <w:t xml:space="preserve"> </w:t>
      </w:r>
      <w:r>
        <w:t xml:space="preserve">une qualification juridique : elle décrit le mécanisme factuel à partir duquel celle-ci pourra être demandée au Tribunal.</w:t>
      </w:r>
    </w:p>
    <w:p>
      <w:pPr>
        <w:pStyle w:val="BodyText"/>
      </w:pPr>
      <w:r>
        <w:rPr>
          <w:b/>
        </w:rPr>
        <w:t xml:space="preserve">⚠️ L’ordre de démonstration du pont (impératif — NE JAMAIS raisonner « les motifs ont changé, donc ils étaient faux ») :</w:t>
      </w:r>
      <w:r>
        <w:t xml:space="preserve"> </w:t>
      </w:r>
      <w:r>
        <w:t xml:space="preserve">1. les prémisses factuelles proposées en 2013 sont réfutées par leur démonstration</w:t>
      </w:r>
      <w:r>
        <w:t xml:space="preserve"> </w:t>
      </w:r>
      <w:r>
        <w:rPr>
          <w:b/>
        </w:rPr>
        <w:t xml:space="preserve">autonome</w:t>
      </w:r>
      <w:r>
        <w:t xml:space="preserve"> </w:t>
      </w:r>
      <w:r>
        <w:t xml:space="preserve">;</w:t>
      </w:r>
      <w:r>
        <w:t xml:space="preserve"> </w:t>
      </w:r>
      <w:r>
        <w:t xml:space="preserve">2. les allégations de 2015 sont réfutées</w:t>
      </w:r>
      <w:r>
        <w:t xml:space="preserve"> </w:t>
      </w:r>
      <w:r>
        <w:rPr>
          <w:b/>
        </w:rPr>
        <w:t xml:space="preserve">individuellement</w:t>
      </w:r>
      <w:r>
        <w:t xml:space="preserve"> </w:t>
      </w:r>
      <w:r>
        <w:t xml:space="preserve">(ponts 2015) ;</w:t>
      </w:r>
      <w:r>
        <w:t xml:space="preserve"> </w:t>
      </w:r>
      <w:r>
        <w:t xml:space="preserve">3. leur fausseté était</w:t>
      </w:r>
      <w:r>
        <w:t xml:space="preserve"> </w:t>
      </w:r>
      <w:r>
        <w:rPr>
          <w:b/>
        </w:rPr>
        <w:t xml:space="preserve">connue</w:t>
      </w:r>
      <w:r>
        <w:t xml:space="preserve"> </w:t>
      </w:r>
      <w:r>
        <w:t xml:space="preserve">de la demanderesse (scienter, synthèse §1-ter) ;</w:t>
      </w:r>
      <w:r>
        <w:t xml:space="preserve"> </w:t>
      </w:r>
      <w:r>
        <w:t xml:space="preserve">4. P-1 est analysé comme un plan de</w:t>
      </w:r>
      <w:r>
        <w:t xml:space="preserve"> </w:t>
      </w:r>
      <w:r>
        <w:rPr>
          <w:b/>
        </w:rPr>
        <w:t xml:space="preserve">reconfiguration prospective</w:t>
      </w:r>
      <w:r>
        <w:t xml:space="preserve">, et non comme une simple liste d’accusations ;</w:t>
      </w:r>
      <w:r>
        <w:t xml:space="preserve"> </w:t>
      </w:r>
      <w:r>
        <w:t xml:space="preserve">5. la Requête de 2015 est analysée comme une</w:t>
      </w:r>
      <w:r>
        <w:t xml:space="preserve"> </w:t>
      </w:r>
      <w:r>
        <w:rPr>
          <w:b/>
        </w:rPr>
        <w:t xml:space="preserve">reconfiguration rétrospective</w:t>
      </w:r>
      <w:r>
        <w:t xml:space="preserve"> </w:t>
      </w:r>
      <w:r>
        <w:t xml:space="preserve">de l’histoire paternelle ;</w:t>
      </w:r>
      <w:r>
        <w:t xml:space="preserve"> </w:t>
      </w:r>
      <w:r>
        <w:t xml:space="preserve">6. le contraste entre les publics explique pourquoi la construction factuelle ne pouvait être soumise au père comme justification véritable : sa connaissance directe lui permettait d’en contester immédiatement les prémisses ;</w:t>
      </w:r>
      <w:r>
        <w:t xml:space="preserve"> </w:t>
      </w:r>
      <w:r>
        <w:t xml:space="preserve">7. cette convergence permet d’identifier leur fonction commune : rendre la réalité familiale compatible avec la garde exclusive recherchée ;</w:t>
      </w:r>
      <w:r>
        <w:t xml:space="preserve"> </w:t>
      </w:r>
      <w:r>
        <w:t xml:space="preserve">8. le</w:t>
      </w:r>
      <w:r>
        <w:t xml:space="preserve"> </w:t>
      </w:r>
      <w:r>
        <w:rPr>
          <w:b/>
        </w:rPr>
        <w:t xml:space="preserve">§3 efface cette séquence</w:t>
      </w:r>
      <w:r>
        <w:t xml:space="preserve"> </w:t>
      </w:r>
      <w:r>
        <w:t xml:space="preserve">et attribue l’impasse au père.</w:t>
      </w:r>
    </w:p>
    <w:p>
      <w:pPr>
        <w:pStyle w:val="BodyText"/>
      </w:pPr>
      <w:r>
        <w:rPr>
          <w:b/>
        </w:rPr>
        <w:t xml:space="preserve">La variabilité demeure une preuve de STRUCTURE/FONCTION, jamais la preuve première de la fausseté — laquelle reste ancrée dans la réfutation autonome de chaque allégation.</w:t>
      </w:r>
      <w:r>
        <w:t xml:space="preserve"> </w:t>
      </w:r>
      <w:r>
        <w:t xml:space="preserve">Recoupe [[feedback_rotation_des_motifs]].</w:t>
      </w:r>
    </w:p>
    <w:p>
      <w:pPr>
        <w:pStyle w:val="Heading2"/>
      </w:pPr>
      <w:bookmarkStart w:id="68" w:name="Xfddb689d02f8b543f16b42f0606d759d722dfde"/>
      <w:r>
        <w:t xml:space="preserve">5-ter. La connaissance de la fausseté (prémisses factuelles de 2013) — la chaîne à trois maillons</w:t>
      </w:r>
      <w:bookmarkEnd w:id="68"/>
    </w:p>
    <w:p>
      <w:pPr>
        <w:pStyle w:val="FirstParagraph"/>
      </w:pPr>
      <w:r>
        <w:rPr>
          <w:i/>
        </w:rPr>
        <w:t xml:space="preserve">(Section autonome — l’incongruence y est traitée comme preuve de la</w:t>
      </w:r>
      <w:r>
        <w:rPr>
          <w:i/>
        </w:rPr>
        <w:t xml:space="preserve"> </w:t>
      </w:r>
      <w:r>
        <w:rPr>
          <w:b/>
          <w:i/>
        </w:rPr>
        <w:t xml:space="preserve">connaissance</w:t>
      </w:r>
      <w:r>
        <w:rPr>
          <w:i/>
        </w:rPr>
        <w:t xml:space="preserve">, jamais comme simple variation. Démonstration intégrale :</w:t>
      </w:r>
      <w:r>
        <w:rPr>
          <w:i/>
        </w:rPr>
        <w:t xml:space="preserve"> </w:t>
      </w:r>
      <w:hyperlink r:id="rId69">
        <w:r>
          <w:rPr>
            <w:rStyle w:val="Hyperlink"/>
            <w:i/>
          </w:rPr>
          <w:t xml:space="preserve">analyse maîtresse §5.5</w:t>
        </w:r>
      </w:hyperlink>
      <w:r>
        <w:rPr>
          <w:i/>
        </w:rPr>
        <w:t xml:space="preserve">.)</w:t>
      </w:r>
    </w:p>
    <w:p>
      <w:pPr>
        <w:pStyle w:val="BlockText"/>
      </w:pPr>
      <w:r>
        <w:rPr>
          <w:b/>
        </w:rPr>
        <w:t xml:space="preserve">Fausseté matérielle</w:t>
      </w:r>
      <w:r>
        <w:t xml:space="preserve"> </w:t>
      </w:r>
      <w:r>
        <w:t xml:space="preserve">établie</w:t>
      </w:r>
      <w:r>
        <w:t xml:space="preserve"> </w:t>
      </w:r>
      <w:r>
        <w:rPr>
          <w:i/>
        </w:rPr>
        <w:t xml:space="preserve">indépendamment</w:t>
      </w:r>
      <w:r>
        <w:t xml:space="preserve"> </w:t>
      </w:r>
      <w:r>
        <w:rPr>
          <w:b/>
        </w:rPr>
        <w:t xml:space="preserve">→ connaissance</w:t>
      </w:r>
      <w:r>
        <w:t xml:space="preserve"> </w:t>
      </w:r>
      <w:r>
        <w:t xml:space="preserve">révélée par l’</w:t>
      </w:r>
      <w:r>
        <w:rPr>
          <w:b/>
        </w:rPr>
        <w:t xml:space="preserve">incongruence</w:t>
      </w:r>
      <w:r>
        <w:t xml:space="preserve"> </w:t>
      </w:r>
      <w:r>
        <w:rPr>
          <w:b/>
        </w:rPr>
        <w:t xml:space="preserve">→ connaissance professionnelle</w:t>
      </w:r>
      <w:r>
        <w:t xml:space="preserve"> </w:t>
      </w:r>
      <w:r>
        <w:t xml:space="preserve">de la nécessité d’une</w:t>
      </w:r>
      <w:r>
        <w:t xml:space="preserve"> </w:t>
      </w:r>
      <w:r>
        <w:rPr>
          <w:b/>
        </w:rPr>
        <w:t xml:space="preserve">base probante admissible</w:t>
      </w:r>
      <w:r>
        <w:t xml:space="preserve">.</w:t>
      </w:r>
    </w:p>
    <w:p>
      <w:pPr>
        <w:pStyle w:val="Compact"/>
        <w:numPr>
          <w:numId w:val="1014"/>
          <w:ilvl w:val="0"/>
        </w:numPr>
      </w:pPr>
      <w:r>
        <w:rPr>
          <w:b/>
        </w:rPr>
        <w:t xml:space="preserve">Fausseté matérielle (indépendante).</w:t>
      </w:r>
      <w:r>
        <w:t xml:space="preserve"> </w:t>
      </w:r>
      <w:r>
        <w:t xml:space="preserve">Établie par les faits contemporains (présence et prise en charge réelles du père) — ponts 2015 +</w:t>
      </w:r>
      <w:r>
        <w:t xml:space="preserve"> </w:t>
      </w:r>
      <w:hyperlink r:id="rId23">
        <w:r>
          <w:rPr>
            <w:rStyle w:val="Hyperlink"/>
          </w:rPr>
          <w:t xml:space="preserve">synthese_abus_diffamation_requete2015.md</w:t>
        </w:r>
      </w:hyperlink>
      <w:r>
        <w:t xml:space="preserve"> </w:t>
      </w:r>
      <w:r>
        <w:t xml:space="preserve">§1 —,</w:t>
      </w:r>
      <w:r>
        <w:t xml:space="preserve"> </w:t>
      </w:r>
      <w:r>
        <w:rPr>
          <w:b/>
        </w:rPr>
        <w:t xml:space="preserve">non</w:t>
      </w:r>
      <w:r>
        <w:t xml:space="preserve"> </w:t>
      </w:r>
      <w:r>
        <w:t xml:space="preserve">par la variation des motifs.</w:t>
      </w:r>
    </w:p>
    <w:p>
      <w:pPr>
        <w:pStyle w:val="Compact"/>
        <w:numPr>
          <w:numId w:val="1014"/>
          <w:ilvl w:val="0"/>
        </w:numPr>
      </w:pPr>
      <w:r>
        <w:rPr>
          <w:b/>
        </w:rPr>
        <w:t xml:space="preserve">Connaissance par incongruence</w:t>
      </w:r>
      <w:r>
        <w:t xml:space="preserve">, mesurée contre le</w:t>
      </w:r>
      <w:r>
        <w:t xml:space="preserve"> </w:t>
      </w:r>
      <w:r>
        <w:rPr>
          <w:b/>
        </w:rPr>
        <w:t xml:space="preserve">standard de gravité auto-posé</w:t>
      </w:r>
      <w:r>
        <w:t xml:space="preserve"> </w:t>
      </w:r>
      <w:r>
        <w:t xml:space="preserve">(les mesures extrêmes de P-1 — garde exclusive d’urgence, accès sans coucher, relocalisation, 50 % des charges — posent elles-mêmes un danger</w:t>
      </w:r>
      <w:r>
        <w:t xml:space="preserve"> </w:t>
      </w:r>
      <w:r>
        <w:rPr>
          <w:i/>
        </w:rPr>
        <w:t xml:space="preserve">structurel, grave et actuel</w:t>
      </w:r>
      <w:r>
        <w:t xml:space="preserve"> </w:t>
      </w:r>
      <w:r>
        <w:t xml:space="preserve">; [[feedback_standard_gravite_autopose]]) :</w:t>
      </w:r>
    </w:p>
    <w:p>
      <w:pPr>
        <w:pStyle w:val="Compact"/>
        <w:numPr>
          <w:numId w:val="1015"/>
          <w:ilvl w:val="1"/>
        </w:numPr>
      </w:pPr>
      <w:r>
        <w:rPr>
          <w:b/>
        </w:rPr>
        <w:t xml:space="preserve">test de proportionnalité</w:t>
      </w:r>
      <w:r>
        <w:t xml:space="preserve"> </w:t>
      </w:r>
      <w:r>
        <w:t xml:space="preserve">: accès paternels fréquents souhaités, malléabilité (« entente la veille du procès »), timing vexatoire — tous</w:t>
      </w:r>
      <w:r>
        <w:t xml:space="preserve"> </w:t>
      </w:r>
      <w:r>
        <w:rPr>
          <w:b/>
        </w:rPr>
        <w:t xml:space="preserve">sous</w:t>
      </w:r>
      <w:r>
        <w:t xml:space="preserve"> </w:t>
      </w:r>
      <w:r>
        <w:t xml:space="preserve">le standard de gravité posé ;</w:t>
      </w:r>
    </w:p>
    <w:p>
      <w:pPr>
        <w:pStyle w:val="Compact"/>
        <w:numPr>
          <w:numId w:val="1015"/>
          <w:ilvl w:val="1"/>
        </w:numPr>
      </w:pPr>
      <w:r>
        <w:rPr>
          <w:b/>
        </w:rPr>
        <w:t xml:space="preserve">coïncidence disparition-fonction</w:t>
      </w:r>
      <w:r>
        <w:t xml:space="preserve"> </w:t>
      </w:r>
      <w:r>
        <w:t xml:space="preserve">: les allégations disparaissent au</w:t>
      </w:r>
      <w:r>
        <w:t xml:space="preserve"> </w:t>
      </w:r>
      <w:r>
        <w:rPr>
          <w:b/>
        </w:rPr>
        <w:t xml:space="preserve">moment précis</w:t>
      </w:r>
      <w:r>
        <w:t xml:space="preserve"> </w:t>
      </w:r>
      <w:r>
        <w:t xml:space="preserve">où le départ volontaire (fév. 2015) rend leur fonction (« le faire sortir ») inutile ;</w:t>
      </w:r>
    </w:p>
    <w:p>
      <w:pPr>
        <w:pStyle w:val="Compact"/>
        <w:numPr>
          <w:numId w:val="1015"/>
          <w:ilvl w:val="1"/>
        </w:numPr>
      </w:pPr>
      <w:r>
        <w:rPr>
          <w:b/>
        </w:rPr>
        <w:t xml:space="preserve">offres de nuitées non supervisées</w:t>
      </w:r>
      <w:r>
        <w:t xml:space="preserve"> </w:t>
      </w:r>
      <w:r>
        <w:t xml:space="preserve">de 2015 : on n’offre pas de nuitées à un parent qu’on tient sincèrement pour dangereux →</w:t>
      </w:r>
      <w:r>
        <w:t xml:space="preserve"> </w:t>
      </w:r>
      <w:r>
        <w:rPr>
          <w:b/>
        </w:rPr>
        <w:t xml:space="preserve">représentation professionnelle d’absence de danger</w:t>
      </w:r>
      <w:r>
        <w:t xml:space="preserve">.</w:t>
      </w:r>
    </w:p>
    <w:p>
      <w:pPr>
        <w:pStyle w:val="Compact"/>
        <w:numPr>
          <w:numId w:val="1014"/>
          <w:ilvl w:val="0"/>
        </w:numPr>
      </w:pPr>
      <w:r>
        <w:rPr>
          <w:b/>
        </w:rPr>
        <w:t xml:space="preserve">Connaissance professionnelle (base probante).</w:t>
      </w:r>
      <w:r>
        <w:t xml:space="preserve"> </w:t>
      </w:r>
      <w:r>
        <w:t xml:space="preserve">Confirmée par les mots de P-1 : « tu pourras</w:t>
      </w:r>
      <w:r>
        <w:t xml:space="preserve"> </w:t>
      </w:r>
      <w:r>
        <w:rPr>
          <w:b/>
        </w:rPr>
        <w:t xml:space="preserve">mettre en preuve</w:t>
      </w:r>
      <w:r>
        <w:t xml:space="preserve"> </w:t>
      </w:r>
      <w:r>
        <w:t xml:space="preserve">que… la fille dormait mieux » — elle savait qu’une plaidoirie ne suffit pas.</w:t>
      </w:r>
      <w:r>
        <w:t xml:space="preserve"> </w:t>
      </w:r>
      <w:r>
        <w:rPr>
          <w:i/>
        </w:rPr>
        <w:t xml:space="preserve">(Cet axe n’établit</w:t>
      </w:r>
      <w:r>
        <w:rPr>
          <w:i/>
        </w:rPr>
        <w:t xml:space="preserve"> </w:t>
      </w:r>
      <w:r>
        <w:rPr>
          <w:b/>
          <w:i/>
        </w:rPr>
        <w:t xml:space="preserve">jamais</w:t>
      </w:r>
      <w:r>
        <w:rPr>
          <w:i/>
        </w:rPr>
        <w:t xml:space="preserve">, à lui seul, la fausseté ; il est distinct du maillon 2.)</w:t>
      </w:r>
    </w:p>
    <w:p>
      <w:pPr>
        <w:pStyle w:val="FirstParagraph"/>
      </w:pPr>
      <w:r>
        <w:rPr>
          <w:b/>
        </w:rPr>
        <w:t xml:space="preserve">Présomptions graves, précises et concordantes (art. 2849 C.c.Q.).</w:t>
      </w:r>
      <w:r>
        <w:t xml:space="preserve"> </w:t>
      </w:r>
      <w:r>
        <w:t xml:space="preserve">La variabilité des motifs (§5-bis) n’est qu’un</w:t>
      </w:r>
      <w:r>
        <w:t xml:space="preserve"> </w:t>
      </w:r>
      <w:r>
        <w:rPr>
          <w:b/>
        </w:rPr>
        <w:t xml:space="preserve">signal</w:t>
      </w:r>
      <w:r>
        <w:t xml:space="preserve"> </w:t>
      </w:r>
      <w:r>
        <w:t xml:space="preserve">; c’est cette</w:t>
      </w:r>
      <w:r>
        <w:t xml:space="preserve"> </w:t>
      </w:r>
      <w:r>
        <w:rPr>
          <w:b/>
        </w:rPr>
        <w:t xml:space="preserve">chaîne</w:t>
      </w:r>
      <w:r>
        <w:t xml:space="preserve">, ancrée sur la fausseté indépendante, qui porte la</w:t>
      </w:r>
      <w:r>
        <w:t xml:space="preserve"> </w:t>
      </w:r>
      <w:r>
        <w:rPr>
          <w:b/>
        </w:rPr>
        <w:t xml:space="preserve">connaissance</w:t>
      </w:r>
      <w:r>
        <w:t xml:space="preserve">.</w:t>
      </w:r>
    </w:p>
    <w:p>
      <w:pPr>
        <w:pStyle w:val="Heading2"/>
      </w:pPr>
      <w:bookmarkStart w:id="70" w:name="Xed0f56a7b85e64f6606cce62cfd841592724bcd"/>
      <w:r>
        <w:t xml:space="preserve">5-quater. Capstone — ce qui crée le besoin de substitution</w:t>
      </w:r>
      <w:bookmarkEnd w:id="70"/>
    </w:p>
    <w:p>
      <w:pPr>
        <w:pStyle w:val="FirstParagraph"/>
      </w:pPr>
      <w:r>
        <w:rPr>
          <w:i/>
        </w:rPr>
        <w:t xml:space="preserve">(Cette section unifie les deux propositions du §3. Il s’agit d’une inférence structurelle adossée aux faussetés établies instance par instance, jamais d’une preuve autonome tirée de la seule répétition.)</w:t>
      </w:r>
    </w:p>
    <w:p>
      <w:pPr>
        <w:pStyle w:val="Heading3"/>
      </w:pPr>
      <w:bookmarkStart w:id="71" w:name="la-prémisse-décisive"/>
      <w:r>
        <w:t xml:space="preserve">1. La prémisse décisive</w:t>
      </w:r>
      <w:bookmarkEnd w:id="71"/>
    </w:p>
    <w:p>
      <w:pPr>
        <w:pStyle w:val="FirstParagraph"/>
      </w:pPr>
      <w:r>
        <w:t xml:space="preserve">Le point de départ n’est pas : « la garde exclusive était nécessairement contraire à l’intérêt des enfants ». Le point de départ est :</w:t>
      </w:r>
      <w:r>
        <w:t xml:space="preserve"> </w:t>
      </w:r>
      <w:r>
        <w:rPr>
          <w:b/>
        </w:rPr>
        <w:t xml:space="preserve">la garde exclusive a été traitée comme une conclusion qui ne devait pas être remise en cause par l’appréciation de leur réalité</w:t>
      </w:r>
      <w:r>
        <w:t xml:space="preserve">.</w:t>
      </w:r>
    </w:p>
    <w:p>
      <w:pPr>
        <w:pStyle w:val="BodyText"/>
      </w:pPr>
      <w:r>
        <w:t xml:space="preserve">Cette prémisse est documentée en 2013 par l’ordre même du plan : l’objectif de garde est nommé, puis l’organisation familiale doit être modifiée pour devenir compatible avec lui. Elle est documentée en 2015 par la différence entre les négociations et la Requête : la conclusion demeure, mais le récit historique qui la justifie devant le Tribunal n’avait pas été présenté au père et ses composantes sont ensuite démontrées fausses et connues comme telles.</w:t>
      </w:r>
    </w:p>
    <w:p>
      <w:pPr>
        <w:pStyle w:val="Heading3"/>
      </w:pPr>
      <w:bookmarkStart w:id="72" w:name="la-nécessité-interne-de-la-substitution"/>
      <w:r>
        <w:t xml:space="preserve">2. La nécessité interne de la substitution</w:t>
      </w:r>
      <w:bookmarkEnd w:id="72"/>
    </w:p>
    <w:p>
      <w:pPr>
        <w:pStyle w:val="FirstParagraph"/>
      </w:pPr>
      <w:r>
        <w:t xml:space="preserve">Le droit impose toutefois un passage obligé : la modalité doit être présentée comme conforme à l’intérêt des enfants. Dès lors que la conclusion est fixée indépendamment de l’application de cette norme à leur réalité, le dossier documente ici deux formes de reconfiguration permettant de faire apparaître la conclusion comme son résultat :</w:t>
      </w:r>
    </w:p>
    <w:p>
      <w:pPr>
        <w:pStyle w:val="Compact"/>
        <w:numPr>
          <w:numId w:val="1016"/>
          <w:ilvl w:val="0"/>
        </w:numPr>
      </w:pPr>
      <w:r>
        <w:rPr>
          <w:b/>
        </w:rPr>
        <w:t xml:space="preserve">modifier prospectivement la situation</w:t>
      </w:r>
      <w:r>
        <w:t xml:space="preserve"> </w:t>
      </w:r>
      <w:r>
        <w:t xml:space="preserve">jusqu’à ce qu’elle fournisse elle-même les faits compatibles avec la conclusion ;</w:t>
      </w:r>
    </w:p>
    <w:p>
      <w:pPr>
        <w:pStyle w:val="Compact"/>
        <w:numPr>
          <w:numId w:val="1016"/>
          <w:ilvl w:val="0"/>
        </w:numPr>
      </w:pPr>
      <w:r>
        <w:rPr>
          <w:b/>
        </w:rPr>
        <w:t xml:space="preserve">modifier rétrospectivement la représentation de la situation</w:t>
      </w:r>
      <w:r>
        <w:t xml:space="preserve"> </w:t>
      </w:r>
      <w:r>
        <w:t xml:space="preserve">soumise au décideur.</w:t>
      </w:r>
    </w:p>
    <w:p>
      <w:pPr>
        <w:pStyle w:val="FirstParagraph"/>
      </w:pPr>
      <w:r>
        <w:t xml:space="preserve">P-1 emprunte la première voie. La situation contemporaine comporte une présence paternelle substantielle, incompatible non avec toute possibilité abstraite de garde exclusive, mais avec sa présentation comme continuité naturelle de la vie des enfants. Le plan agit précisément sur ce facteur : relocalisation, accès sans coucher, réduction de la présence quotidienne, installation d’une routine maternelle, puis invocation de sa stabilité. La Requête de 2015 emprunte la seconde voie en décrivant rétrospectivement le rôle paternel comme ayant toujours été marginal. Le besoin de substitution naît donc de l’écart créé par la structure du choix : **C est maintenue, mais N doit encore sembler conduire de R à C ; la présence paternelle comprise dans R est d’abord réduite ou ensuite effacée de sa représentation pour produire R*.**</w:t>
      </w:r>
    </w:p>
    <w:p>
      <w:pPr>
        <w:pStyle w:val="Heading3"/>
      </w:pPr>
      <w:bookmarkStart w:id="73" w:name="X9236c1eee14b8bd6029be8fd0ee2a515e3d3b4d"/>
      <w:r>
        <w:t xml:space="preserve">2-bis. La comparaison structurelle entre P-1 et la Requête</w:t>
      </w:r>
      <w:bookmarkEnd w:id="73"/>
    </w:p>
    <w:p>
      <w:pPr>
        <w:pStyle w:val="FirstParagraph"/>
      </w:pPr>
      <w:r>
        <w:t xml:space="preserve">La comparaison ne vise pas à établir un auteur commun, une instruction de Me Ayoub à Me Ferreira ou l’exécution littérale de P-1. Elle sert à tester si, dans chaque document, la garde exclusive est rattachée à l’intérêt des enfants par un raisonnement partant de leur réalité réelle. Le résultat du test est négatif dans les deux cas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P-1 — juin 2013</w:t>
            </w:r>
          </w:p>
        </w:tc>
        <w:tc>
          <w:tcPr>
            <w:tcBorders>
              <w:bottom w:val="single"/>
            </w:tcBorders>
            <w:vAlign w:val="bottom"/>
          </w:tcPr>
          <w:p>
            <w:pPr>
              <w:pStyle w:val="Compact"/>
              <w:jc w:val="left"/>
            </w:pPr>
            <w:r>
              <w:t xml:space="preserve">Requête — novembre 2015</w:t>
            </w:r>
          </w:p>
        </w:tc>
      </w:tr>
      <w:tr>
        <w:tc>
          <w:p>
            <w:pPr>
              <w:pStyle w:val="Compact"/>
              <w:jc w:val="left"/>
            </w:pPr>
            <w:r>
              <w:t xml:space="preserve">Réalité de départ</w:t>
            </w:r>
          </w:p>
        </w:tc>
        <w:tc>
          <w:p>
            <w:pPr>
              <w:pStyle w:val="Compact"/>
              <w:jc w:val="left"/>
            </w:pPr>
            <w:r>
              <w:t xml:space="preserve">père présent dans l’organisation familiale</w:t>
            </w:r>
          </w:p>
        </w:tc>
        <w:tc>
          <w:p>
            <w:pPr>
              <w:pStyle w:val="Compact"/>
              <w:jc w:val="left"/>
            </w:pPr>
            <w:r>
              <w:t xml:space="preserve">implication historique réelle du père</w:t>
            </w:r>
          </w:p>
        </w:tc>
      </w:tr>
      <w:tr>
        <w:tc>
          <w:p>
            <w:pPr>
              <w:pStyle w:val="Compact"/>
              <w:jc w:val="left"/>
            </w:pPr>
            <w:r>
              <w:t xml:space="preserve">Facteur incompatible avec la continuité recherchée</w:t>
            </w:r>
          </w:p>
        </w:tc>
        <w:tc>
          <w:p>
            <w:pPr>
              <w:pStyle w:val="Compact"/>
              <w:jc w:val="left"/>
            </w:pPr>
            <w:r>
              <w:t xml:space="preserve">présence quotidienne empêchant une routine exclusivement maternelle d’apparaître comme préexistante</w:t>
            </w:r>
          </w:p>
        </w:tc>
        <w:tc>
          <w:p>
            <w:pPr>
              <w:pStyle w:val="Compact"/>
              <w:jc w:val="left"/>
            </w:pPr>
            <w:r>
              <w:t xml:space="preserve">faits historiques empêchant le père périphérique d’apparaître comme la continuité de la vie des enfants</w:t>
            </w:r>
          </w:p>
        </w:tc>
      </w:tr>
      <w:tr>
        <w:tc>
          <w:p>
            <w:pPr>
              <w:pStyle w:val="Compact"/>
              <w:jc w:val="left"/>
            </w:pPr>
            <w:r>
              <w:t xml:space="preserve">Opération</w:t>
            </w:r>
          </w:p>
        </w:tc>
        <w:tc>
          <w:p>
            <w:pPr>
              <w:pStyle w:val="Compact"/>
              <w:jc w:val="left"/>
            </w:pPr>
            <w:r>
              <w:t xml:space="preserve">réduire matériellement la présence : relocalisation, accès sans coucher, écoulement du temps</w:t>
            </w:r>
          </w:p>
        </w:tc>
        <w:tc>
          <w:p>
            <w:pPr>
              <w:pStyle w:val="Compact"/>
              <w:jc w:val="left"/>
            </w:pPr>
            <w:r>
              <w:t xml:space="preserve">réduire narrativement la présence : implication minimale, rare disponibilité, absence, rôle seulement supplétif</w:t>
            </w:r>
          </w:p>
        </w:tc>
      </w:tr>
      <w:tr>
        <w:tc>
          <w:p>
            <w:pPr>
              <w:pStyle w:val="Compact"/>
              <w:jc w:val="left"/>
            </w:pPr>
            <w:r>
              <w:t xml:space="preserve">Produit soumis au Tribunal</w:t>
            </w:r>
          </w:p>
        </w:tc>
        <w:tc>
          <w:p>
            <w:pPr>
              <w:pStyle w:val="Compact"/>
              <w:jc w:val="left"/>
            </w:pPr>
            <w:r>
              <w:t xml:space="preserve">nouvelle routine maternelle devenue statu quo</w:t>
            </w:r>
          </w:p>
        </w:tc>
        <w:tc>
          <w:p>
            <w:pPr>
              <w:pStyle w:val="Compact"/>
              <w:jc w:val="left"/>
            </w:pPr>
            <w:r>
              <w:t xml:space="preserve">histoire familiale décrite comme ayant toujours été maternelle et périphérique du côté paternel</w:t>
            </w:r>
          </w:p>
        </w:tc>
      </w:tr>
      <w:tr>
        <w:tc>
          <w:p>
            <w:pPr>
              <w:pStyle w:val="Compact"/>
              <w:jc w:val="left"/>
            </w:pPr>
            <w:r>
              <w:t xml:space="preserve">Fonction</w:t>
            </w:r>
          </w:p>
        </w:tc>
        <w:tc>
          <w:p>
            <w:pPr>
              <w:pStyle w:val="Compact"/>
              <w:jc w:val="left"/>
            </w:pPr>
            <w:r>
              <w:t xml:space="preserve">faire apparaître la garde exclusive comme maintien de la situation produite</w:t>
            </w:r>
          </w:p>
        </w:tc>
        <w:tc>
          <w:p>
            <w:pPr>
              <w:pStyle w:val="Compact"/>
              <w:jc w:val="left"/>
            </w:pPr>
            <w:r>
              <w:t xml:space="preserve">faire apparaître la garde exclusive comme maintien de la situation historique alléguée</w:t>
            </w:r>
          </w:p>
        </w:tc>
      </w:tr>
    </w:tbl>
    <w:p>
      <w:pPr>
        <w:pStyle w:val="BodyText"/>
      </w:pPr>
      <w:r>
        <w:t xml:space="preserve">La structure commune est donc :</w:t>
      </w:r>
    </w:p>
    <w:p>
      <w:pPr>
        <w:pStyle w:val="BlockText"/>
      </w:pPr>
      <w:r>
        <w:rPr>
          <w:b/>
        </w:rPr>
        <w:t xml:space="preserve">neutraliser la présence paternelle → produire une continuité maternelle → présenter cette continuité au Tribunal comme donnée indépendante justifiant la garde exclusive.</w:t>
      </w:r>
    </w:p>
    <w:p>
      <w:pPr>
        <w:pStyle w:val="FirstParagraph"/>
      </w:pPr>
      <w:r>
        <w:t xml:space="preserve">En 2013, la neutralisation aurait porté sur la</w:t>
      </w:r>
      <w:r>
        <w:t xml:space="preserve"> </w:t>
      </w:r>
      <w:r>
        <w:rPr>
          <w:b/>
        </w:rPr>
        <w:t xml:space="preserve">réalité future</w:t>
      </w:r>
      <w:r>
        <w:t xml:space="preserve"> </w:t>
      </w:r>
      <w:r>
        <w:t xml:space="preserve">; en 2015, elle porte sur la</w:t>
      </w:r>
      <w:r>
        <w:t xml:space="preserve"> </w:t>
      </w:r>
      <w:r>
        <w:rPr>
          <w:b/>
        </w:rPr>
        <w:t xml:space="preserve">mémoire judiciaire du passé</w:t>
      </w:r>
      <w:r>
        <w:t xml:space="preserve">. Ce parallèle ne sert pas principalement à démontrer que la Requête exécute un plan antérieur. Il démontre que ni P-1 ni la Requête ne contient le raisonnement attendu :</w:t>
      </w:r>
      <w:r>
        <w:t xml:space="preserve"> </w:t>
      </w:r>
      <w:r>
        <w:rPr>
          <w:b/>
        </w:rPr>
        <w:t xml:space="preserve">réalité réelle des enfants → identification de leurs besoins → démonstration que la garde exclusive répond à ces besoins</w:t>
      </w:r>
      <w:r>
        <w:t xml:space="preserve">. Dans les deux cas, l’ordre est inversé : la garde exclusive est la conclusion et la situation présentée au Tribunal est rendue compatible avec elle.</w:t>
      </w:r>
    </w:p>
    <w:p>
      <w:pPr>
        <w:pStyle w:val="BodyText"/>
      </w:pPr>
      <w:r>
        <w:rPr>
          <w:b/>
        </w:rPr>
        <w:t xml:space="preserve">Autorat et portée.</w:t>
      </w:r>
      <w:r>
        <w:t xml:space="preserve"> </w:t>
      </w:r>
      <w:r>
        <w:t xml:space="preserve">P-1 est rédigé par Me Ayoub. La Requête de 2015 est rédigée par Me Ferreira et jurée par Élise. La comparaison porte exclusivement sur les raisonnements contenus dans les documents et sur la connaissance d’Élise, destinataire du premier et déclarante du second. Elle ne permet aucune attribution supplémentaire à Me Ayoub quant à la Requête de 2015.</w:t>
      </w:r>
    </w:p>
    <w:p>
      <w:pPr>
        <w:pStyle w:val="Heading3"/>
      </w:pPr>
      <w:bookmarkStart w:id="74" w:name="le-test-des-deux-publics"/>
      <w:r>
        <w:t xml:space="preserve">3. Le test des deux publics</w:t>
      </w:r>
      <w:bookmarkEnd w:id="7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Moment et public</w:t>
            </w:r>
          </w:p>
        </w:tc>
        <w:tc>
          <w:tcPr>
            <w:tcBorders>
              <w:bottom w:val="single"/>
            </w:tcBorders>
            <w:vAlign w:val="bottom"/>
          </w:tcPr>
          <w:p>
            <w:pPr>
              <w:pStyle w:val="Compact"/>
              <w:jc w:val="left"/>
            </w:pPr>
            <w:r>
              <w:t xml:space="preserve">Niveau d’information</w:t>
            </w:r>
          </w:p>
        </w:tc>
        <w:tc>
          <w:tcPr>
            <w:tcBorders>
              <w:bottom w:val="single"/>
            </w:tcBorders>
            <w:vAlign w:val="bottom"/>
          </w:tcPr>
          <w:p>
            <w:pPr>
              <w:pStyle w:val="Compact"/>
              <w:jc w:val="left"/>
            </w:pPr>
            <w:r>
              <w:t xml:space="preserve">Fonction requise</w:t>
            </w:r>
          </w:p>
        </w:tc>
        <w:tc>
          <w:tcPr>
            <w:tcBorders>
              <w:bottom w:val="single"/>
            </w:tcBorders>
            <w:vAlign w:val="bottom"/>
          </w:tcPr>
          <w:p>
            <w:pPr>
              <w:pStyle w:val="Compact"/>
              <w:jc w:val="left"/>
            </w:pPr>
            <w:r>
              <w:t xml:space="preserve">Conduite observée</w:t>
            </w:r>
          </w:p>
        </w:tc>
      </w:tr>
      <w:tr>
        <w:tc>
          <w:p>
            <w:pPr>
              <w:pStyle w:val="Compact"/>
              <w:jc w:val="left"/>
            </w:pPr>
            <w:r>
              <w:rPr>
                <w:b/>
              </w:rPr>
              <w:t xml:space="preserve">Négociations privées, 2015 — le père</w:t>
            </w:r>
          </w:p>
        </w:tc>
        <w:tc>
          <w:p>
            <w:pPr>
              <w:pStyle w:val="Compact"/>
              <w:jc w:val="left"/>
            </w:pPr>
            <w:r>
              <w:t xml:space="preserve">connaissance directe de la famille</w:t>
            </w:r>
          </w:p>
        </w:tc>
        <w:tc>
          <w:p>
            <w:pPr>
              <w:pStyle w:val="Compact"/>
              <w:jc w:val="left"/>
            </w:pPr>
            <w:r>
              <w:t xml:space="preserve">obtenir son consentement dans le cadre de l’intérêt des enfants</w:t>
            </w:r>
          </w:p>
        </w:tc>
        <w:tc>
          <w:p>
            <w:pPr>
              <w:pStyle w:val="Compact"/>
              <w:jc w:val="left"/>
            </w:pPr>
            <w:r>
              <w:t xml:space="preserve">conclusion et horaires soumis avec âge, routine et « circonstances » ; aucune thèse de violence, de compromission ou de désengagement historique n’est débattue</w:t>
            </w:r>
          </w:p>
        </w:tc>
      </w:tr>
      <w:tr>
        <w:tc>
          <w:p>
            <w:pPr>
              <w:pStyle w:val="Compact"/>
              <w:jc w:val="left"/>
            </w:pPr>
            <w:r>
              <w:rPr>
                <w:b/>
              </w:rPr>
              <w:t xml:space="preserve">Projet judiciaire, 2013 — le Tribunal</w:t>
            </w:r>
          </w:p>
        </w:tc>
        <w:tc>
          <w:p>
            <w:pPr>
              <w:pStyle w:val="Compact"/>
              <w:jc w:val="left"/>
            </w:pPr>
            <w:r>
              <w:t xml:space="preserve">connaissance indirecte</w:t>
            </w:r>
          </w:p>
        </w:tc>
        <w:tc>
          <w:p>
            <w:pPr>
              <w:pStyle w:val="Compact"/>
              <w:jc w:val="left"/>
            </w:pPr>
            <w:r>
              <w:t xml:space="preserve">obtenir une mesure permettant de créer un nouveau statu quo</w:t>
            </w:r>
          </w:p>
        </w:tc>
        <w:tc>
          <w:p>
            <w:pPr>
              <w:pStyle w:val="Compact"/>
              <w:jc w:val="left"/>
            </w:pPr>
            <w:r>
              <w:t xml:space="preserve">trame de violence et compromission + mesure urgente + réduction des accès + routine projetée</w:t>
            </w:r>
          </w:p>
        </w:tc>
      </w:tr>
      <w:tr>
        <w:tc>
          <w:p>
            <w:pPr>
              <w:pStyle w:val="Compact"/>
              <w:jc w:val="left"/>
            </w:pPr>
            <w:r>
              <w:rPr>
                <w:b/>
              </w:rPr>
              <w:t xml:space="preserve">Requête judiciaire, 2015 — le Tribunal</w:t>
            </w:r>
          </w:p>
        </w:tc>
        <w:tc>
          <w:p>
            <w:pPr>
              <w:pStyle w:val="Compact"/>
              <w:jc w:val="left"/>
            </w:pPr>
            <w:r>
              <w:t xml:space="preserve">connaissance indirecte</w:t>
            </w:r>
          </w:p>
        </w:tc>
        <w:tc>
          <w:p>
            <w:pPr>
              <w:pStyle w:val="Compact"/>
              <w:jc w:val="left"/>
            </w:pPr>
            <w:r>
              <w:t xml:space="preserve">formaliser ou consolider la garde exclusive de facto</w:t>
            </w:r>
          </w:p>
        </w:tc>
        <w:tc>
          <w:p>
            <w:pPr>
              <w:pStyle w:val="Compact"/>
              <w:jc w:val="left"/>
            </w:pPr>
            <w:r>
              <w:t xml:space="preserve">trame nouvelle de désengagement historique dont le noyau pertinent est réfuté par les ponts</w:t>
            </w:r>
          </w:p>
        </w:tc>
      </w:tr>
    </w:tbl>
    <w:p>
      <w:pPr>
        <w:pStyle w:val="BodyText"/>
      </w:pPr>
      <w:r>
        <w:t xml:space="preserve">Ce tableau ne démontre pas, à lui seul, qu’aucune justification vraie n’aurait pu exister. Il démontre quelque chose de plus précis :</w:t>
      </w:r>
      <w:r>
        <w:t xml:space="preserve"> </w:t>
      </w:r>
      <w:r>
        <w:rPr>
          <w:b/>
        </w:rPr>
        <w:t xml:space="preserve">la justification effectivement employée varie avec le niveau d’information du destinataire</w:t>
      </w:r>
      <w:r>
        <w:t xml:space="preserve">. Le récit contraire à l’expérience familiale n’est pas utilisé avec celui qui peut immédiatement le réfuter ; il apparaît lorsque la décision dépend d’un tiers qui ignore cette expérience.</w:t>
      </w:r>
    </w:p>
    <w:p>
      <w:pPr>
        <w:pStyle w:val="Heading3"/>
      </w:pPr>
      <w:bookmarkStart w:id="75" w:name="X67e36f9f7fde9f7127e5dbb8b21aa58cf02af65"/>
      <w:r>
        <w:t xml:space="preserve">4. La tension native de P-1 confirme la fonction du récit</w:t>
      </w:r>
      <w:bookmarkEnd w:id="75"/>
    </w:p>
    <w:p>
      <w:pPr>
        <w:pStyle w:val="FirstParagraph"/>
      </w:pPr>
      <w:r>
        <w:t xml:space="preserve">P-1 juxtapose :</w:t>
      </w:r>
    </w:p>
    <w:p>
      <w:pPr>
        <w:pStyle w:val="Compact"/>
        <w:numPr>
          <w:numId w:val="1017"/>
          <w:ilvl w:val="0"/>
        </w:numPr>
      </w:pPr>
      <w:r>
        <w:t xml:space="preserve">un</w:t>
      </w:r>
      <w:r>
        <w:t xml:space="preserve"> </w:t>
      </w:r>
      <w:r>
        <w:rPr>
          <w:b/>
        </w:rPr>
        <w:t xml:space="preserve">danger structurel</w:t>
      </w:r>
      <w:r>
        <w:t xml:space="preserve"> </w:t>
      </w:r>
      <w:r>
        <w:t xml:space="preserve">: violence conjugale depuis la naissance, sécurité et développement compromis ;</w:t>
      </w:r>
    </w:p>
    <w:p>
      <w:pPr>
        <w:pStyle w:val="Compact"/>
        <w:numPr>
          <w:numId w:val="1017"/>
          <w:ilvl w:val="0"/>
        </w:numPr>
      </w:pPr>
      <w:r>
        <w:t xml:space="preserve">des</w:t>
      </w:r>
      <w:r>
        <w:t xml:space="preserve"> </w:t>
      </w:r>
      <w:r>
        <w:rPr>
          <w:b/>
        </w:rPr>
        <w:t xml:space="preserve">mesures initiales très restrictives</w:t>
      </w:r>
      <w:r>
        <w:t xml:space="preserve"> </w:t>
      </w:r>
      <w:r>
        <w:t xml:space="preserve">: accès sans coucher et relocalisation ;</w:t>
      </w:r>
    </w:p>
    <w:p>
      <w:pPr>
        <w:pStyle w:val="Compact"/>
        <w:numPr>
          <w:numId w:val="1017"/>
          <w:ilvl w:val="0"/>
        </w:numPr>
      </w:pPr>
      <w:r>
        <w:t xml:space="preserve">un</w:t>
      </w:r>
      <w:r>
        <w:t xml:space="preserve"> </w:t>
      </w:r>
      <w:r>
        <w:rPr>
          <w:b/>
        </w:rPr>
        <w:t xml:space="preserve">objectif stable différent de ces mesures</w:t>
      </w:r>
      <w:r>
        <w:t xml:space="preserve"> </w:t>
      </w:r>
      <w:r>
        <w:t xml:space="preserve">: garde maternelle et contacts paternels plusieurs fois par semaine, davantage qu’une fin de semaine sur deux ;</w:t>
      </w:r>
    </w:p>
    <w:p>
      <w:pPr>
        <w:pStyle w:val="Compact"/>
        <w:numPr>
          <w:numId w:val="1017"/>
          <w:ilvl w:val="0"/>
        </w:numPr>
      </w:pPr>
      <w:r>
        <w:t xml:space="preserve">la possibilité d’amender la procédure ou de régler même la veille du procès.</w:t>
      </w:r>
    </w:p>
    <w:p>
      <w:pPr>
        <w:pStyle w:val="FirstParagraph"/>
      </w:pPr>
      <w:r>
        <w:t xml:space="preserve">Le courriel explique comment le registre de danger permettrait d’atteindre le point de départ restrictif et d’installer une routine. Il n’explique pas comment un danger structurel serait ensuite concilié avec les accès fréquents souhaités. Cette absence de pont est d’autant plus significative que, sans fait nouveau, rétractation, évaluation ou mesure thérapeutique, les offres de 2015 proposent des nuitées non supervisées. Le danger allégué ne gouverne donc pas durablement les modalités : il remplit, dans le plan, une fonction d’accès au mécanisme de reconfiguration.</w:t>
      </w:r>
    </w:p>
    <w:p>
      <w:pPr>
        <w:pStyle w:val="Heading3"/>
      </w:pPr>
      <w:bookmarkStart w:id="76" w:name="le-lien-causal-avec-limpasse"/>
      <w:r>
        <w:t xml:space="preserve">5. Le lien causal avec l’impasse</w:t>
      </w:r>
      <w:bookmarkEnd w:id="76"/>
    </w:p>
    <w:p>
      <w:pPr>
        <w:pStyle w:val="FirstParagraph"/>
      </w:pPr>
      <w:r>
        <w:t xml:space="preserve">En 2015, la garde exclusive existe déjà de facto à la suite du départ volontaire du père. Les négociations demeurent néanmoins nécessaires pour obtenir son consentement à sa formalisation et pour fixer les accès. Elles ne sont donc ni inutiles ni dépourvues d’enjeu. Toutefois, le père ne reçoit pas la justification historique ensuite présentée au Tribunal et ne reçoit pas non plus un raisonnement complet tiré de la réalité commune des enfants.</w:t>
      </w:r>
    </w:p>
    <w:p>
      <w:pPr>
        <w:pStyle w:val="BodyText"/>
      </w:pPr>
      <w:r>
        <w:t xml:space="preserve">Son refus de certaines modalités est alors un</w:t>
      </w:r>
      <w:r>
        <w:t xml:space="preserve"> </w:t>
      </w:r>
      <w:r>
        <w:rPr>
          <w:b/>
        </w:rPr>
        <w:t xml:space="preserve">effet prévisible du cadre décisionnel</w:t>
      </w:r>
      <w:r>
        <w:t xml:space="preserve"> </w:t>
      </w:r>
      <w:r>
        <w:t xml:space="preserve">: il ne peut ratifier de bonne foi une conclusion au nom de l’intérêt des enfants lorsque le lien entre cette conclusion et leur réalité ne lui est pas fourni. La saisine devient nécessaire non parce qu’il aurait refusé l’amiable comme mode, mais parce que la conclusion maintenue ne pouvait être obtenue par son consentement dans ce cadre.</w:t>
      </w:r>
    </w:p>
    <w:p>
      <w:pPr>
        <w:pStyle w:val="BodyText"/>
      </w:pPr>
      <w:r>
        <w:t xml:space="preserve">Devant le Tribunal, le problème change : son consentement n’est plus requis, mais une justification conforme au cadre normatif l’est. Le récit de désengagement historique remplit ce besoin. L’impasse privée et la substitution judiciaire ont ainsi la même origine :</w:t>
      </w:r>
      <w:r>
        <w:t xml:space="preserve"> </w:t>
      </w:r>
      <w:r>
        <w:rPr>
          <w:b/>
        </w:rPr>
        <w:t xml:space="preserve">la conclusion ne devait pas dépendre de l’appréciation de la réalité des enfants.</w:t>
      </w:r>
    </w:p>
    <w:p>
      <w:pPr>
        <w:pStyle w:val="Heading3"/>
      </w:pPr>
      <w:bookmarkStart w:id="77" w:name="conséquence-sur-le-3"/>
      <w:r>
        <w:t xml:space="preserve">6. Conséquence sur le §3</w:t>
      </w:r>
      <w:bookmarkEnd w:id="77"/>
    </w:p>
    <w:p>
      <w:pPr>
        <w:pStyle w:val="Compact"/>
        <w:numPr>
          <w:numId w:val="1018"/>
          <w:ilvl w:val="0"/>
        </w:numPr>
      </w:pPr>
      <w:r>
        <w:rPr>
          <w:b/>
        </w:rPr>
        <w:t xml:space="preserve">Sur la cause :</w:t>
      </w:r>
      <w:r>
        <w:t xml:space="preserve"> </w:t>
      </w:r>
      <w:r>
        <w:t xml:space="preserve">le §3 isole le refus paternel, qui est un effet de la fermeture de la conclusion, et le présente comme la cause ayant obligé la saisine.</w:t>
      </w:r>
    </w:p>
    <w:p>
      <w:pPr>
        <w:pStyle w:val="Compact"/>
        <w:numPr>
          <w:numId w:val="1018"/>
          <w:ilvl w:val="0"/>
        </w:numPr>
      </w:pPr>
      <w:r>
        <w:rPr>
          <w:b/>
        </w:rPr>
        <w:t xml:space="preserve">Sur la finalité :</w:t>
      </w:r>
      <w:r>
        <w:t xml:space="preserve"> </w:t>
      </w:r>
      <w:r>
        <w:t xml:space="preserve">le §3 présente la procédure comme défense des droits des enfants, alors que le Tribunal a été invité à appliquer la norme à une représentation connue fausse plutôt qu’à leur réalité.</w:t>
      </w:r>
    </w:p>
    <w:p>
      <w:pPr>
        <w:pStyle w:val="Compact"/>
        <w:numPr>
          <w:numId w:val="1018"/>
          <w:ilvl w:val="0"/>
        </w:numPr>
      </w:pPr>
      <w:r>
        <w:rPr>
          <w:b/>
        </w:rPr>
        <w:t xml:space="preserve">Sur P-1 :</w:t>
      </w:r>
      <w:r>
        <w:t xml:space="preserve"> </w:t>
      </w:r>
      <w:r>
        <w:t xml:space="preserve">sa valeur ne réside pas seulement dans l’antériorité de la substitution. Il révèle pourquoi elle devient nécessaire et permet de relier causalement 2013, les négociations de 2015, la Requête de novembre 2015 et la réécriture de 2019.</w:t>
      </w:r>
    </w:p>
    <w:p>
      <w:pPr>
        <w:pStyle w:val="FirstParagraph"/>
      </w:pPr>
      <w:r>
        <w:rPr>
          <w:b/>
        </w:rPr>
        <w:t xml:space="preserve">Calibration.</w:t>
      </w:r>
      <w:r>
        <w:t xml:space="preserve"> </w:t>
      </w:r>
      <w:r>
        <w:t xml:space="preserve">Cette inférence repose sur la preuve indépendante de la fausseté et de la connaissance pour chaque composante retenue. La variation des motifs n’en est pas la preuve première. Ne pas soutenir que la garde exclusive était abstraitement impossible ou que le père n’a refusé aucune proposition. Soutenir que le processus observable a intentionnellement empêché la réalité des enfants de gouverner la conclusion et a substitué, devant le décideur moins informé, un substrat factuel compatible avec elle.</w:t>
      </w:r>
    </w:p>
    <w:p>
      <w:pPr>
        <w:pStyle w:val="Compact"/>
        <w:numPr>
          <w:numId w:val="1019"/>
          <w:ilvl w:val="0"/>
        </w:numPr>
      </w:pPr>
      <w:r>
        <w:t xml:space="preserve">Ne pas plaider que le défendeur n’aurait jamais refusé</w:t>
      </w:r>
      <w:r>
        <w:t xml:space="preserve"> </w:t>
      </w:r>
      <w:r>
        <w:rPr>
          <w:b/>
        </w:rPr>
        <w:t xml:space="preserve">aucune</w:t>
      </w:r>
      <w:r>
        <w:t xml:space="preserve"> </w:t>
      </w:r>
      <w:r>
        <w:t xml:space="preserve">proposition : il a refusé les propositions</w:t>
      </w:r>
      <w:r>
        <w:t xml:space="preserve"> </w:t>
      </w:r>
      <w:r>
        <w:rPr>
          <w:b/>
        </w:rPr>
        <w:t xml:space="preserve">maternelles</w:t>
      </w:r>
      <w:r>
        <w:t xml:space="preserve">, dont la justification est contestée ; ne pas généraliser à « tout règlement ».</w:t>
      </w:r>
    </w:p>
    <w:p>
      <w:pPr>
        <w:pStyle w:val="Compact"/>
        <w:numPr>
          <w:numId w:val="1019"/>
          <w:ilvl w:val="0"/>
        </w:numPr>
      </w:pPr>
      <w:r>
        <w:t xml:space="preserve">Ne pas plaider l’indice tiré du recours à la reconfiguration</w:t>
      </w:r>
      <w:r>
        <w:t xml:space="preserve"> </w:t>
      </w:r>
      <w:r>
        <w:rPr>
          <w:b/>
        </w:rPr>
        <w:t xml:space="preserve">avant</w:t>
      </w:r>
      <w:r>
        <w:t xml:space="preserve"> </w:t>
      </w:r>
      <w:r>
        <w:t xml:space="preserve">d’avoir établi la déformation (père non désengagé) : ce moyen présuppose le fait.</w:t>
      </w:r>
    </w:p>
    <w:p>
      <w:pPr>
        <w:pStyle w:val="Compact"/>
        <w:numPr>
          <w:numId w:val="1019"/>
          <w:ilvl w:val="0"/>
        </w:numPr>
      </w:pPr>
      <w:r>
        <w:t xml:space="preserve">Ne pas présumer la mauvaise foi : l’établir par la</w:t>
      </w:r>
      <w:r>
        <w:t xml:space="preserve"> </w:t>
      </w:r>
      <w:r>
        <w:rPr>
          <w:b/>
        </w:rPr>
        <w:t xml:space="preserve">conduite</w:t>
      </w:r>
      <w:r>
        <w:t xml:space="preserve"> </w:t>
      </w:r>
      <w:r>
        <w:t xml:space="preserve">(inversion documentée + effacement d’agentivité), non par l’accusation (art. 2805 → 2849 C.c.Q.).</w:t>
      </w:r>
    </w:p>
    <w:p>
      <w:pPr>
        <w:pStyle w:val="Compact"/>
        <w:numPr>
          <w:numId w:val="1019"/>
          <w:ilvl w:val="0"/>
        </w:numPr>
      </w:pPr>
      <w:r>
        <w:t xml:space="preserve">Ne pas attribuer à Me Ayoub la Requête de 2015 (Ferreira). Pour le §3 de 2019, distinguer également les rôles : Me Ayoub rédige, Élise jure.</w:t>
      </w:r>
    </w:p>
    <w:p>
      <w:pPr>
        <w:pStyle w:val="Heading2"/>
      </w:pPr>
      <w:bookmarkStart w:id="78" w:name="X481f1f459a39a3718440886a1246dd78e7d9c46"/>
      <w:r>
        <w:t xml:space="preserve">6. Trois raisonnements autonomes et complémentaires — démonstrations intégrales</w:t>
      </w:r>
      <w:bookmarkEnd w:id="78"/>
    </w:p>
    <w:p>
      <w:pPr>
        <w:pStyle w:val="Heading3"/>
      </w:pPr>
      <w:bookmarkStart w:id="79" w:name="Xdc481a47cef87fac33e34e6e21384f45dca6dbc"/>
      <w:r>
        <w:t xml:space="preserve">6.1. Premier raisonnement — absence de justification fondée sur la réalité réelle malgré la norme et les occasions</w:t>
      </w:r>
      <w:bookmarkEnd w:id="79"/>
    </w:p>
    <w:p>
      <w:pPr>
        <w:pStyle w:val="FirstParagraph"/>
      </w:pPr>
      <w:r>
        <w:rPr>
          <w:b/>
        </w:rPr>
        <w:t xml:space="preserve">Question.</w:t>
      </w:r>
      <w:r>
        <w:t xml:space="preserve"> </w:t>
      </w:r>
      <w:r>
        <w:t xml:space="preserve">La garde exclusive et les accès recherchés ont-ils été rattachés à l’intérêt des enfants par un raisonnement partant de leur situation réelle?</w:t>
      </w:r>
    </w:p>
    <w:p>
      <w:pPr>
        <w:pStyle w:val="BodyText"/>
      </w:pPr>
      <w:r>
        <w:rPr>
          <w:b/>
        </w:rPr>
        <w:t xml:space="preserve">Prémisse normative.</w:t>
      </w:r>
      <w:r>
        <w:t xml:space="preserve"> </w:t>
      </w:r>
      <w:r>
        <w:t xml:space="preserve">Une modalité de garde doit être déterminée selon l’intérêt des enfants. Le raisonnement attendu doit donc identifier leur situation réelle, en dégager leurs besoins, puis démontrer pourquoi la modalité recherchée répond à ces besoins :</w:t>
      </w:r>
    </w:p>
    <w:p>
      <w:pPr>
        <w:pStyle w:val="BlockText"/>
      </w:pPr>
      <w:r>
        <w:rPr>
          <w:b/>
        </w:rPr>
        <w:t xml:space="preserve">réalité réelle des enfants → besoins constatés → intérêt des enfants → garde et accès appropriés</w:t>
      </w:r>
    </w:p>
    <w:p>
      <w:pPr>
        <w:pStyle w:val="FirstParagraph"/>
      </w:pPr>
      <w:r>
        <w:rPr>
          <w:b/>
        </w:rPr>
        <w:t xml:space="preserve">Prémisses factuelles.</w:t>
      </w:r>
    </w:p>
    <w:p>
      <w:pPr>
        <w:pStyle w:val="Compact"/>
        <w:numPr>
          <w:numId w:val="1020"/>
          <w:ilvl w:val="0"/>
        </w:numPr>
      </w:pPr>
      <w:r>
        <w:t xml:space="preserve">La garde maternelle constitue déjà la conclusion nommée dans P-1 (fait 2).</w:t>
      </w:r>
    </w:p>
    <w:p>
      <w:pPr>
        <w:pStyle w:val="Compact"/>
        <w:numPr>
          <w:numId w:val="1020"/>
          <w:ilvl w:val="0"/>
        </w:numPr>
      </w:pPr>
      <w:r>
        <w:t xml:space="preserve">Le père offre une garde partagée en mars et avril 2015, donnant à la partie maternelle une occasion directe d’expliquer pourquoi cette modalité ne répondrait pas aux besoins des enfants (faits 10 et 12).</w:t>
      </w:r>
    </w:p>
    <w:p>
      <w:pPr>
        <w:pStyle w:val="Compact"/>
        <w:numPr>
          <w:numId w:val="1020"/>
          <w:ilvl w:val="0"/>
        </w:numPr>
      </w:pPr>
      <w:r>
        <w:t xml:space="preserve">Me Ayoub engage expressément le cadre de l’intérêt des enfants le 27 avril, mais ne communique que l’âge, une routine de deux mois et des « circonstances » non identifiées (faits 13 et 14).</w:t>
      </w:r>
    </w:p>
    <w:p>
      <w:pPr>
        <w:pStyle w:val="Compact"/>
        <w:numPr>
          <w:numId w:val="1020"/>
          <w:ilvl w:val="0"/>
        </w:numPr>
      </w:pPr>
      <w:r>
        <w:t xml:space="preserve">La même lettre propose des nuitées et modifie substantiellement l’horaire, sans expliquer pourquoi certaines modifications seraient compatibles avec l’intérêt des enfants mais non la garde partagée (fait 15).</w:t>
      </w:r>
    </w:p>
    <w:p>
      <w:pPr>
        <w:pStyle w:val="Compact"/>
        <w:numPr>
          <w:numId w:val="1020"/>
          <w:ilvl w:val="0"/>
        </w:numPr>
      </w:pPr>
      <w:r>
        <w:t xml:space="preserve">Le projet d’août et la réponse de septembre créent deux autres occasions d’exposer un raisonnement fondé sur les besoins réels d’Alexia et de Nicolas (faits 18 et 19).</w:t>
      </w:r>
    </w:p>
    <w:p>
      <w:pPr>
        <w:pStyle w:val="Compact"/>
        <w:numPr>
          <w:numId w:val="1020"/>
          <w:ilvl w:val="0"/>
        </w:numPr>
      </w:pPr>
      <w:r>
        <w:t xml:space="preserve">Le 2 septembre, le père accepte le principe d’une progression, propose une transition d’environ cinq mois, laisse à la mère le choix des jours pour ses cours de danse et maintient la garde partagée comme destination (fait 19).</w:t>
      </w:r>
    </w:p>
    <w:p>
      <w:pPr>
        <w:pStyle w:val="Compact"/>
        <w:numPr>
          <w:numId w:val="1020"/>
          <w:ilvl w:val="0"/>
        </w:numPr>
      </w:pPr>
      <w:r>
        <w:t xml:space="preserve">Cette réponse montre une flexibilité sur les moyens et le calendrier, mais aucun raisonnement ne lui est fourni pour justifier qu’il abandonne la destination partagée au profit d’une garde exclusive permanente.</w:t>
      </w:r>
    </w:p>
    <w:p>
      <w:pPr>
        <w:pStyle w:val="Compact"/>
        <w:numPr>
          <w:numId w:val="1020"/>
          <w:ilvl w:val="0"/>
        </w:numPr>
      </w:pPr>
      <w:r>
        <w:t xml:space="preserve">Aucun récit de violence, de compromission ou de désengagement historique n’est débattu avec le père et aucun raisonnement complet fondé sur la réalité commune n’est communiqué pendant les négociations recensées (fait 20).</w:t>
      </w:r>
    </w:p>
    <w:p>
      <w:pPr>
        <w:pStyle w:val="Compact"/>
        <w:numPr>
          <w:numId w:val="1020"/>
          <w:ilvl w:val="0"/>
        </w:numPr>
      </w:pPr>
      <w:r>
        <w:t xml:space="preserve">Devant le Tribunal, la Requête réclame la garde exclusive et un accès hebdomadaire, puis affirme que ces conclusions servent le meilleur intérêt des enfants (faits 24 et 25).</w:t>
      </w:r>
    </w:p>
    <w:p>
      <w:pPr>
        <w:pStyle w:val="Compact"/>
        <w:numPr>
          <w:numId w:val="1020"/>
          <w:ilvl w:val="0"/>
        </w:numPr>
      </w:pPr>
      <w:r>
        <w:t xml:space="preserve">La Requête disposait donc à la fois de l’occasion et de la nécessité normative d’exposer le lien entre la réalité réelle, les besoins des enfants et les conclusions. Elle ne fournit pas ce raisonnement; elle présente plutôt le récit historique décrit au fait 22 et omet les dernières positions de négociation (faits 22 et 26).</w:t>
      </w:r>
    </w:p>
    <w:p>
      <w:pPr>
        <w:pStyle w:val="FirstParagraph"/>
      </w:pPr>
      <w:r>
        <w:rPr>
          <w:b/>
        </w:rPr>
        <w:t xml:space="preserve">Inférence.</w:t>
      </w:r>
      <w:r>
        <w:t xml:space="preserve"> </w:t>
      </w:r>
      <w:r>
        <w:t xml:space="preserve">L’absence constatée n’est pas un simple silence sur une question étrangère au débat. Le cadre de l’intérêt des enfants est expressément invoqué; plusieurs offres appellent une réponse; la Requête sollicite une décision judiciaire. La raison pouvait et devait donc être exposée. Le défaut répété de la fournir exclut les explications fondées sur l’absence d’occasion, l’inutilité du raisonnement ou l’ignorance de la réalité familiale. Il explique aussi la forme précise de la position paternelle : souplesse sur tout ce qui pouvait être aménagé sans sacrifier définitivement la conclusion, fermeté sur la conclusion elle-même en l’absence d’un fondement permettant de la concéder selon l’intérêt des enfants.</w:t>
      </w:r>
    </w:p>
    <w:p>
      <w:pPr>
        <w:pStyle w:val="BodyText"/>
      </w:pPr>
      <w:r>
        <w:rPr>
          <w:b/>
        </w:rPr>
        <w:t xml:space="preserve">Conclusion.</w:t>
      </w:r>
      <w:r>
        <w:t xml:space="preserve"> </w:t>
      </w:r>
      <w:r>
        <w:t xml:space="preserve">La garde exclusive et les accès recherchés</w:t>
      </w:r>
      <w:r>
        <w:t xml:space="preserve"> </w:t>
      </w:r>
      <w:r>
        <w:rPr>
          <w:b/>
        </w:rPr>
        <w:t xml:space="preserve">n’ont pas été déduits, dans les documents recensés, d’un raisonnement exprimé à partir de la réalité réelle des enfants</w:t>
      </w:r>
      <w:r>
        <w:t xml:space="preserve">, bien que l’occasion de le fournir fût répétée et que le cadre normatif invoqué l’exigeât.</w:t>
      </w:r>
    </w:p>
    <w:p>
      <w:pPr>
        <w:pStyle w:val="BodyText"/>
      </w:pPr>
      <w:r>
        <w:rPr>
          <w:b/>
        </w:rPr>
        <w:t xml:space="preserve">Limite.</w:t>
      </w:r>
      <w:r>
        <w:t xml:space="preserve"> </w:t>
      </w:r>
      <w:r>
        <w:t xml:space="preserve">Ce raisonnement ne prouve pas l’absence métaphysique de toute réflexion intérieure ni que la garde exclusive ne pouvait jamais être appropriée. Il établit l’absence du raisonnement</w:t>
      </w:r>
      <w:r>
        <w:t xml:space="preserve"> </w:t>
      </w:r>
      <w:r>
        <w:rPr>
          <w:b/>
        </w:rPr>
        <w:t xml:space="preserve">communiqué au père et soumis au Tribunal</w:t>
      </w:r>
      <w:r>
        <w:t xml:space="preserve">, là où ce raisonnement devait apparaître.</w:t>
      </w:r>
    </w:p>
    <w:p>
      <w:pPr>
        <w:pStyle w:val="Heading3"/>
      </w:pPr>
      <w:bookmarkStart w:id="80" w:name="X71880915e3433edcbb717326a897add2298555f"/>
      <w:r>
        <w:t xml:space="preserve">6.2. Deuxième raisonnement — substitution du substrat factuel nécessaire à la décision</w:t>
      </w:r>
      <w:bookmarkEnd w:id="80"/>
    </w:p>
    <w:p>
      <w:pPr>
        <w:pStyle w:val="FirstParagraph"/>
      </w:pPr>
      <w:r>
        <w:rPr>
          <w:b/>
        </w:rPr>
        <w:t xml:space="preserve">Question.</w:t>
      </w:r>
      <w:r>
        <w:t xml:space="preserve"> </w:t>
      </w:r>
      <w:r>
        <w:t xml:space="preserve">Si la garde exclusive n’est pas démontrée à partir de la réalité réelle, quel substrat factuel est utilisé pour la faire apparaître comme conforme à l’intérêt des enfants?</w:t>
      </w:r>
    </w:p>
    <w:p>
      <w:pPr>
        <w:pStyle w:val="BodyText"/>
      </w:pPr>
      <w:r>
        <w:rPr>
          <w:b/>
        </w:rPr>
        <w:t xml:space="preserve">Prémisses factuelles — P-1.</w:t>
      </w:r>
    </w:p>
    <w:p>
      <w:pPr>
        <w:pStyle w:val="Compact"/>
        <w:numPr>
          <w:numId w:val="1021"/>
          <w:ilvl w:val="0"/>
        </w:numPr>
      </w:pPr>
      <w:r>
        <w:t xml:space="preserve">P-1 part de la garde maternelle recherchée (fait 2).</w:t>
      </w:r>
    </w:p>
    <w:p>
      <w:pPr>
        <w:pStyle w:val="Compact"/>
        <w:numPr>
          <w:numId w:val="1021"/>
          <w:ilvl w:val="0"/>
        </w:numPr>
      </w:pPr>
      <w:r>
        <w:t xml:space="preserve">Il prévoit de relocaliser le père et de limiter ses accès à des contacts sans coucher (fait 4).</w:t>
      </w:r>
    </w:p>
    <w:p>
      <w:pPr>
        <w:pStyle w:val="Compact"/>
        <w:numPr>
          <w:numId w:val="1021"/>
          <w:ilvl w:val="0"/>
        </w:numPr>
      </w:pPr>
      <w:r>
        <w:t xml:space="preserve">Il prévoit que cette réduction laissera s’installer une routine mère-enfants que le Tribunal hésitera ensuite à modifier (fait 5).</w:t>
      </w:r>
    </w:p>
    <w:p>
      <w:pPr>
        <w:pStyle w:val="Compact"/>
        <w:numPr>
          <w:numId w:val="1021"/>
          <w:ilvl w:val="0"/>
        </w:numPr>
      </w:pPr>
      <w:r>
        <w:t xml:space="preserve">P-1 ne déduit donc pas la garde exclusive de l’organisation familiale contemporaine; il aurait</w:t>
      </w:r>
      <w:r>
        <w:t xml:space="preserve"> </w:t>
      </w:r>
      <w:r>
        <w:rPr>
          <w:b/>
        </w:rPr>
        <w:t xml:space="preserve">modifié prospectivement cette organisation</w:t>
      </w:r>
      <w:r>
        <w:t xml:space="preserve"> </w:t>
      </w:r>
      <w:r>
        <w:t xml:space="preserve">afin de produire une situation compatible avec la conclusion.</w:t>
      </w:r>
    </w:p>
    <w:p>
      <w:pPr>
        <w:pStyle w:val="FirstParagraph"/>
      </w:pPr>
      <w:r>
        <w:rPr>
          <w:b/>
        </w:rPr>
        <w:t xml:space="preserve">Prémisses factuelles — Requête de 2015.</w:t>
      </w:r>
    </w:p>
    <w:p>
      <w:pPr>
        <w:pStyle w:val="Compact"/>
        <w:numPr>
          <w:numId w:val="1022"/>
          <w:ilvl w:val="0"/>
        </w:numPr>
      </w:pPr>
      <w:r>
        <w:t xml:space="preserve">La Requête est rédigée par Me Ferreira et jurée par Élise; elle ne doit pas être attribuée à Me Ayoub (fait 21).</w:t>
      </w:r>
    </w:p>
    <w:p>
      <w:pPr>
        <w:pStyle w:val="Compact"/>
        <w:numPr>
          <w:numId w:val="1022"/>
          <w:ilvl w:val="0"/>
        </w:numPr>
      </w:pPr>
      <w:r>
        <w:t xml:space="preserve">Elle présente rétrospectivement le père comme historiquement minimal, rarement disponible, absent et seulement supplétif (fait 22).</w:t>
      </w:r>
    </w:p>
    <w:p>
      <w:pPr>
        <w:pStyle w:val="Compact"/>
        <w:numPr>
          <w:numId w:val="1022"/>
          <w:ilvl w:val="0"/>
        </w:numPr>
      </w:pPr>
      <w:r>
        <w:t xml:space="preserve">Les ponts incorporés établissent séparément la fausseté ou la présentation sélective du noyau retenu ainsi que la connaissance des faits contraires (fait 22).</w:t>
      </w:r>
    </w:p>
    <w:p>
      <w:pPr>
        <w:pStyle w:val="Compact"/>
        <w:numPr>
          <w:numId w:val="1022"/>
          <w:ilvl w:val="0"/>
        </w:numPr>
      </w:pPr>
      <w:r>
        <w:t xml:space="preserve">Cette image historique n’avait pas été soumise au père pendant les négociations, alors qu’il connaissait directement les faits familiaux (fait 20).</w:t>
      </w:r>
    </w:p>
    <w:p>
      <w:pPr>
        <w:pStyle w:val="Compact"/>
        <w:numPr>
          <w:numId w:val="1022"/>
          <w:ilvl w:val="0"/>
        </w:numPr>
      </w:pPr>
      <w:r>
        <w:t xml:space="preserve">Cette représentation rend la garde exclusive et l’accès hebdomadaire compatibles avec l’image d’une organisation qui aurait toujours été principalement maternelle (faits 22 et 24).</w:t>
      </w:r>
    </w:p>
    <w:p>
      <w:pPr>
        <w:pStyle w:val="FirstParagraph"/>
      </w:pPr>
      <w:r>
        <w:rPr>
          <w:b/>
        </w:rPr>
        <w:t xml:space="preserve">Comparaison structurelle.</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P-1 — 2013</w:t>
            </w:r>
          </w:p>
        </w:tc>
        <w:tc>
          <w:tcPr>
            <w:tcBorders>
              <w:bottom w:val="single"/>
            </w:tcBorders>
            <w:vAlign w:val="bottom"/>
          </w:tcPr>
          <w:p>
            <w:pPr>
              <w:pStyle w:val="Compact"/>
              <w:jc w:val="left"/>
            </w:pPr>
            <w:r>
              <w:t xml:space="preserve">Requête — 2015</w:t>
            </w:r>
          </w:p>
        </w:tc>
      </w:tr>
      <w:tr>
        <w:tc>
          <w:p>
            <w:pPr>
              <w:pStyle w:val="Compact"/>
              <w:jc w:val="left"/>
            </w:pPr>
            <w:r>
              <w:t xml:space="preserve">Objet modifié</w:t>
            </w:r>
          </w:p>
        </w:tc>
        <w:tc>
          <w:p>
            <w:pPr>
              <w:pStyle w:val="Compact"/>
              <w:jc w:val="left"/>
            </w:pPr>
            <w:r>
              <w:t xml:space="preserve">organisation familiale future</w:t>
            </w:r>
          </w:p>
        </w:tc>
        <w:tc>
          <w:p>
            <w:pPr>
              <w:pStyle w:val="Compact"/>
              <w:jc w:val="left"/>
            </w:pPr>
            <w:r>
              <w:t xml:space="preserve">représentation judiciaire de l’histoire familiale</w:t>
            </w:r>
          </w:p>
        </w:tc>
      </w:tr>
      <w:tr>
        <w:tc>
          <w:p>
            <w:pPr>
              <w:pStyle w:val="Compact"/>
              <w:jc w:val="left"/>
            </w:pPr>
            <w:r>
              <w:t xml:space="preserve">Présence paternelle</w:t>
            </w:r>
          </w:p>
        </w:tc>
        <w:tc>
          <w:p>
            <w:pPr>
              <w:pStyle w:val="Compact"/>
              <w:jc w:val="left"/>
            </w:pPr>
            <w:r>
              <w:t xml:space="preserve">réduite matériellement</w:t>
            </w:r>
          </w:p>
        </w:tc>
        <w:tc>
          <w:p>
            <w:pPr>
              <w:pStyle w:val="Compact"/>
              <w:jc w:val="left"/>
            </w:pPr>
            <w:r>
              <w:t xml:space="preserve">réduite narrativement</w:t>
            </w:r>
          </w:p>
        </w:tc>
      </w:tr>
      <w:tr>
        <w:tc>
          <w:p>
            <w:pPr>
              <w:pStyle w:val="Compact"/>
              <w:jc w:val="left"/>
            </w:pPr>
            <w:r>
              <w:t xml:space="preserve">Produit</w:t>
            </w:r>
          </w:p>
        </w:tc>
        <w:tc>
          <w:p>
            <w:pPr>
              <w:pStyle w:val="Compact"/>
              <w:jc w:val="left"/>
            </w:pPr>
            <w:r>
              <w:t xml:space="preserve">routine maternelle nouvellement créée</w:t>
            </w:r>
          </w:p>
        </w:tc>
        <w:tc>
          <w:p>
            <w:pPr>
              <w:pStyle w:val="Compact"/>
              <w:jc w:val="left"/>
            </w:pPr>
            <w:r>
              <w:t xml:space="preserve">continuité maternelle présentée comme historique</w:t>
            </w:r>
          </w:p>
        </w:tc>
      </w:tr>
      <w:tr>
        <w:tc>
          <w:p>
            <w:pPr>
              <w:pStyle w:val="Compact"/>
              <w:jc w:val="left"/>
            </w:pPr>
            <w:r>
              <w:t xml:space="preserve">Usage</w:t>
            </w:r>
          </w:p>
        </w:tc>
        <w:tc>
          <w:p>
            <w:pPr>
              <w:pStyle w:val="Compact"/>
              <w:jc w:val="left"/>
            </w:pPr>
            <w:r>
              <w:t xml:space="preserve">faire constater la situation produite</w:t>
            </w:r>
          </w:p>
        </w:tc>
        <w:tc>
          <w:p>
            <w:pPr>
              <w:pStyle w:val="Compact"/>
              <w:jc w:val="left"/>
            </w:pPr>
            <w:r>
              <w:t xml:space="preserve">faire décider sur l’histoire représentée</w:t>
            </w:r>
          </w:p>
        </w:tc>
      </w:tr>
    </w:tbl>
    <w:p>
      <w:pPr>
        <w:pStyle w:val="BodyText"/>
      </w:pPr>
      <w:r>
        <w:rPr>
          <w:b/>
        </w:rPr>
        <w:t xml:space="preserve">Inférence.</w:t>
      </w:r>
      <w:r>
        <w:t xml:space="preserve"> </w:t>
      </w:r>
      <w:r>
        <w:t xml:space="preserve">La comparaison ne prouve ni un auteur commun ni des instructions de Me Ayoub à Me Ferreira. Elle démontre le même défaut normatif dans deux documents distincts : au lieu de partir de la réalité réelle et de laisser celle-ci gouverner la conclusion, une situation compatible avec la garde exclusive est produite prospectivement ou représentée rétrospectivement.</w:t>
      </w:r>
    </w:p>
    <w:p>
      <w:pPr>
        <w:pStyle w:val="BodyText"/>
      </w:pPr>
      <w:r>
        <w:rPr>
          <w:b/>
        </w:rPr>
        <w:t xml:space="preserve">Conclusion.</w:t>
      </w:r>
      <w:r>
        <w:t xml:space="preserve"> </w:t>
      </w:r>
      <w:r>
        <w:t xml:space="preserve">Lorsque la justification doit être fournie au Tribunal, la réalité réelle n’est toujours pas mobilisée comme prémisse gouvernant la décision.</w:t>
      </w:r>
      <w:r>
        <w:t xml:space="preserve"> </w:t>
      </w:r>
      <w:r>
        <w:rPr>
          <w:b/>
        </w:rPr>
        <w:t xml:space="preserve">Un substrat factuel compatible lui est substitué.</w:t>
      </w:r>
      <w:r>
        <w:t xml:space="preserve"> </w:t>
      </w:r>
      <w:r>
        <w:t xml:space="preserve">Cette substitution explique comment la conclusion peut être présentée comme issue de l’intérêt des enfants malgré l’absence du raisonnement identifié au premier moyen.</w:t>
      </w:r>
    </w:p>
    <w:p>
      <w:pPr>
        <w:pStyle w:val="BodyText"/>
      </w:pPr>
      <w:r>
        <w:rPr>
          <w:b/>
        </w:rPr>
        <w:t xml:space="preserve">Limite.</w:t>
      </w:r>
      <w:r>
        <w:t xml:space="preserve"> </w:t>
      </w:r>
      <w:r>
        <w:t xml:space="preserve">La fausseté de la représentation de 2015 ne se déduit jamais de sa ressemblance avec P-1. Elle doit être établie indépendamment, paragraphe par paragraphe, par les ponts incorporés.</w:t>
      </w:r>
    </w:p>
    <w:p>
      <w:pPr>
        <w:pStyle w:val="Heading3"/>
      </w:pPr>
      <w:bookmarkStart w:id="81" w:name="X093b78f785e51a6508e4030a477285aef8da18f"/>
      <w:r>
        <w:t xml:space="preserve">6.3. Troisième raisonnement — boucle de consolidation du régime et inversion causale en 2019</w:t>
      </w:r>
      <w:bookmarkEnd w:id="81"/>
    </w:p>
    <w:p>
      <w:pPr>
        <w:pStyle w:val="FirstParagraph"/>
      </w:pPr>
      <w:r>
        <w:rPr>
          <w:b/>
        </w:rPr>
        <w:t xml:space="preserve">Question.</w:t>
      </w:r>
      <w:r>
        <w:t xml:space="preserve"> </w:t>
      </w:r>
      <w:r>
        <w:t xml:space="preserve">Comment le régime restrictif a-t-il acquis une apparence de justification, puis été présenté en 2019 comme résultat de la défense des droits des enfants?</w:t>
      </w:r>
    </w:p>
    <w:p>
      <w:pPr>
        <w:pStyle w:val="BodyText"/>
      </w:pPr>
      <w:r>
        <w:rPr>
          <w:b/>
        </w:rPr>
        <w:t xml:space="preserve">Prémisses factuelles.</w:t>
      </w:r>
    </w:p>
    <w:p>
      <w:pPr>
        <w:pStyle w:val="Compact"/>
        <w:numPr>
          <w:numId w:val="1023"/>
          <w:ilvl w:val="0"/>
        </w:numPr>
      </w:pPr>
      <w:r>
        <w:t xml:space="preserve">P-1 envisage dès 2013 une relocalisation du père et des accès sans coucher, puis l’installation d’une routine protégée par l’écoulement du temps (faits 4 et 5).</w:t>
      </w:r>
    </w:p>
    <w:p>
      <w:pPr>
        <w:pStyle w:val="Compact"/>
        <w:numPr>
          <w:numId w:val="1023"/>
          <w:ilvl w:val="0"/>
        </w:numPr>
      </w:pPr>
      <w:r>
        <w:t xml:space="preserve">Après son départ de février 2015, le père demande ou instaure effectivement un horaire de quatre heures le dimanche chez ses parents. La Requête le reconnaît et ce fait est concédé (faits 7 à 9 et 23).</w:t>
      </w:r>
    </w:p>
    <w:p>
      <w:pPr>
        <w:pStyle w:val="Compact"/>
        <w:numPr>
          <w:numId w:val="1023"/>
          <w:ilvl w:val="0"/>
        </w:numPr>
      </w:pPr>
      <w:r>
        <w:t xml:space="preserve">Cet horaire initial est un fait vrai. Son existence ne démontre toutefois pas, par elle-même, qu’il constitue la modalité exigée par les besoins des enfants.</w:t>
      </w:r>
    </w:p>
    <w:p>
      <w:pPr>
        <w:pStyle w:val="Compact"/>
        <w:numPr>
          <w:numId w:val="1023"/>
          <w:ilvl w:val="0"/>
        </w:numPr>
      </w:pPr>
      <w:r>
        <w:t xml:space="preserve">Le 27 avril, Me Ayoub oppose à la garde partagée la stabilité de cette routine de deux mois, tout en proposant dans la même lettre des accès élargis avec nuitées (faits 13 à 15).</w:t>
      </w:r>
    </w:p>
    <w:p>
      <w:pPr>
        <w:pStyle w:val="Compact"/>
        <w:numPr>
          <w:numId w:val="1023"/>
          <w:ilvl w:val="0"/>
        </w:numPr>
      </w:pPr>
      <w:r>
        <w:t xml:space="preserve">Le père maintient alors littéralement la routine au nom du principe que Me Ayoub vient d’associer à l’intérêt des enfants (fait 16).</w:t>
      </w:r>
    </w:p>
    <w:p>
      <w:pPr>
        <w:pStyle w:val="Compact"/>
        <w:numPr>
          <w:numId w:val="1023"/>
          <w:ilvl w:val="0"/>
        </w:numPr>
      </w:pPr>
      <w:r>
        <w:t xml:space="preserve">En novembre, la Requête demande la garde exclusive et seulement un accès hebdomadaire, puis qualifie ces conclusions de conformes au meilleur intérêt des enfants sans fournir le lien manquant avec leurs besoins réels (faits 24 à 26).</w:t>
      </w:r>
    </w:p>
    <w:p>
      <w:pPr>
        <w:pStyle w:val="Compact"/>
        <w:numPr>
          <w:numId w:val="1023"/>
          <w:ilvl w:val="0"/>
        </w:numPr>
      </w:pPr>
      <w:r>
        <w:t xml:space="preserve">Le jugement par défaut du 14 janvier 2016 formalise le même horaire du dimanche de 16 h à 20 h qui existait avant la Requête (faits 27 et 28).</w:t>
      </w:r>
    </w:p>
    <w:p>
      <w:pPr>
        <w:pStyle w:val="Compact"/>
        <w:numPr>
          <w:numId w:val="1023"/>
          <w:ilvl w:val="0"/>
        </w:numPr>
      </w:pPr>
      <w:r>
        <w:t xml:space="preserve">En 2019, le §3 affirme que le refus du père a obligé la saisine afin de défendre les droits des enfants; le §4 invoque immédiatement le jugement ayant consacré cette même routine (faits 29 à 31).</w:t>
      </w:r>
    </w:p>
    <w:p>
      <w:pPr>
        <w:pStyle w:val="FirstParagraph"/>
      </w:pPr>
      <w:r>
        <w:rPr>
          <w:b/>
        </w:rPr>
        <w:t xml:space="preserve">Boucle documentaire.</w:t>
      </w:r>
    </w:p>
    <w:p>
      <w:pPr>
        <w:pStyle w:val="BlockText"/>
      </w:pPr>
      <w:r>
        <w:rPr>
          <w:b/>
        </w:rPr>
        <w:t xml:space="preserve">horaire restrictif initial → écoulement du temps → routine → routine invoquée contre la garde partagée → demande judiciaire de maintien hebdomadaire → jugement formalisant la routine → jugement invoqué comme résultat de la défense des droits</w:t>
      </w:r>
    </w:p>
    <w:p>
      <w:pPr>
        <w:pStyle w:val="FirstParagraph"/>
      </w:pPr>
      <w:r>
        <w:rPr>
          <w:b/>
        </w:rPr>
        <w:t xml:space="preserve">Première inférence — circularité.</w:t>
      </w:r>
      <w:r>
        <w:t xml:space="preserve"> </w:t>
      </w:r>
      <w:r>
        <w:t xml:space="preserve">L’existence de la routine devient la raison de la maintenir; le jugement qui la maintient devient ensuite la validation rétrospective de la demande. Ni la durée de la routine ni sa formalisation ne fournissent le maillon absent : pourquoi, à partir de la réalité et des besoins des enfants, quatre heures par semaine et la garde exclusive constituaient-elles la réponse appropriée?</w:t>
      </w:r>
    </w:p>
    <w:p>
      <w:pPr>
        <w:pStyle w:val="BodyText"/>
      </w:pPr>
      <w:r>
        <w:rPr>
          <w:b/>
        </w:rPr>
        <w:t xml:space="preserve">Deuxième inférence — inversion causale.</w:t>
      </w:r>
      <w:r>
        <w:t xml:space="preserve"> </w:t>
      </w:r>
      <w:r>
        <w:t xml:space="preserve">Le §3 isole le refus paternel comme cause de la saisine. Il omet que la partie maternelle a refusé la garde partagée en invoquant la routine, a demandé au Tribunal la garde exclusive avec un accès hebdomadaire et a obtenu la formalisation du régime préexistant. Le refus du père peut avoir contribué à l’absence d’accord; il ne constitue pas, à lui seul, l’explication complète de la saisine ni du résultat demandé.</w:t>
      </w:r>
    </w:p>
    <w:p>
      <w:pPr>
        <w:pStyle w:val="BodyText"/>
      </w:pPr>
      <w:r>
        <w:rPr>
          <w:b/>
        </w:rPr>
        <w:t xml:space="preserve">Troisième inférence — absence de validation rétroactive.</w:t>
      </w:r>
      <w:r>
        <w:t xml:space="preserve"> </w:t>
      </w:r>
      <w:r>
        <w:t xml:space="preserve">Le jugement établit juridiquement les modalités ordonnées. Il ne démontre pas, par sa seule existence, que les prémisses historiques de la Requête étaient vraies ni que le raisonnement absent avait été fourni. Le citer après le §3 ne peut transformer rétroactivement la routine en preuve de son propre bien-fondé initial.</w:t>
      </w:r>
    </w:p>
    <w:p>
      <w:pPr>
        <w:pStyle w:val="BodyText"/>
      </w:pPr>
      <w:r>
        <w:rPr>
          <w:b/>
        </w:rPr>
        <w:t xml:space="preserve">Conclusion.</w:t>
      </w:r>
      <w:r>
        <w:t xml:space="preserve"> </w:t>
      </w:r>
      <w:r>
        <w:t xml:space="preserve">Le §3 et le §4 de 2019 présentent comme défense des droits des enfants l’aboutissement d’une boucle dans laquelle le régime s’est justifié par sa propre continuité, a été formalisé, puis a été invoqué comme validation. Ils effacent simultanément l’origine du régime, le refus maternel de la garde partagée, la demande maternelle de maintien hebdomadaire et l’absence persistante d’un raisonnement fondé sur les besoins réels des enfants.</w:t>
      </w:r>
    </w:p>
    <w:p>
      <w:pPr>
        <w:pStyle w:val="Heading3"/>
      </w:pPr>
      <w:bookmarkStart w:id="82" w:name="indépendance-et-complémentarité"/>
      <w:r>
        <w:t xml:space="preserve">6.4. Indépendance et complémentarité</w:t>
      </w:r>
      <w:bookmarkEnd w:id="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Raisonnement</w:t>
            </w:r>
          </w:p>
        </w:tc>
        <w:tc>
          <w:tcPr>
            <w:tcBorders>
              <w:bottom w:val="single"/>
            </w:tcBorders>
            <w:vAlign w:val="bottom"/>
          </w:tcPr>
          <w:p>
            <w:pPr>
              <w:pStyle w:val="Compact"/>
              <w:jc w:val="left"/>
            </w:pPr>
            <w:r>
              <w:t xml:space="preserve">Ce qu’il établit indépendamment</w:t>
            </w:r>
          </w:p>
        </w:tc>
        <w:tc>
          <w:tcPr>
            <w:tcBorders>
              <w:bottom w:val="single"/>
            </w:tcBorders>
            <w:vAlign w:val="bottom"/>
          </w:tcPr>
          <w:p>
            <w:pPr>
              <w:pStyle w:val="Compact"/>
              <w:jc w:val="left"/>
            </w:pPr>
            <w:r>
              <w:t xml:space="preserve">Ce qu’il apporte aux autres</w:t>
            </w:r>
          </w:p>
        </w:tc>
      </w:tr>
      <w:tr>
        <w:tc>
          <w:p>
            <w:pPr>
              <w:pStyle w:val="Compact"/>
              <w:jc w:val="left"/>
            </w:pPr>
            <w:r>
              <w:rPr>
                <w:b/>
              </w:rPr>
              <w:t xml:space="preserve">1. Défaut de justification</w:t>
            </w:r>
          </w:p>
        </w:tc>
        <w:tc>
          <w:p>
            <w:pPr>
              <w:pStyle w:val="Compact"/>
              <w:jc w:val="left"/>
            </w:pPr>
            <w:r>
              <w:t xml:space="preserve">aucun raisonnement exprimé ne relie la réalité réelle à la garde exclusive malgré la norme et les occasions</w:t>
            </w:r>
          </w:p>
        </w:tc>
        <w:tc>
          <w:p>
            <w:pPr>
              <w:pStyle w:val="Compact"/>
              <w:jc w:val="left"/>
            </w:pPr>
            <w:r>
              <w:t xml:space="preserve">identifie le vide que la substitution et la boucle viennent combler</w:t>
            </w:r>
          </w:p>
        </w:tc>
      </w:tr>
      <w:tr>
        <w:tc>
          <w:p>
            <w:pPr>
              <w:pStyle w:val="Compact"/>
              <w:jc w:val="left"/>
            </w:pPr>
            <w:r>
              <w:rPr>
                <w:b/>
              </w:rPr>
              <w:t xml:space="preserve">2. Substitution factuelle</w:t>
            </w:r>
          </w:p>
        </w:tc>
        <w:tc>
          <w:p>
            <w:pPr>
              <w:pStyle w:val="Compact"/>
              <w:jc w:val="left"/>
            </w:pPr>
            <w:r>
              <w:t xml:space="preserve">une réalité compatible est produite ou représentée à la place de la réalité gouvernante</w:t>
            </w:r>
          </w:p>
        </w:tc>
        <w:tc>
          <w:p>
            <w:pPr>
              <w:pStyle w:val="Compact"/>
              <w:jc w:val="left"/>
            </w:pPr>
            <w:r>
              <w:t xml:space="preserve">explique comment une justification apparente est fournie malgré le vide</w:t>
            </w:r>
          </w:p>
        </w:tc>
      </w:tr>
      <w:tr>
        <w:tc>
          <w:p>
            <w:pPr>
              <w:pStyle w:val="Compact"/>
              <w:jc w:val="left"/>
            </w:pPr>
            <w:r>
              <w:rPr>
                <w:b/>
              </w:rPr>
              <w:t xml:space="preserve">3. Boucle de consolidation</w:t>
            </w:r>
          </w:p>
        </w:tc>
        <w:tc>
          <w:p>
            <w:pPr>
              <w:pStyle w:val="Compact"/>
              <w:jc w:val="left"/>
            </w:pPr>
            <w:r>
              <w:t xml:space="preserve">la routine et le jugement sont utilisés successivement pour valider le régime sans fournir le raisonnement manquant</w:t>
            </w:r>
          </w:p>
        </w:tc>
        <w:tc>
          <w:p>
            <w:pPr>
              <w:pStyle w:val="Compact"/>
              <w:jc w:val="left"/>
            </w:pPr>
            <w:r>
              <w:t xml:space="preserve">explique comment le résultat acquiert une apparence cumulative de légitimité</w:t>
            </w:r>
          </w:p>
        </w:tc>
      </w:tr>
    </w:tbl>
    <w:p>
      <w:pPr>
        <w:pStyle w:val="BodyText"/>
      </w:pPr>
      <w:r>
        <w:t xml:space="preserve">Les trois raisonnements peuvent être discutés séparément. Ensemble, ils établissent une séquence complète :</w:t>
      </w:r>
    </w:p>
    <w:p>
      <w:pPr>
        <w:pStyle w:val="BlockText"/>
      </w:pPr>
      <w:r>
        <w:rPr>
          <w:b/>
        </w:rPr>
        <w:t xml:space="preserve">raisonnement requis mais absent → réalité compatible substituée → régime consolidé par sa propre existence → jugement invoqué comme validation → refus paternel présenté rétrospectivement comme cause et droits des enfants comme finalité.</w:t>
      </w:r>
    </w:p>
    <w:p>
      <w:pPr>
        <w:pStyle w:val="Heading2"/>
      </w:pPr>
      <w:bookmarkStart w:id="83" w:name="pièces-nécessaires"/>
      <w:r>
        <w:t xml:space="preserve">7. Pièces nécessaires</w:t>
      </w:r>
      <w:bookmarkEnd w:id="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cadre normatif du raisonnement 1</w:t>
            </w:r>
          </w:p>
        </w:tc>
        <w:tc>
          <w:p>
            <w:pPr>
              <w:pStyle w:val="Compact"/>
              <w:jc w:val="left"/>
            </w:pPr>
            <w:r>
              <w:t xml:space="preserve">art. 33 C.c.Q. et autorités relatives à l’intérêt de l’enfant</w:t>
            </w:r>
          </w:p>
        </w:tc>
        <w:tc>
          <w:p>
            <w:pPr>
              <w:pStyle w:val="Compact"/>
              <w:jc w:val="left"/>
            </w:pPr>
            <w:r>
              <w:rPr>
                <w:b/>
              </w:rPr>
              <w:t xml:space="preserve">qualification juridique à valider avec le procureur</w:t>
            </w:r>
          </w:p>
        </w:tc>
      </w:tr>
      <w:tr>
        <w:tc>
          <w:p>
            <w:pPr>
              <w:pStyle w:val="Compact"/>
              <w:jc w:val="left"/>
            </w:pPr>
            <w:r>
              <w:t xml:space="preserve">1-5</w:t>
            </w:r>
          </w:p>
        </w:tc>
        <w:tc>
          <w:p>
            <w:pPr>
              <w:pStyle w:val="Compact"/>
              <w:jc w:val="left"/>
            </w:pPr>
            <w:hyperlink r:id="rId52">
              <w:r>
                <w:rPr>
                  <w:rStyle w:val="Hyperlink"/>
                </w:rPr>
                <w:t xml:space="preserve">piece_pdf-1.md</w:t>
              </w:r>
            </w:hyperlink>
            <w:r>
              <w:t xml:space="preserve"> </w:t>
            </w:r>
            <w:r>
              <w:t xml:space="preserve">(P-1) +</w:t>
            </w:r>
            <w:r>
              <w:t xml:space="preserve"> </w:t>
            </w:r>
            <w:hyperlink r:id="rId69">
              <w:r>
                <w:rPr>
                  <w:rStyle w:val="Hyperlink"/>
                </w:rPr>
                <w:t xml:space="preserve">analyse maîtresse</w:t>
              </w:r>
            </w:hyperlink>
          </w:p>
        </w:tc>
        <w:tc>
          <w:p>
            <w:pPr>
              <w:pStyle w:val="Compact"/>
              <w:jc w:val="left"/>
            </w:pPr>
            <w:r>
              <w:t xml:space="preserve">disponible ;</w:t>
            </w:r>
            <w:r>
              <w:t xml:space="preserve"> </w:t>
            </w:r>
            <w:r>
              <w:rPr>
                <w:b/>
              </w:rPr>
              <w:t xml:space="preserve">recevabilité/secret professionnel à faire trancher</w:t>
            </w:r>
          </w:p>
        </w:tc>
      </w:tr>
      <w:tr>
        <w:tc>
          <w:p>
            <w:pPr>
              <w:pStyle w:val="Compact"/>
              <w:jc w:val="left"/>
            </w:pPr>
            <w:r>
              <w:t xml:space="preserve">6</w:t>
            </w:r>
          </w:p>
        </w:tc>
        <w:tc>
          <w:p>
            <w:pPr>
              <w:pStyle w:val="Compact"/>
              <w:jc w:val="left"/>
            </w:pPr>
            <w:hyperlink r:id="rId45">
              <w:r>
                <w:rPr>
                  <w:rStyle w:val="Hyperlink"/>
                </w:rPr>
                <w:t xml:space="preserve">piece_thread-89_email-365.md</w:t>
              </w:r>
            </w:hyperlink>
            <w:r>
              <w:t xml:space="preserve">, courriel du 26 juin 2013</w:t>
            </w:r>
          </w:p>
        </w:tc>
        <w:tc>
          <w:p>
            <w:pPr>
              <w:pStyle w:val="Compact"/>
              <w:jc w:val="left"/>
            </w:pPr>
            <w:r>
              <w:t xml:space="preserve">disponible ; communication avec l’avocate du défendeur, renonciation délimitée à encadrer</w:t>
            </w:r>
          </w:p>
        </w:tc>
      </w:tr>
      <w:tr>
        <w:tc>
          <w:p>
            <w:pPr>
              <w:pStyle w:val="Compact"/>
              <w:jc w:val="left"/>
            </w:pPr>
            <w:r>
              <w:t xml:space="preserve">7</w:t>
            </w:r>
          </w:p>
        </w:tc>
        <w:tc>
          <w:p>
            <w:pPr>
              <w:pStyle w:val="Compact"/>
              <w:jc w:val="left"/>
            </w:pPr>
            <w:hyperlink r:id="rId54">
              <w:r>
                <w:rPr>
                  <w:rStyle w:val="Hyperlink"/>
                </w:rPr>
                <w:t xml:space="preserve">piece_document-1.md</w:t>
              </w:r>
            </w:hyperlink>
            <w:r>
              <w:t xml:space="preserve">, §4 ; fait concédé</w:t>
            </w:r>
          </w:p>
        </w:tc>
        <w:tc>
          <w:p>
            <w:pPr>
              <w:pStyle w:val="Compact"/>
              <w:jc w:val="left"/>
            </w:pPr>
            <w:r>
              <w:t xml:space="preserve">disponible</w:t>
            </w:r>
          </w:p>
        </w:tc>
      </w:tr>
      <w:tr>
        <w:tc>
          <w:p>
            <w:pPr>
              <w:pStyle w:val="Compact"/>
              <w:jc w:val="left"/>
            </w:pPr>
            <w:r>
              <w:t xml:space="preserve">8-9, 23</w:t>
            </w:r>
          </w:p>
        </w:tc>
        <w:tc>
          <w:p>
            <w:pPr>
              <w:pStyle w:val="Compact"/>
              <w:jc w:val="left"/>
            </w:pPr>
            <w:hyperlink r:id="rId54">
              <w:r>
                <w:rPr>
                  <w:rStyle w:val="Hyperlink"/>
                </w:rPr>
                <w:t xml:space="preserve">piece_document-1.md</w:t>
              </w:r>
            </w:hyperlink>
            <w:r>
              <w:t xml:space="preserve">, §20 +</w:t>
            </w:r>
            <w:r>
              <w:t xml:space="preserve"> </w:t>
            </w:r>
            <w:hyperlink r:id="rId55">
              <w:r>
                <w:rPr>
                  <w:rStyle w:val="Hyperlink"/>
                </w:rPr>
                <w:t xml:space="preserve">pont §20-21</w:t>
              </w:r>
            </w:hyperlink>
          </w:p>
        </w:tc>
        <w:tc>
          <w:p>
            <w:pPr>
              <w:pStyle w:val="Compact"/>
              <w:jc w:val="left"/>
            </w:pPr>
            <w:r>
              <w:t xml:space="preserve">horaire et origine immédiate concédés ; contexte traité séparément</w:t>
            </w:r>
          </w:p>
        </w:tc>
      </w:tr>
      <w:tr>
        <w:tc>
          <w:p>
            <w:pPr>
              <w:pStyle w:val="Compact"/>
              <w:jc w:val="left"/>
            </w:pPr>
            <w:r>
              <w:t xml:space="preserve">10</w:t>
            </w:r>
          </w:p>
        </w:tc>
        <w:tc>
          <w:p>
            <w:pPr>
              <w:pStyle w:val="Compact"/>
              <w:jc w:val="left"/>
            </w:pPr>
            <w:r>
              <w:t xml:space="preserve">ébauche/offre du 4 mars recensée dans</w:t>
            </w:r>
            <w:r>
              <w:t xml:space="preserve"> </w:t>
            </w:r>
            <w:hyperlink r:id="rId26">
              <w:r>
                <w:rPr>
                  <w:rStyle w:val="Hyperlink"/>
                </w:rPr>
                <w:t xml:space="preserve">faits_par3_2019.md</w:t>
              </w:r>
            </w:hyperlink>
          </w:p>
        </w:tc>
        <w:tc>
          <w:p>
            <w:pPr>
              <w:pStyle w:val="Compact"/>
              <w:jc w:val="left"/>
            </w:pPr>
            <w:r>
              <w:t xml:space="preserve">pièce source à stabiliser</w:t>
            </w:r>
          </w:p>
        </w:tc>
      </w:tr>
      <w:tr>
        <w:tc>
          <w:p>
            <w:pPr>
              <w:pStyle w:val="Compact"/>
              <w:jc w:val="left"/>
            </w:pPr>
            <w:r>
              <w:t xml:space="preserve">11</w:t>
            </w:r>
          </w:p>
        </w:tc>
        <w:tc>
          <w:p>
            <w:pPr>
              <w:pStyle w:val="Compact"/>
              <w:jc w:val="left"/>
            </w:pPr>
            <w:r>
              <w:t xml:space="preserve">P-2, messages du 7 avril produits par la demanderesse</w:t>
            </w:r>
          </w:p>
        </w:tc>
        <w:tc>
          <w:p>
            <w:pPr>
              <w:pStyle w:val="Compact"/>
              <w:jc w:val="left"/>
            </w:pPr>
            <w:r>
              <w:t xml:space="preserve">produite par la demanderesse ; à extraire/coter</w:t>
            </w:r>
          </w:p>
        </w:tc>
      </w:tr>
      <w:tr>
        <w:tc>
          <w:p>
            <w:pPr>
              <w:pStyle w:val="Compact"/>
              <w:jc w:val="left"/>
            </w:pPr>
            <w:r>
              <w:t xml:space="preserve">12</w:t>
            </w:r>
          </w:p>
        </w:tc>
        <w:tc>
          <w:p>
            <w:pPr>
              <w:pStyle w:val="Compact"/>
              <w:jc w:val="left"/>
            </w:pPr>
            <w:hyperlink r:id="rId57">
              <w:r>
                <w:rPr>
                  <w:rStyle w:val="Hyperlink"/>
                </w:rPr>
                <w:t xml:space="preserve">piece_pdf-2.md</w:t>
              </w:r>
            </w:hyperlink>
            <w:r>
              <w:t xml:space="preserve">, offre du 20 avril</w:t>
            </w:r>
          </w:p>
        </w:tc>
        <w:tc>
          <w:p>
            <w:pPr>
              <w:pStyle w:val="Compact"/>
              <w:jc w:val="left"/>
            </w:pPr>
            <w:r>
              <w:t xml:space="preserve">disponible ; privilège de règlement à faire trancher</w:t>
            </w:r>
          </w:p>
        </w:tc>
      </w:tr>
      <w:tr>
        <w:tc>
          <w:p>
            <w:pPr>
              <w:pStyle w:val="Compact"/>
              <w:jc w:val="left"/>
            </w:pPr>
            <w:r>
              <w:t xml:space="preserve">13-15</w:t>
            </w:r>
          </w:p>
        </w:tc>
        <w:tc>
          <w:p>
            <w:pPr>
              <w:pStyle w:val="Compact"/>
              <w:jc w:val="left"/>
            </w:pPr>
            <w:hyperlink r:id="rId58">
              <w:r>
                <w:rPr>
                  <w:rStyle w:val="Hyperlink"/>
                </w:rPr>
                <w:t xml:space="preserve">piece_pdf-3.md</w:t>
              </w:r>
            </w:hyperlink>
            <w:r>
              <w:t xml:space="preserve">, C2-C3</w:t>
            </w:r>
          </w:p>
        </w:tc>
        <w:tc>
          <w:p>
            <w:pPr>
              <w:pStyle w:val="Compact"/>
              <w:jc w:val="left"/>
            </w:pPr>
            <w:r>
              <w:t xml:space="preserve">disponible ; privilège de règlement à faire trancher</w:t>
            </w:r>
          </w:p>
        </w:tc>
      </w:tr>
      <w:tr>
        <w:tc>
          <w:p>
            <w:pPr>
              <w:pStyle w:val="Compact"/>
              <w:jc w:val="left"/>
            </w:pPr>
            <w:r>
              <w:t xml:space="preserve">16</w:t>
            </w:r>
          </w:p>
        </w:tc>
        <w:tc>
          <w:p>
            <w:pPr>
              <w:pStyle w:val="Compact"/>
              <w:jc w:val="left"/>
            </w:pPr>
            <w:hyperlink r:id="rId59">
              <w:r>
                <w:rPr>
                  <w:rStyle w:val="Hyperlink"/>
                </w:rPr>
                <w:t xml:space="preserve">piece_thread-100_email-399.md</w:t>
              </w:r>
            </w:hyperlink>
            <w:r>
              <w:t xml:space="preserve">, réponse du 27 avril</w:t>
            </w:r>
          </w:p>
        </w:tc>
        <w:tc>
          <w:p>
            <w:pPr>
              <w:pStyle w:val="Compact"/>
              <w:jc w:val="left"/>
            </w:pPr>
            <w:r>
              <w:t xml:space="preserve">disponible ; communication avec l’avocat du défendeur, renonciation délimitée à encadrer</w:t>
            </w:r>
          </w:p>
        </w:tc>
      </w:tr>
      <w:tr>
        <w:tc>
          <w:p>
            <w:pPr>
              <w:pStyle w:val="Compact"/>
              <w:jc w:val="left"/>
            </w:pPr>
            <w:r>
              <w:t xml:space="preserve">17</w:t>
            </w:r>
          </w:p>
        </w:tc>
        <w:tc>
          <w:p>
            <w:pPr>
              <w:pStyle w:val="Compact"/>
              <w:jc w:val="left"/>
            </w:pPr>
            <w:hyperlink r:id="rId46">
              <w:r>
                <w:rPr>
                  <w:rStyle w:val="Hyperlink"/>
                </w:rPr>
                <w:t xml:space="preserve">piece_thread-116_email-475.md</w:t>
              </w:r>
            </w:hyperlink>
            <w:r>
              <w:t xml:space="preserve">, courriel du 15 mai + P-1 jointe</w:t>
            </w:r>
          </w:p>
        </w:tc>
        <w:tc>
          <w:p>
            <w:pPr>
              <w:pStyle w:val="Compact"/>
              <w:jc w:val="left"/>
            </w:pPr>
            <w:r>
              <w:t xml:space="preserve">disponible ; double question de secret professionnel à traiter séparément</w:t>
            </w:r>
          </w:p>
        </w:tc>
      </w:tr>
      <w:tr>
        <w:tc>
          <w:p>
            <w:pPr>
              <w:pStyle w:val="Compact"/>
              <w:jc w:val="left"/>
            </w:pPr>
            <w:r>
              <w:t xml:space="preserve">18</w:t>
            </w:r>
          </w:p>
        </w:tc>
        <w:tc>
          <w:p>
            <w:pPr>
              <w:pStyle w:val="Compact"/>
              <w:jc w:val="left"/>
            </w:pPr>
            <w:hyperlink r:id="rId60">
              <w:r>
                <w:rPr>
                  <w:rStyle w:val="Hyperlink"/>
                </w:rPr>
                <w:t xml:space="preserve">piece_pdf-5.md</w:t>
              </w:r>
            </w:hyperlink>
            <w:r>
              <w:t xml:space="preserve">, projet du 13 août</w:t>
            </w:r>
          </w:p>
        </w:tc>
        <w:tc>
          <w:p>
            <w:pPr>
              <w:pStyle w:val="Compact"/>
              <w:jc w:val="left"/>
            </w:pPr>
            <w:r>
              <w:t xml:space="preserve">disponible ; privilège de règlement à faire trancher</w:t>
            </w:r>
          </w:p>
        </w:tc>
      </w:tr>
      <w:tr>
        <w:tc>
          <w:p>
            <w:pPr>
              <w:pStyle w:val="Compact"/>
              <w:jc w:val="left"/>
            </w:pPr>
            <w:r>
              <w:t xml:space="preserve">19</w:t>
            </w:r>
          </w:p>
        </w:tc>
        <w:tc>
          <w:p>
            <w:pPr>
              <w:pStyle w:val="Compact"/>
              <w:jc w:val="left"/>
            </w:pPr>
            <w:hyperlink r:id="rId61">
              <w:r>
                <w:rPr>
                  <w:rStyle w:val="Hyperlink"/>
                </w:rPr>
                <w:t xml:space="preserve">piece_pdf-6.md</w:t>
              </w:r>
            </w:hyperlink>
            <w:r>
              <w:t xml:space="preserve">, réponse du 2 septembre</w:t>
            </w:r>
          </w:p>
        </w:tc>
        <w:tc>
          <w:p>
            <w:pPr>
              <w:pStyle w:val="Compact"/>
              <w:jc w:val="left"/>
            </w:pPr>
            <w:r>
              <w:t xml:space="preserve">disponible ; privilège de règlement à faire trancher</w:t>
            </w:r>
          </w:p>
        </w:tc>
      </w:tr>
      <w:tr>
        <w:tc>
          <w:p>
            <w:pPr>
              <w:pStyle w:val="Compact"/>
              <w:jc w:val="left"/>
            </w:pPr>
            <w:r>
              <w:t xml:space="preserve">20</w:t>
            </w:r>
          </w:p>
        </w:tc>
        <w:tc>
          <w:p>
            <w:pPr>
              <w:pStyle w:val="Compact"/>
              <w:jc w:val="left"/>
            </w:pPr>
            <w:r>
              <w:t xml:space="preserve">corpus de négociation recensé dans</w:t>
            </w:r>
            <w:r>
              <w:t xml:space="preserve"> </w:t>
            </w:r>
            <w:hyperlink r:id="rId26">
              <w:r>
                <w:rPr>
                  <w:rStyle w:val="Hyperlink"/>
                </w:rPr>
                <w:t xml:space="preserve">faits_par3_2019.md</w:t>
              </w:r>
            </w:hyperlink>
            <w:r>
              <w:t xml:space="preserve">, faits 16-bis et 28-48</w:t>
            </w:r>
          </w:p>
        </w:tc>
        <w:tc>
          <w:p>
            <w:pPr>
              <w:pStyle w:val="Compact"/>
              <w:jc w:val="left"/>
            </w:pPr>
            <w:r>
              <w:t xml:space="preserve">absence documentaire ; corpus à produire de manière complète si invoqué</w:t>
            </w:r>
          </w:p>
        </w:tc>
      </w:tr>
      <w:tr>
        <w:tc>
          <w:p>
            <w:pPr>
              <w:pStyle w:val="Compact"/>
              <w:jc w:val="left"/>
            </w:pPr>
            <w:r>
              <w:t xml:space="preserve">21, 23-26</w:t>
            </w:r>
          </w:p>
        </w:tc>
        <w:tc>
          <w:p>
            <w:pPr>
              <w:pStyle w:val="Compact"/>
              <w:jc w:val="left"/>
            </w:pPr>
            <w:hyperlink r:id="rId54">
              <w:r>
                <w:rPr>
                  <w:rStyle w:val="Hyperlink"/>
                </w:rPr>
                <w:t xml:space="preserve">piece_document-1.md</w:t>
              </w:r>
            </w:hyperlink>
            <w:r>
              <w:t xml:space="preserve">, Requête de novembre 2015</w:t>
            </w:r>
          </w:p>
        </w:tc>
        <w:tc>
          <w:p>
            <w:pPr>
              <w:pStyle w:val="Compact"/>
              <w:jc w:val="left"/>
            </w:pPr>
            <w:r>
              <w:t xml:space="preserve">disponible</w:t>
            </w:r>
          </w:p>
        </w:tc>
      </w:tr>
      <w:tr>
        <w:tc>
          <w:p>
            <w:pPr>
              <w:pStyle w:val="Compact"/>
              <w:jc w:val="left"/>
            </w:pPr>
            <w:r>
              <w:t xml:space="preserve">22</w:t>
            </w:r>
          </w:p>
        </w:tc>
        <w:tc>
          <w:p>
            <w:pPr>
              <w:pStyle w:val="Compact"/>
              <w:jc w:val="left"/>
            </w:pPr>
            <w:hyperlink r:id="rId23">
              <w:r>
                <w:rPr>
                  <w:rStyle w:val="Hyperlink"/>
                </w:rPr>
                <w:t xml:space="preserve">synthese_abus_diffamation_requete2015.md</w:t>
              </w:r>
            </w:hyperlink>
            <w:r>
              <w:t xml:space="preserve"> </w:t>
            </w:r>
            <w:r>
              <w:t xml:space="preserve">+ ponts 4-6, 7, 9, 14-18, 30-31 et 56-57</w:t>
            </w:r>
          </w:p>
        </w:tc>
        <w:tc>
          <w:p>
            <w:pPr>
              <w:pStyle w:val="Compact"/>
              <w:jc w:val="left"/>
            </w:pPr>
            <w:r>
              <w:t xml:space="preserve">preuve incorporée par renvoi ; retenir seulement le noyau affirmativement contredit/connu faux</w:t>
            </w:r>
          </w:p>
        </w:tc>
      </w:tr>
      <w:tr>
        <w:tc>
          <w:p>
            <w:pPr>
              <w:pStyle w:val="Compact"/>
              <w:jc w:val="left"/>
            </w:pPr>
            <w:r>
              <w:t xml:space="preserve">27-28</w:t>
            </w:r>
          </w:p>
        </w:tc>
        <w:tc>
          <w:p>
            <w:pPr>
              <w:pStyle w:val="Compact"/>
              <w:jc w:val="left"/>
            </w:pPr>
            <w:hyperlink r:id="rId64">
              <w:r>
                <w:rPr>
                  <w:rStyle w:val="Hyperlink"/>
                </w:rPr>
                <w:t xml:space="preserve">piece_pdf-14.md</w:t>
              </w:r>
            </w:hyperlink>
            <w:r>
              <w:t xml:space="preserve">, jugement du 14 janvier 2016</w:t>
            </w:r>
          </w:p>
        </w:tc>
        <w:tc>
          <w:p>
            <w:pPr>
              <w:pStyle w:val="Compact"/>
              <w:jc w:val="left"/>
            </w:pPr>
            <w:r>
              <w:t xml:space="preserve">disponible ; jugement par défaut et horaire exact</w:t>
            </w:r>
          </w:p>
        </w:tc>
      </w:tr>
      <w:tr>
        <w:tc>
          <w:p>
            <w:pPr>
              <w:pStyle w:val="Compact"/>
              <w:jc w:val="left"/>
            </w:pPr>
            <w:r>
              <w:t xml:space="preserve">29-31</w:t>
            </w:r>
          </w:p>
        </w:tc>
        <w:tc>
          <w:p>
            <w:pPr>
              <w:pStyle w:val="Compact"/>
              <w:jc w:val="left"/>
            </w:pPr>
            <w:hyperlink r:id="rId65">
              <w:r>
                <w:rPr>
                  <w:rStyle w:val="Hyperlink"/>
                </w:rPr>
                <w:t xml:space="preserve">piece_document-3.md</w:t>
              </w:r>
            </w:hyperlink>
            <w:r>
              <w:t xml:space="preserve">, §3-4</w:t>
            </w:r>
          </w:p>
        </w:tc>
        <w:tc>
          <w:p>
            <w:pPr>
              <w:pStyle w:val="Compact"/>
              <w:jc w:val="left"/>
            </w:pPr>
            <w:r>
              <w:t xml:space="preserve">document reproduit ; pièce/cote finale à stabiliser</w:t>
            </w:r>
          </w:p>
        </w:tc>
      </w:tr>
    </w:tbl>
    <w:p>
      <w:pPr>
        <w:pStyle w:val="Heading2"/>
      </w:pPr>
      <w:bookmarkStart w:id="84" w:name="prudences-de-rédaction"/>
      <w:r>
        <w:t xml:space="preserve">8. Prudences de rédaction</w:t>
      </w:r>
      <w:bookmarkEnd w:id="84"/>
    </w:p>
    <w:p>
      <w:pPr>
        <w:pStyle w:val="Compact"/>
        <w:numPr>
          <w:numId w:val="1024"/>
          <w:ilvl w:val="0"/>
        </w:numPr>
      </w:pPr>
      <w:r>
        <w:rPr>
          <w:b/>
        </w:rPr>
        <w:t xml:space="preserve">Mener avec le fait 2</w:t>
      </w:r>
      <w:r>
        <w:t xml:space="preserve"> </w:t>
      </w:r>
      <w:r>
        <w:t xml:space="preserve">(P-2, « je ne vais pas poursuivre de procédure ») : c’est</w:t>
      </w:r>
      <w:r>
        <w:t xml:space="preserve"> </w:t>
      </w:r>
      <w:r>
        <w:rPr>
          <w:b/>
        </w:rPr>
        <w:t xml:space="preserve">la pièce de la demanderesse elle-même</w:t>
      </w:r>
      <w:r>
        <w:t xml:space="preserve">, produite par elle, non grevée de privilège — mais elle</w:t>
      </w:r>
      <w:r>
        <w:t xml:space="preserve"> </w:t>
      </w:r>
      <w:r>
        <w:rPr>
          <w:b/>
        </w:rPr>
        <w:t xml:space="preserve">ne rend pas</w:t>
      </w:r>
      <w:r>
        <w:t xml:space="preserve"> </w:t>
      </w:r>
      <w:r>
        <w:t xml:space="preserve">pour autant toutes les autres lettres admissibles ; elle établit une</w:t>
      </w:r>
      <w:r>
        <w:t xml:space="preserve"> </w:t>
      </w:r>
      <w:r>
        <w:rPr>
          <w:b/>
        </w:rPr>
        <w:t xml:space="preserve">position distincte et plus favorable</w:t>
      </w:r>
      <w:r>
        <w:t xml:space="preserve">, pas une renonciation générale.</w:t>
      </w:r>
    </w:p>
    <w:p>
      <w:pPr>
        <w:pStyle w:val="Compact"/>
        <w:numPr>
          <w:numId w:val="1024"/>
          <w:ilvl w:val="0"/>
        </w:numPr>
      </w:pPr>
      <w:r>
        <w:rPr>
          <w:b/>
        </w:rPr>
        <w:t xml:space="preserve">⚠️ Renonciation au privilège de règlement — NON acquise, à faire trancher.</w:t>
      </w:r>
      <w:r>
        <w:t xml:space="preserve"> </w:t>
      </w:r>
      <w:r>
        <w:t xml:space="preserve">Le privilège couvre en principe les communications visant un règlement (</w:t>
      </w:r>
      <w:r>
        <w:rPr>
          <w:i/>
        </w:rPr>
        <w:t xml:space="preserve">Union Carbide c. Bombardier</w:t>
      </w:r>
      <w:r>
        <w:t xml:space="preserve">, 2014 CSC 35, par. 31-34), avec des</w:t>
      </w:r>
      <w:r>
        <w:t xml:space="preserve"> </w:t>
      </w:r>
      <w:r>
        <w:rPr>
          <w:b/>
        </w:rPr>
        <w:t xml:space="preserve">exceptions</w:t>
      </w:r>
      <w:r>
        <w:t xml:space="preserve"> </w:t>
      </w:r>
      <w:r>
        <w:t xml:space="preserve">lorsqu’un intérêt public opposé l’emporte — notamment en présence d’allégations de</w:t>
      </w:r>
      <w:r>
        <w:t xml:space="preserve"> </w:t>
      </w:r>
      <w:r>
        <w:rPr>
          <w:b/>
        </w:rPr>
        <w:t xml:space="preserve">fraude ou de déclaration inexacte</w:t>
      </w:r>
      <w:r>
        <w:t xml:space="preserve">. Que §3 mette l’amiable</w:t>
      </w:r>
      <w:r>
        <w:t xml:space="preserve"> </w:t>
      </w:r>
      <w:r>
        <w:rPr>
          <w:i/>
        </w:rPr>
        <w:t xml:space="preserve">en litige</w:t>
      </w:r>
      <w:r>
        <w:t xml:space="preserve"> </w:t>
      </w:r>
      <w:r>
        <w:rPr>
          <w:b/>
        </w:rPr>
        <w:t xml:space="preserve">peut soutenir</w:t>
      </w:r>
      <w:r>
        <w:t xml:space="preserve"> </w:t>
      </w:r>
      <w:r>
        <w:t xml:space="preserve">une renonciation, mais celle-ci exige une</w:t>
      </w:r>
      <w:r>
        <w:t xml:space="preserve"> </w:t>
      </w:r>
      <w:r>
        <w:rPr>
          <w:b/>
        </w:rPr>
        <w:t xml:space="preserve">décision judiciaire</w:t>
      </w:r>
      <w:r>
        <w:t xml:space="preserve"> </w:t>
      </w:r>
      <w:r>
        <w:t xml:space="preserve">; ne pas l’affirmer comme automatique. Tant qu’elle n’est pas tranchée, mener avec P-2 (admissible) et réserver pdf-2/3/6.</w:t>
      </w:r>
    </w:p>
    <w:p>
      <w:pPr>
        <w:pStyle w:val="Compact"/>
        <w:numPr>
          <w:numId w:val="1024"/>
          <w:ilvl w:val="0"/>
        </w:numPr>
      </w:pPr>
      <w:r>
        <w:rPr>
          <w:b/>
        </w:rPr>
        <w:t xml:space="preserve">Autorat</w:t>
      </w:r>
      <w:r>
        <w:t xml:space="preserve"> </w:t>
      </w:r>
      <w:r>
        <w:t xml:space="preserve">: §3 = Élise jure /</w:t>
      </w:r>
      <w:r>
        <w:t xml:space="preserve"> </w:t>
      </w:r>
      <w:r>
        <w:rPr>
          <w:b/>
        </w:rPr>
        <w:t xml:space="preserve">Me Ayoub rédige</w:t>
      </w:r>
      <w:r>
        <w:t xml:space="preserve"> </w:t>
      </w:r>
      <w:r>
        <w:t xml:space="preserve">(DA-2019, 2019). Le nommer ainsi ; réserver « Ferreira » à la Requête de 2015.</w:t>
      </w:r>
    </w:p>
    <w:p>
      <w:pPr>
        <w:pStyle w:val="Compact"/>
        <w:numPr>
          <w:numId w:val="1024"/>
          <w:ilvl w:val="0"/>
        </w:numPr>
      </w:pPr>
      <w:r>
        <w:t xml:space="preserve">Réserver aux moyens le niveau central (asymétrie d’information, reconfigurations et patron). La section factuelle propre au §3 se limite aux actes documentés ; la fausse finalité est incorporée par renvoi aux faits essentiels déjà distillés dans les ponts de 2015.</w:t>
      </w:r>
    </w:p>
    <w:p>
      <w:pPr>
        <w:pStyle w:val="Compact"/>
        <w:numPr>
          <w:numId w:val="1024"/>
          <w:ilvl w:val="0"/>
        </w:numPr>
      </w:pPr>
      <w:r>
        <w:rPr>
          <w:b/>
        </w:rPr>
        <w:t xml:space="preserve">P-1</w:t>
      </w:r>
      <w:r>
        <w:t xml:space="preserve"> </w:t>
      </w:r>
      <w:r>
        <w:t xml:space="preserve">: son rôle causal est central, mais sa recevabilité doit être tranchée. Conserver séparément l’analyse conditionnelle : si P-1 est recevable, il documente directement la planification ; s’il ne l’est pas, la fausse cause demeure soutenue par les négociations et la fausse finalité par le noyau 2015, mais la planification antérieure ne peut être plaidée au moyen de ce document.</w:t>
      </w:r>
    </w:p>
    <w:p>
      <w:pPr>
        <w:pStyle w:val="Compact"/>
        <w:numPr>
          <w:numId w:val="1024"/>
          <w:ilvl w:val="0"/>
        </w:numPr>
      </w:pPr>
      <w:r>
        <w:rPr>
          <w:b/>
        </w:rPr>
        <w:t xml:space="preserve">Connaissance du défendeur si P-1 est exclu.</w:t>
      </w:r>
      <w:r>
        <w:t xml:space="preserve"> </w:t>
      </w:r>
      <w:r>
        <w:t xml:space="preserve">L’exclusion éventuelle de P-1 n’efface ni l’état d’esprit du défendeur ni les comportements qu’il a produits. Le courriel du 26 juin 2013 permet d’établir indépendamment qu’il percevait déjà une stratégie juridique et la constitution d’un registre de danger. Comme il s’agit d’une communication à sa propre avocate, son utilisation suppose une renonciation volontaire et suffisamment délimitée à son propre secret professionnel. Ne pas lui faire dire qu’il connaissait textuellement toute la mécanique de P-1 : la connaissance précise du volet « routine » doit être établie par P-1 s’il est recevable ou présentée comme une inférence tirée de la séquence 2013-2015.</w:t>
      </w:r>
    </w:p>
    <w:p>
      <w:pPr>
        <w:pStyle w:val="Compact"/>
        <w:numPr>
          <w:numId w:val="1024"/>
          <w:ilvl w:val="0"/>
        </w:numPr>
      </w:pPr>
      <w:r>
        <w:rPr>
          <w:b/>
        </w:rPr>
        <w:t xml:space="preserve">Email-475 et double couche de secret.</w:t>
      </w:r>
      <w:r>
        <w:t xml:space="preserve"> </w:t>
      </w:r>
      <w:r>
        <w:t xml:space="preserve">Le défendeur peut décider de renoncer à son propre secret relativement à sa communication du 15 mai 2015. Cette renonciation ne lui permet pas automatiquement de lever le secret revendiqué par la demanderesse sur P-1, joint à son courriel. Si P-1 est recevable, email-475 établit directement sa possession et sa mobilisation pendant les négociations. Si P-1 est exclu, préserver séparément les passages autonomes de l’email-475 — raisons du refus, volonté d’assumer les obligations parentales et caractère conditionnel du recours au Tribunal — sans utiliser la pièce jointe pour contourner l’exclusion.</w:t>
      </w:r>
    </w:p>
    <w:p>
      <w:pPr>
        <w:pStyle w:val="Compact"/>
        <w:numPr>
          <w:numId w:val="1024"/>
          <w:ilvl w:val="0"/>
        </w:numPr>
      </w:pPr>
      <w:r>
        <w:rPr>
          <w:b/>
        </w:rPr>
        <w:t xml:space="preserve">Complétude du thread 116.</w:t>
      </w:r>
      <w:r>
        <w:t xml:space="preserve"> </w:t>
      </w:r>
      <w:r>
        <w:t xml:space="preserve">Toute utilisation d’email-475 doit tenir compte d’email-476 (21 mai), où le défendeur propose trois issues mais les qualifie de « non négociables » et exclut les autres options. Concéder la fermeté et le refus d’autres modalités. Ce passage ne transforme pas cette position en refus de l’amiable comme mode, mais il interdit de présenter le défendeur comme entièrement flexible.</w:t>
      </w:r>
    </w:p>
    <w:p>
      <w:pPr>
        <w:pStyle w:val="Heading2"/>
      </w:pPr>
      <w:bookmarkStart w:id="85" w:name="version-procédurale-distillée"/>
      <w:r>
        <w:t xml:space="preserve">9. Version procédurale distillée</w:t>
      </w:r>
      <w:bookmarkEnd w:id="85"/>
    </w:p>
    <w:p>
      <w:pPr>
        <w:pStyle w:val="Compact"/>
        <w:numPr>
          <w:numId w:val="1025"/>
          <w:ilvl w:val="0"/>
        </w:numPr>
      </w:pPr>
      <w:r>
        <w:t xml:space="preserve">Toute décision relative à la garde devait être appréciée à partir de l’intérêt des enfants et, par conséquent, de leur réalité vécue.</w:t>
      </w:r>
    </w:p>
    <w:p>
      <w:pPr>
        <w:pStyle w:val="Compact"/>
        <w:numPr>
          <w:numId w:val="1025"/>
          <w:ilvl w:val="0"/>
        </w:numPr>
      </w:pPr>
      <w:r>
        <w:t xml:space="preserve">En juin 2013, P-1 nommait d’abord la garde exclusive recherchée. La présence contemporaine du défendeur auprès des enfants empêchait de présenter cette conclusion comme la simple continuité d’une organisation maternelle déjà établie.</w:t>
      </w:r>
    </w:p>
    <w:p>
      <w:pPr>
        <w:pStyle w:val="Compact"/>
        <w:numPr>
          <w:numId w:val="1025"/>
          <w:ilvl w:val="0"/>
        </w:numPr>
      </w:pPr>
      <w:r>
        <w:t xml:space="preserve">Le plan choisissait précisément cette présence comme variable à transformer : relocaliser le défendeur, limiter ses contacts à des accès sans coucher, laisser cette réduction devenir une routine mère-enfants, puis invoquer la stabilité de cette routine devant le Tribunal.</w:t>
      </w:r>
    </w:p>
    <w:p>
      <w:pPr>
        <w:pStyle w:val="Compact"/>
        <w:numPr>
          <w:numId w:val="1025"/>
          <w:ilvl w:val="0"/>
        </w:numPr>
      </w:pPr>
      <w:r>
        <w:t xml:space="preserve">Il ne laissait donc pas la stabilité réelle des liens guider le choix des modalités ; il aurait provoqué une rupture de ces liens afin de créer une continuité temporelle compatible avec la conclusion préalablement recherchée.</w:t>
      </w:r>
    </w:p>
    <w:p>
      <w:pPr>
        <w:pStyle w:val="Compact"/>
        <w:numPr>
          <w:numId w:val="1025"/>
          <w:ilvl w:val="0"/>
        </w:numPr>
      </w:pPr>
      <w:r>
        <w:t xml:space="preserve">Le départ volontaire du défendeur en février 2015 a rendu sans objet la mesure destinée à le faire sortir et a établi de facto une garde exclusive chez la demanderesse, sans toutefois régler sa formalisation ni les modalités d’accès.</w:t>
      </w:r>
    </w:p>
    <w:p>
      <w:pPr>
        <w:pStyle w:val="Compact"/>
        <w:numPr>
          <w:numId w:val="1025"/>
          <w:ilvl w:val="0"/>
        </w:numPr>
      </w:pPr>
      <w:r>
        <w:t xml:space="preserve">Pendant les négociations d’avril à septembre 2015, les deux parents connaissaient directement la réalité familiale. La demanderesse a soumis la garde exclusive et des accès progressifs en invoquant l’âge, la routine et des « circonstances », sans exposer le raisonnement complet reliant cette conclusion aux besoins réels des enfants.</w:t>
      </w:r>
    </w:p>
    <w:p>
      <w:pPr>
        <w:pStyle w:val="Compact"/>
        <w:numPr>
          <w:numId w:val="1025"/>
          <w:ilvl w:val="0"/>
        </w:numPr>
      </w:pPr>
      <w:r>
        <w:t xml:space="preserve">Aucune thèse de violence, de compromission ou de désengagement historique n’a alors été mise en débat avec le défendeur. Celui-ci a refusé certaines modalités et avait formulé en mai trois options dites « non négociables »; il a toutefois offert une garde partagée et, le 2 septembre, accepté une progression, concédé une transition et adapté les jours aux cours de danse de la demanderesse.</w:t>
      </w:r>
    </w:p>
    <w:p>
      <w:pPr>
        <w:pStyle w:val="Compact"/>
        <w:numPr>
          <w:numId w:val="1025"/>
          <w:ilvl w:val="0"/>
        </w:numPr>
      </w:pPr>
      <w:r>
        <w:t xml:space="preserve">Le 15 mai 2015, le défendeur a transmis à son avocat P-1 et a expressément distingué son refus des modalités proposées d’un refus de ses obligations parentales.</w:t>
      </w:r>
    </w:p>
    <w:p>
      <w:pPr>
        <w:pStyle w:val="Compact"/>
        <w:numPr>
          <w:numId w:val="1025"/>
          <w:ilvl w:val="0"/>
        </w:numPr>
      </w:pPr>
      <w:r>
        <w:t xml:space="preserve">Le prétendu désengagement historique du père, absent des négociations recensées, a été présenté au Tribunal dans la Requête du 19 novembre 2015, devant un décideur qui ne connaissait pas directement la vie familiale.</w:t>
      </w:r>
    </w:p>
    <w:p>
      <w:pPr>
        <w:pStyle w:val="Compact"/>
        <w:numPr>
          <w:numId w:val="1025"/>
          <w:ilvl w:val="0"/>
        </w:numPr>
      </w:pPr>
      <w:r>
        <w:t xml:space="preserve">Les ponts de novembre 2015 établissent que le noyau pertinent de cette image — implication minimale, absence pendant l’été 2013, rare disponibilité, rôle seulement supplétif, prétendue entente de garde, refus d’autorité et obstruction aux assurances — était faux ou sélectivement construit, et que la demanderesse connaissait les faits contraires.</w:t>
      </w:r>
    </w:p>
    <w:p>
      <w:pPr>
        <w:pStyle w:val="Compact"/>
        <w:numPr>
          <w:numId w:val="1025"/>
          <w:ilvl w:val="0"/>
        </w:numPr>
      </w:pPr>
      <w:r>
        <w:t xml:space="preserve">P-1 et la Requête réalisent ainsi les deux formes d’une même inversion : en 2013, réduire prospectivement la présence du père pour créer une routine compatible ; en 2015, effacer rétrospectivement cette présence en décrivant son rôle passé comme marginal.</w:t>
      </w:r>
    </w:p>
    <w:p>
      <w:pPr>
        <w:pStyle w:val="Compact"/>
        <w:numPr>
          <w:numId w:val="1025"/>
          <w:ilvl w:val="0"/>
        </w:numPr>
      </w:pPr>
      <w:r>
        <w:t xml:space="preserve">Cette structure produit deux conséquences parallèles : le défendeur peut négocier la transition et les modalités, mais ne peut ratifier de bonne foi une réduction permanente de son rôle sans un raisonnement fondé sur la réalité commune; le Tribunal, qui doit néanmoins recevoir une justification, se voit présenter une réalité substituée.</w:t>
      </w:r>
    </w:p>
    <w:p>
      <w:pPr>
        <w:pStyle w:val="Compact"/>
        <w:numPr>
          <w:numId w:val="1025"/>
          <w:ilvl w:val="0"/>
        </w:numPr>
      </w:pPr>
      <w:r>
        <w:t xml:space="preserve">L’échec des négociations et la substitution judiciaire ont donc une cause commune. Le premier n’est pas la cause autonome de la seconde.</w:t>
      </w:r>
    </w:p>
    <w:p>
      <w:pPr>
        <w:pStyle w:val="Compact"/>
        <w:numPr>
          <w:numId w:val="1025"/>
          <w:ilvl w:val="0"/>
        </w:numPr>
      </w:pPr>
      <w:r>
        <w:t xml:space="preserve">Le 21 octobre 2019, la demanderesse a néanmoins juré que le défendeur « refusait de régler le litige à l’amiable » et qu’elle avait « été obligée de saisir le Tribunal afin de faire valoir les droits de nos enfants ».</w:t>
      </w:r>
    </w:p>
    <w:p>
      <w:pPr>
        <w:numPr>
          <w:numId w:val="1025"/>
          <w:ilvl w:val="0"/>
        </w:numPr>
      </w:pPr>
      <w:r>
        <w:t xml:space="preserve">Le §3 inverse ainsi la causalité : il transforme l’effet de l’absence de fondement communiqué en cause de la saisine et attribue aux droits des enfants une procédure qui a fait appliquer la norme à une représentation connue fausse plutôt qu’à leur réalité.</w:t>
      </w:r>
    </w:p>
    <w:p>
      <w:pPr>
        <w:numPr>
          <w:numId w:val="1025"/>
          <w:ilvl w:val="0"/>
        </w:numPr>
      </w:pPr>
      <w:r>
        <w:t xml:space="preserve">Le régime dominical de 16 h à 20 h avait été demandé ou instauré par le défendeur après son départ; cette origine immédiate est vraie et concédée.</w:t>
      </w:r>
    </w:p>
    <w:p>
      <w:pPr>
        <w:numPr>
          <w:numId w:val="1025"/>
          <w:ilvl w:val="0"/>
        </w:numPr>
      </w:pPr>
      <w:r>
        <w:t xml:space="preserve">Le 27 avril 2015, Me Ayoub a invoqué la stabilité de cette routine de deux mois pour refuser la garde partagée, tandis que sa lettre proposait simultanément des accès élargis avec nuitées.</w:t>
      </w:r>
    </w:p>
    <w:p>
      <w:pPr>
        <w:numPr>
          <w:numId w:val="1025"/>
          <w:ilvl w:val="0"/>
        </w:numPr>
      </w:pPr>
      <w:r>
        <w:t xml:space="preserve">En novembre 2015, la demanderesse a demandé la garde exclusive et un accès hebdomadaire en affirmant agir dans le meilleur intérêt des enfants, sans exposer le raisonnement reliant ces conclusions à leurs besoins réels.</w:t>
      </w:r>
    </w:p>
    <w:p>
      <w:pPr>
        <w:numPr>
          <w:numId w:val="1025"/>
          <w:ilvl w:val="0"/>
        </w:numPr>
      </w:pPr>
      <w:r>
        <w:t xml:space="preserve">Le jugement par défaut du 14 janvier 2016 a formalisé le même horaire du dimanche de 16 h à 20 h.</w:t>
      </w:r>
    </w:p>
    <w:p>
      <w:pPr>
        <w:numPr>
          <w:numId w:val="1025"/>
          <w:ilvl w:val="0"/>
        </w:numPr>
      </w:pPr>
      <w:r>
        <w:t xml:space="preserve">En 2019, ce jugement est invoqué immédiatement après l’affirmation voulant que la saisine ait été imposée par le refus du père afin de défendre les droits des enfants. La routine, son maintien et le jugement sont ainsi présentés comme une chaîne de validation sans que soit fourni le raisonnement initialement requis à partir de la réalité des enfants.</w:t>
      </w:r>
    </w:p>
    <w:p>
      <w:pPr>
        <w:pStyle w:val="Heading2"/>
      </w:pPr>
      <w:bookmarkStart w:id="86" w:name="usage-dans-la-demande-introductive"/>
      <w:r>
        <w:t xml:space="preserve">10. Usage dans la demande introductive</w:t>
      </w:r>
      <w:bookmarkEnd w:id="86"/>
    </w:p>
    <w:p>
      <w:pPr>
        <w:pStyle w:val="FirstParagraph"/>
      </w:pPr>
      <w:r>
        <w:t xml:space="preserve">Maillon</w:t>
      </w:r>
      <w:r>
        <w:t xml:space="preserve"> </w:t>
      </w:r>
      <w:r>
        <w:rPr>
          <w:b/>
        </w:rPr>
        <w:t xml:space="preserve">rétrospectif</w:t>
      </w:r>
      <w:r>
        <w:t xml:space="preserve"> </w:t>
      </w:r>
      <w:r>
        <w:t xml:space="preserve">du patron : §3 (2019) réécrit à la fois la</w:t>
      </w:r>
      <w:r>
        <w:t xml:space="preserve"> </w:t>
      </w:r>
      <w:r>
        <w:rPr>
          <w:b/>
        </w:rPr>
        <w:t xml:space="preserve">cause</w:t>
      </w:r>
      <w:r>
        <w:t xml:space="preserve"> </w:t>
      </w:r>
      <w:r>
        <w:t xml:space="preserve">et la</w:t>
      </w:r>
      <w:r>
        <w:t xml:space="preserve"> </w:t>
      </w:r>
      <w:r>
        <w:rPr>
          <w:b/>
        </w:rPr>
        <w:t xml:space="preserve">finalité</w:t>
      </w:r>
      <w:r>
        <w:t xml:space="preserve"> </w:t>
      </w:r>
      <w:r>
        <w:t xml:space="preserve">de la saisine de 2015. À placer dans le volet 2019 en exposant successivement les trois démonstrations :</w:t>
      </w:r>
      <w:r>
        <w:t xml:space="preserve"> </w:t>
      </w:r>
      <w:r>
        <w:rPr>
          <w:b/>
        </w:rPr>
        <w:t xml:space="preserve">(1)</w:t>
      </w:r>
      <w:r>
        <w:t xml:space="preserve"> </w:t>
      </w:r>
      <w:r>
        <w:t xml:space="preserve">aucun raisonnement exprimé ne rattache la garde exclusive à l’intérêt des enfants à partir de leur réalité malgré la norme et les occasions;</w:t>
      </w:r>
      <w:r>
        <w:t xml:space="preserve"> </w:t>
      </w:r>
      <w:r>
        <w:rPr>
          <w:b/>
        </w:rPr>
        <w:t xml:space="preserve">(2)</w:t>
      </w:r>
      <w:r>
        <w:t xml:space="preserve"> </w:t>
      </w:r>
      <w:r>
        <w:t xml:space="preserve">P-1 aurait modifié prospectivement l’organisation alors que la Requête modifie rétrospectivement sa représentation;</w:t>
      </w:r>
      <w:r>
        <w:t xml:space="preserve"> </w:t>
      </w:r>
      <w:r>
        <w:rPr>
          <w:b/>
        </w:rPr>
        <w:t xml:space="preserve">(3)</w:t>
      </w:r>
      <w:r>
        <w:t xml:space="preserve"> </w:t>
      </w:r>
      <w:r>
        <w:t xml:space="preserve">le régime restrictif est consolidé par sa routine, formalisé par jugement, puis le jugement est invoqué comme validation. Toute qualification juridique demeure réservée au Tribunal; le pont établit d’abord cette structure factuelle, normative et causale.</w:t>
      </w:r>
    </w:p>
    <w:p>
      <w:r>
        <w:pict>
          <v:rect style="width:0;height:1.5pt" o:hralign="center" o:hrstd="t" o:hr="t"/>
        </w:pict>
      </w:r>
    </w:p>
    <w:p>
      <w:pPr>
        <w:pStyle w:val="Heading1"/>
      </w:pPr>
      <w:bookmarkStart w:id="87" w:name="X561360e949917c6ef9ce2b1566d4016384ae42b"/>
      <w:r>
        <w:t xml:space="preserve">Pont — §6.3 de la Déclaration assermentée de 2019 (DA-2019, 21 octobre 2019)</w:t>
      </w:r>
      <w:bookmarkEnd w:id="87"/>
    </w:p>
    <w:p>
      <w:pPr>
        <w:pStyle w:val="BlockText"/>
      </w:pPr>
      <w:r>
        <w:rPr>
          <w:b/>
        </w:rPr>
        <w:t xml:space="preserve">STATUT — COMPLET SUR LE RAISONNEMENT ; préparation probatoire conditionnelle.</w:t>
      </w:r>
      <w:r>
        <w:t xml:space="preserve"> </w:t>
      </w:r>
      <w:r>
        <w:t xml:space="preserve">Le §6.3 est un</w:t>
      </w:r>
      <w:r>
        <w:t xml:space="preserve"> </w:t>
      </w:r>
      <w:r>
        <w:rPr>
          <w:b/>
        </w:rPr>
        <w:t xml:space="preserve">refus allégué sans offre documentée</w:t>
      </w:r>
      <w:r>
        <w:t xml:space="preserve">. Sa réfutation ne repose PAS sur une « impossibilité » de communiquer (un canal existait), mais sur trois éléments convergents :</w:t>
      </w:r>
      <w:r>
        <w:t xml:space="preserve"> </w:t>
      </w:r>
      <w:r>
        <w:rPr>
          <w:b/>
        </w:rPr>
        <w:t xml:space="preserve">(i)</w:t>
      </w:r>
      <w:r>
        <w:t xml:space="preserve"> </w:t>
      </w:r>
      <w:r>
        <w:t xml:space="preserve">aucune offre de congé n’est documentée, par aucun canal, sous le fardeau de l’alléguante (art. 2803 C.c.Q.) ;</w:t>
      </w:r>
      <w:r>
        <w:t xml:space="preserve"> </w:t>
      </w:r>
      <w:r>
        <w:rPr>
          <w:b/>
        </w:rPr>
        <w:t xml:space="preserve">(ii)</w:t>
      </w:r>
      <w:r>
        <w:t xml:space="preserve"> </w:t>
      </w:r>
      <w:r>
        <w:t xml:space="preserve">les accès se sont</w:t>
      </w:r>
      <w:r>
        <w:t xml:space="preserve"> </w:t>
      </w:r>
      <w:r>
        <w:rPr>
          <w:b/>
        </w:rPr>
        <w:t xml:space="preserve">poursuivis</w:t>
      </w:r>
      <w:r>
        <w:t xml:space="preserve"> </w:t>
      </w:r>
      <w:r>
        <w:t xml:space="preserve">durant toute la période, coordonnés entre les deux mères — ce qui réfute la</w:t>
      </w:r>
      <w:r>
        <w:t xml:space="preserve"> </w:t>
      </w:r>
      <w:r>
        <w:rPr>
          <w:b/>
        </w:rPr>
        <w:t xml:space="preserve">fausse attribution</w:t>
      </w:r>
      <w:r>
        <w:t xml:space="preserve"> </w:t>
      </w:r>
      <w:r>
        <w:t xml:space="preserve">d’un refus au père ;</w:t>
      </w:r>
      <w:r>
        <w:t xml:space="preserve"> </w:t>
      </w:r>
      <w:r>
        <w:rPr>
          <w:b/>
        </w:rPr>
        <w:t xml:space="preserve">(iii)</w:t>
      </w:r>
      <w:r>
        <w:t xml:space="preserve"> </w:t>
      </w:r>
      <w:r>
        <w:t xml:space="preserve">le maintien de l’allégation sous serment malgré la contestation contemporaine du défendeur. La qualification juridique est réservée au Tribunal.</w:t>
      </w:r>
    </w:p>
    <w:p>
      <w:pPr>
        <w:pStyle w:val="BlockText"/>
      </w:pPr>
      <w:r>
        <w:t xml:space="preserve">Faits bruts :</w:t>
      </w:r>
      <w:r>
        <w:t xml:space="preserve"> </w:t>
      </w:r>
      <w:hyperlink r:id="rId88">
        <w:r>
          <w:rPr>
            <w:rStyle w:val="Hyperlink"/>
          </w:rPr>
          <w:t xml:space="preserve">faits_par6-3_2019.md</w:t>
        </w:r>
      </w:hyperlink>
      <w:r>
        <w:t xml:space="preserve">. Autorat :</w:t>
      </w:r>
      <w:r>
        <w:t xml:space="preserve"> </w:t>
      </w:r>
      <w:r>
        <w:rPr>
          <w:b/>
        </w:rPr>
        <w:t xml:space="preserve">Me Marie-Josée Ayoub rédige</w:t>
      </w:r>
      <w:r>
        <w:t xml:space="preserve"> </w:t>
      </w:r>
      <w:r>
        <w:t xml:space="preserve">la DA-2019 ;</w:t>
      </w:r>
      <w:r>
        <w:t xml:space="preserve"> </w:t>
      </w:r>
      <w:r>
        <w:rPr>
          <w:b/>
        </w:rPr>
        <w:t xml:space="preserve">Élise Ayoub jure</w:t>
      </w:r>
      <w:r>
        <w:t xml:space="preserve">.</w:t>
      </w:r>
    </w:p>
    <w:p>
      <w:pPr>
        <w:pStyle w:val="Heading2"/>
      </w:pPr>
      <w:bookmarkStart w:id="89" w:name="allégation-visée-1"/>
      <w:r>
        <w:t xml:space="preserve">1. Allégation visée</w:t>
      </w:r>
      <w:bookmarkEnd w:id="89"/>
    </w:p>
    <w:p>
      <w:pPr>
        <w:pStyle w:val="BlockText"/>
      </w:pPr>
      <w:r>
        <w:rPr>
          <w:b/>
        </w:rPr>
        <w:t xml:space="preserve">§6.3</w:t>
      </w:r>
      <w:r>
        <w:t xml:space="preserve"> </w:t>
      </w:r>
      <w:r>
        <w:t xml:space="preserve">(désigné « point 6.C » dans la correspondance) — « Le père refuse de prendre les enfants lors de la période estivale, jours pédagogiques, congés fériés, période des fêtes, congé pascal et semaine de relâche.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 </w:t>
      </w:r>
      <w:r>
        <w:t xml:space="preserve">(« ET J’AI SIGNÉ À LONGUEUIL CE 21 OCTOBRE 2019 »),</w:t>
      </w:r>
      <w:r>
        <w:t xml:space="preserve"> </w:t>
      </w:r>
      <w:r>
        <w:rPr>
          <w:b/>
        </w:rPr>
        <w:t xml:space="preserve">rédigée par Me Marie-Josée Ayoub</w:t>
      </w:r>
      <w:r>
        <w:t xml:space="preserve">. ⚠️ Le champ</w:t>
      </w:r>
      <w:r>
        <w:t xml:space="preserve"> </w:t>
      </w:r>
      <w:r>
        <w:rPr>
          <w:rStyle w:val="VerbatimChar"/>
        </w:rPr>
        <w:t xml:space="preserve">document_original_date</w:t>
      </w:r>
      <w:r>
        <w:t xml:space="preserve"> </w:t>
      </w:r>
      <w:r>
        <w:t xml:space="preserve">en base (2019-09-21) est</w:t>
      </w:r>
      <w:r>
        <w:t xml:space="preserve"> </w:t>
      </w:r>
      <w:r>
        <w:rPr>
          <w:b/>
        </w:rPr>
        <w:t xml:space="preserve">erroné</w:t>
      </w:r>
      <w:r>
        <w:t xml:space="preserve"> </w:t>
      </w:r>
      <w:r>
        <w:t xml:space="preserve">; se fier à la page de signature.</w:t>
      </w:r>
    </w:p>
    <w:p>
      <w:pPr>
        <w:pStyle w:val="Heading2"/>
      </w:pPr>
      <w:bookmarkStart w:id="90" w:name="objectif-de-démonstration-1"/>
      <w:r>
        <w:t xml:space="preserve">2. Objectif de démonstration</w:t>
      </w:r>
      <w:bookmarkEnd w:id="90"/>
    </w:p>
    <w:p>
      <w:pPr>
        <w:pStyle w:val="FirstParagraph"/>
      </w:pPr>
      <w:r>
        <w:rPr>
          <w:b/>
        </w:rPr>
        <w:t xml:space="preserve">Classification : refus allégué sans offre — fausse attribution + inopérant sans offre + accès continus (anti-désintérêt). Centre de gravité = la fausse attribution, non l’impossibilité.</w:t>
      </w:r>
    </w:p>
    <w:p>
      <w:pPr>
        <w:pStyle w:val="BodyText"/>
      </w:pPr>
      <w:r>
        <w:t xml:space="preserve">Un « refus » présuppose une</w:t>
      </w:r>
      <w:r>
        <w:t xml:space="preserve"> </w:t>
      </w:r>
      <w:r>
        <w:rPr>
          <w:b/>
        </w:rPr>
        <w:t xml:space="preserve">offre</w:t>
      </w:r>
      <w:r>
        <w:t xml:space="preserve"> </w:t>
      </w:r>
      <w:r>
        <w:t xml:space="preserve">à laquelle on oppose un non. L’énoncé attribue au</w:t>
      </w:r>
      <w:r>
        <w:t xml:space="preserve"> </w:t>
      </w:r>
      <w:r>
        <w:rPr>
          <w:b/>
        </w:rPr>
        <w:t xml:space="preserve">père</w:t>
      </w:r>
      <w:r>
        <w:t xml:space="preserve"> </w:t>
      </w:r>
      <w:r>
        <w:t xml:space="preserve">un refus de prendre les enfants aux congés. Or :</w:t>
      </w:r>
    </w:p>
    <w:p>
      <w:pPr>
        <w:pStyle w:val="Compact"/>
        <w:numPr>
          <w:numId w:val="1026"/>
          <w:ilvl w:val="0"/>
        </w:numPr>
      </w:pPr>
      <w:r>
        <w:rPr>
          <w:b/>
        </w:rPr>
        <w:t xml:space="preserve">aucune offre de congé</w:t>
      </w:r>
      <w:r>
        <w:t xml:space="preserve"> </w:t>
      </w:r>
      <w:r>
        <w:t xml:space="preserve">n’est documentée au dossier, par quelque canal que ce soit (direct, grand-mère, huissier, avocat, percepteur) ; sans offre, il n’y a</w:t>
      </w:r>
      <w:r>
        <w:t xml:space="preserve"> </w:t>
      </w:r>
      <w:r>
        <w:rPr>
          <w:b/>
        </w:rPr>
        <w:t xml:space="preserve">rien à refuser</w:t>
      </w:r>
      <w:r>
        <w:t xml:space="preserve"> </w:t>
      </w:r>
      <w:r>
        <w:t xml:space="preserve">;</w:t>
      </w:r>
    </w:p>
    <w:p>
      <w:pPr>
        <w:pStyle w:val="Compact"/>
        <w:numPr>
          <w:numId w:val="1026"/>
          <w:ilvl w:val="0"/>
        </w:numPr>
      </w:pPr>
      <w:r>
        <w:t xml:space="preserve">les</w:t>
      </w:r>
      <w:r>
        <w:t xml:space="preserve"> </w:t>
      </w:r>
      <w:r>
        <w:rPr>
          <w:b/>
        </w:rPr>
        <w:t xml:space="preserve">accès se sont poursuivis</w:t>
      </w:r>
      <w:r>
        <w:t xml:space="preserve"> </w:t>
      </w:r>
      <w:r>
        <w:t xml:space="preserve">durant toute la période (26 sept. 2016 – 27 sept. 2019), leur fréquence et leur durée étant coordonnées entre la</w:t>
      </w:r>
      <w:r>
        <w:t xml:space="preserve"> </w:t>
      </w:r>
      <w:r>
        <w:rPr>
          <w:b/>
        </w:rPr>
        <w:t xml:space="preserve">mère du défendeur</w:t>
      </w:r>
      <w:r>
        <w:t xml:space="preserve"> </w:t>
      </w:r>
      <w:r>
        <w:t xml:space="preserve">et la demanderesse ; « le</w:t>
      </w:r>
      <w:r>
        <w:t xml:space="preserve"> </w:t>
      </w:r>
      <w:r>
        <w:rPr>
          <w:b/>
        </w:rPr>
        <w:t xml:space="preserve">père</w:t>
      </w:r>
      <w:r>
        <w:t xml:space="preserve"> </w:t>
      </w:r>
      <w:r>
        <w:t xml:space="preserve">refuse » impute donc au défendeur un refus dans une coordination</w:t>
      </w:r>
      <w:r>
        <w:t xml:space="preserve"> </w:t>
      </w:r>
      <w:r>
        <w:rPr>
          <w:b/>
        </w:rPr>
        <w:t xml:space="preserve">dont il ne faisait pas partie</w:t>
      </w:r>
      <w:r>
        <w:t xml:space="preserve">, et contredit tout</w:t>
      </w:r>
      <w:r>
        <w:t xml:space="preserve"> </w:t>
      </w:r>
      <w:r>
        <w:rPr>
          <w:b/>
        </w:rPr>
        <w:t xml:space="preserve">désintérêt</w:t>
      </w:r>
      <w:r>
        <w:t xml:space="preserve"> </w:t>
      </w:r>
      <w:r>
        <w:t xml:space="preserve">;</w:t>
      </w:r>
    </w:p>
    <w:p>
      <w:pPr>
        <w:pStyle w:val="Compact"/>
        <w:numPr>
          <w:numId w:val="1026"/>
          <w:ilvl w:val="0"/>
        </w:numPr>
      </w:pPr>
      <w:r>
        <w:t xml:space="preserve">la coupure de la communication</w:t>
      </w:r>
      <w:r>
        <w:t xml:space="preserve"> </w:t>
      </w:r>
      <w:r>
        <w:rPr>
          <w:b/>
        </w:rPr>
        <w:t xml:space="preserve">directe</w:t>
      </w:r>
      <w:r>
        <w:t xml:space="preserve"> </w:t>
      </w:r>
      <w:r>
        <w:t xml:space="preserve">(2016-2019) était un</w:t>
      </w:r>
      <w:r>
        <w:t xml:space="preserve"> </w:t>
      </w:r>
      <w:r>
        <w:rPr>
          <w:b/>
        </w:rPr>
        <w:t xml:space="preserve">choix</w:t>
      </w:r>
      <w:r>
        <w:t xml:space="preserve">, non une barrière — elle n’empêchait pas d’offrir des vacances au père</w:t>
      </w:r>
      <w:r>
        <w:t xml:space="preserve"> </w:t>
      </w:r>
      <w:r>
        <w:rPr>
          <w:b/>
        </w:rPr>
        <w:t xml:space="preserve">ou</w:t>
      </w:r>
      <w:r>
        <w:t xml:space="preserve"> </w:t>
      </w:r>
      <w:r>
        <w:t xml:space="preserve">à la grand-mère. Elle n’est qu’un</w:t>
      </w:r>
      <w:r>
        <w:t xml:space="preserve"> </w:t>
      </w:r>
      <w:r>
        <w:rPr>
          <w:b/>
        </w:rPr>
        <w:t xml:space="preserve">fait de contexte</w:t>
      </w:r>
      <w:r>
        <w:t xml:space="preserve">, jamais le moteur.</w:t>
      </w:r>
    </w:p>
    <w:p>
      <w:pPr>
        <w:pStyle w:val="FirstParagraph"/>
      </w:pPr>
      <w:r>
        <w:rPr>
          <w:b/>
        </w:rPr>
        <w:t xml:space="preserve">Ne pas plaider « impossibilité » ni « manquement au devoir de vérifier ».</w:t>
      </w:r>
      <w:r>
        <w:t xml:space="preserve"> </w:t>
      </w:r>
      <w:r>
        <w:t xml:space="preserve">On plaide le</w:t>
      </w:r>
      <w:r>
        <w:t xml:space="preserve"> </w:t>
      </w:r>
      <w:r>
        <w:rPr>
          <w:b/>
        </w:rPr>
        <w:t xml:space="preserve">maintien d’une allégation contestée, sans aucune preuve d’offre produite, sous le fardeau de l’alléguante</w:t>
      </w:r>
      <w:r>
        <w:t xml:space="preserve">.</w:t>
      </w:r>
    </w:p>
    <w:p>
      <w:pPr>
        <w:pStyle w:val="Heading2"/>
      </w:pPr>
      <w:bookmarkStart w:id="91" w:name="force-probatoire"/>
      <w:r>
        <w:t xml:space="preserve">3. Force probatoire</w:t>
      </w:r>
      <w:bookmarkEnd w:id="9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Force</w:t>
            </w:r>
          </w:p>
        </w:tc>
      </w:tr>
      <w:tr>
        <w:tc>
          <w:p>
            <w:pPr>
              <w:pStyle w:val="Compact"/>
              <w:jc w:val="left"/>
            </w:pPr>
            <w:r>
              <w:t xml:space="preserve">contre « le</w:t>
            </w:r>
            <w:r>
              <w:t xml:space="preserve"> </w:t>
            </w:r>
            <w:r>
              <w:rPr>
                <w:b/>
              </w:rPr>
              <w:t xml:space="preserve">père</w:t>
            </w:r>
            <w:r>
              <w:t xml:space="preserve"> </w:t>
            </w:r>
            <w:r>
              <w:t xml:space="preserve">refuse » (fausse attribution)</w:t>
            </w:r>
          </w:p>
        </w:tc>
        <w:tc>
          <w:p>
            <w:pPr>
              <w:pStyle w:val="Compact"/>
              <w:jc w:val="left"/>
            </w:pPr>
            <w:r>
              <w:rPr>
                <w:b/>
              </w:rPr>
              <w:t xml:space="preserve">forte</w:t>
            </w:r>
            <w:r>
              <w:t xml:space="preserve"> </w:t>
            </w:r>
            <w:r>
              <w:t xml:space="preserve">— accès continus coordonnés par les deux mères ; refus imputé au père dans une coordination dont il était absent</w:t>
            </w:r>
          </w:p>
        </w:tc>
      </w:tr>
      <w:tr>
        <w:tc>
          <w:p>
            <w:pPr>
              <w:pStyle w:val="Compact"/>
              <w:jc w:val="left"/>
            </w:pPr>
            <w:r>
              <w:t xml:space="preserve">contre le</w:t>
            </w:r>
            <w:r>
              <w:t xml:space="preserve"> </w:t>
            </w:r>
            <w:r>
              <w:rPr>
                <w:b/>
              </w:rPr>
              <w:t xml:space="preserve">désintérêt</w:t>
            </w:r>
            <w:r>
              <w:t xml:space="preserve"> </w:t>
            </w:r>
            <w:r>
              <w:t xml:space="preserve">implicite</w:t>
            </w:r>
          </w:p>
        </w:tc>
        <w:tc>
          <w:p>
            <w:pPr>
              <w:pStyle w:val="Compact"/>
              <w:jc w:val="left"/>
            </w:pPr>
            <w:r>
              <w:rPr>
                <w:b/>
              </w:rPr>
              <w:t xml:space="preserve">forte</w:t>
            </w:r>
            <w:r>
              <w:t xml:space="preserve"> </w:t>
            </w:r>
            <w:r>
              <w:t xml:space="preserve">— la continuité documentée des accès contredit tout abandon</w:t>
            </w:r>
          </w:p>
        </w:tc>
      </w:tr>
      <w:tr>
        <w:tc>
          <w:p>
            <w:pPr>
              <w:pStyle w:val="Compact"/>
              <w:jc w:val="left"/>
            </w:pPr>
            <w:r>
              <w:t xml:space="preserve">« refus » comme proposition</w:t>
            </w:r>
            <w:r>
              <w:t xml:space="preserve"> </w:t>
            </w:r>
            <w:r>
              <w:rPr>
                <w:b/>
              </w:rPr>
              <w:t xml:space="preserve">falsifiable</w:t>
            </w:r>
          </w:p>
        </w:tc>
        <w:tc>
          <w:p>
            <w:pPr>
              <w:pStyle w:val="Compact"/>
              <w:jc w:val="left"/>
            </w:pPr>
            <w:r>
              <w:rPr>
                <w:b/>
              </w:rPr>
              <w:t xml:space="preserve">inopérante sans offre</w:t>
            </w:r>
            <w:r>
              <w:t xml:space="preserve"> </w:t>
            </w:r>
            <w:r>
              <w:t xml:space="preserve">— sans offre documentée, l’énoncé n’énonce aucune proposition vérifiable (insinuation) ; il ne devient significatif</w:t>
            </w:r>
            <w:r>
              <w:t xml:space="preserve"> </w:t>
            </w:r>
            <w:r>
              <w:rPr>
                <w:i/>
              </w:rPr>
              <w:t xml:space="preserve">que si</w:t>
            </w:r>
            <w:r>
              <w:t xml:space="preserve"> </w:t>
            </w:r>
            <w:r>
              <w:t xml:space="preserve">une offre, refusée, est établie</w:t>
            </w:r>
          </w:p>
        </w:tc>
      </w:tr>
      <w:tr>
        <w:tc>
          <w:p>
            <w:pPr>
              <w:pStyle w:val="Compact"/>
              <w:jc w:val="left"/>
            </w:pPr>
            <w:r>
              <w:t xml:space="preserve">absence d’offre,</w:t>
            </w:r>
            <w:r>
              <w:t xml:space="preserve"> </w:t>
            </w:r>
            <w:r>
              <w:rPr>
                <w:b/>
              </w:rPr>
              <w:t xml:space="preserve">tous canaux</w:t>
            </w:r>
          </w:p>
        </w:tc>
        <w:tc>
          <w:p>
            <w:pPr>
              <w:pStyle w:val="Compact"/>
              <w:jc w:val="left"/>
            </w:pPr>
            <w:r>
              <w:rPr>
                <w:b/>
              </w:rPr>
              <w:t xml:space="preserve">forte</w:t>
            </w:r>
            <w:r>
              <w:t xml:space="preserve"> </w:t>
            </w:r>
            <w:r>
              <w:t xml:space="preserve">— fardeau sur l’alléguante (art. 2803) ; aucune pièce d’offre au dossier ; aucune suite donnée à la contestation du 21 oct. 2019</w:t>
            </w:r>
          </w:p>
        </w:tc>
      </w:tr>
      <w:tr>
        <w:tc>
          <w:p>
            <w:pPr>
              <w:pStyle w:val="Compact"/>
              <w:jc w:val="left"/>
            </w:pPr>
            <w:r>
              <w:t xml:space="preserve">pour affirmer une</w:t>
            </w:r>
            <w:r>
              <w:t xml:space="preserve"> </w:t>
            </w:r>
            <w:r>
              <w:rPr>
                <w:b/>
              </w:rPr>
              <w:t xml:space="preserve">« impossibilité »</w:t>
            </w:r>
            <w:r>
              <w:t xml:space="preserve"> </w:t>
            </w:r>
            <w:r>
              <w:t xml:space="preserve">de communiquer</w:t>
            </w:r>
          </w:p>
        </w:tc>
        <w:tc>
          <w:p>
            <w:pPr>
              <w:pStyle w:val="Compact"/>
              <w:jc w:val="left"/>
            </w:pPr>
            <w:r>
              <w:rPr>
                <w:b/>
              </w:rPr>
              <w:t xml:space="preserve">à écarter</w:t>
            </w:r>
            <w:r>
              <w:t xml:space="preserve"> </w:t>
            </w:r>
            <w:r>
              <w:t xml:space="preserve">— un canal (grand-mère) existait ; la coupure directe était un choix</w:t>
            </w:r>
          </w:p>
        </w:tc>
      </w:tr>
      <w:tr>
        <w:tc>
          <w:p>
            <w:pPr>
              <w:pStyle w:val="Compact"/>
              <w:jc w:val="left"/>
            </w:pPr>
            <w:r>
              <w:t xml:space="preserve">connaissance (Élise)</w:t>
            </w:r>
          </w:p>
        </w:tc>
        <w:tc>
          <w:p>
            <w:pPr>
              <w:pStyle w:val="Compact"/>
              <w:jc w:val="left"/>
            </w:pPr>
            <w:r>
              <w:rPr>
                <w:b/>
              </w:rPr>
              <w:t xml:space="preserve">forte</w:t>
            </w:r>
            <w:r>
              <w:t xml:space="preserve"> </w:t>
            </w:r>
            <w:r>
              <w:t xml:space="preserve">— elle a conditionné la reprise du dialogue (fait 3) et sait n’avoir formulé aucune offre documentée</w:t>
            </w:r>
          </w:p>
        </w:tc>
      </w:tr>
      <w:tr>
        <w:tc>
          <w:p>
            <w:pPr>
              <w:pStyle w:val="Compact"/>
              <w:jc w:val="left"/>
            </w:pPr>
            <w:r>
              <w:t xml:space="preserve">connaissance (Me Ayoub)</w:t>
            </w:r>
          </w:p>
        </w:tc>
        <w:tc>
          <w:p>
            <w:pPr>
              <w:pStyle w:val="Compact"/>
              <w:jc w:val="left"/>
            </w:pPr>
            <w:r>
              <w:rPr>
                <w:b/>
              </w:rPr>
              <w:t xml:space="preserve">forte</w:t>
            </w:r>
            <w:r>
              <w:t xml:space="preserve"> </w:t>
            </w:r>
            <w:r>
              <w:t xml:space="preserve">— destinataire, le</w:t>
            </w:r>
            <w:r>
              <w:t xml:space="preserve"> </w:t>
            </w:r>
            <w:r>
              <w:rPr>
                <w:b/>
              </w:rPr>
              <w:t xml:space="preserve">jour même</w:t>
            </w:r>
            <w:r>
              <w:t xml:space="preserve"> </w:t>
            </w:r>
            <w:r>
              <w:t xml:space="preserve">de l’assermentation, de la contestation du défendeur pointant l’impossibilité temporelle du refus (fait 6)</w:t>
            </w:r>
          </w:p>
        </w:tc>
      </w:tr>
    </w:tbl>
    <w:p>
      <w:pPr>
        <w:pStyle w:val="Heading2"/>
      </w:pPr>
      <w:bookmarkStart w:id="92" w:name="faits-essentiels-plaidables-1"/>
      <w:r>
        <w:t xml:space="preserve">4. Faits essentiels plaidables</w:t>
      </w:r>
      <w:bookmarkEnd w:id="92"/>
    </w:p>
    <w:p>
      <w:pPr>
        <w:pStyle w:val="FirstParagraph"/>
      </w:pPr>
      <w:r>
        <w:rPr>
          <w:i/>
        </w:rPr>
        <w:t xml:space="preserve">(chronologiques, plats, sourcés — art. 99 CPC)</w:t>
      </w:r>
    </w:p>
    <w:p>
      <w:pPr>
        <w:numPr>
          <w:numId w:val="1027"/>
          <w:ilvl w:val="0"/>
        </w:numPr>
      </w:pPr>
      <w:r>
        <w:t xml:space="preserve">Le 26 septembre 2016, la demanderesse écrit au défendeur : « Quand tu seras prêt à respecter le jugement et les prendre chaque dimanche tu m’écriras ; pour le moment merci de ne plus m’écrire » (</w:t>
      </w:r>
      <w:hyperlink r:id="rId93">
        <w:r>
          <w:rPr>
            <w:rStyle w:val="Hyperlink"/>
          </w:rPr>
          <w:t xml:space="preserve">piece_thread-5_email-5.md</w:t>
        </w:r>
      </w:hyperlink>
      <w:r>
        <w:t xml:space="preserve">).</w:t>
      </w:r>
    </w:p>
    <w:p>
      <w:pPr>
        <w:numPr>
          <w:numId w:val="1027"/>
          <w:ilvl w:val="0"/>
        </w:numPr>
      </w:pPr>
      <w:r>
        <w:t xml:space="preserve">Le 26 septembre 2016, le défendeur répond : « Elise svp ne m’écris plus » (</w:t>
      </w:r>
      <w:hyperlink r:id="rId93">
        <w:r>
          <w:rPr>
            <w:rStyle w:val="Hyperlink"/>
          </w:rPr>
          <w:t xml:space="preserve">piece_thread-5_email-5.md</w:t>
        </w:r>
      </w:hyperlink>
      <w:r>
        <w:t xml:space="preserve">).</w:t>
      </w:r>
    </w:p>
    <w:p>
      <w:pPr>
        <w:numPr>
          <w:numId w:val="1027"/>
          <w:ilvl w:val="0"/>
        </w:numPr>
      </w:pPr>
      <w:r>
        <w:t xml:space="preserve">Entre le 26 septembre 2016 et le 27 septembre 2019, les accès du défendeur auprès des enfants se sont poursuivis, leur coordination — fréquence et durée — étant assurée entre la mère du défendeur et la demanderesse</w:t>
      </w:r>
      <w:r>
        <w:t xml:space="preserve"> </w:t>
      </w:r>
      <w:r>
        <w:rPr>
          <w:i/>
        </w:rPr>
        <w:t xml:space="preserve">(source à confirmer : affidavit de la grand-mère paternelle ; communications grand-mère / demanderesse — [à sourcer])</w:t>
      </w:r>
      <w:r>
        <w:t xml:space="preserve">.</w:t>
      </w:r>
    </w:p>
    <w:p>
      <w:pPr>
        <w:numPr>
          <w:numId w:val="1027"/>
          <w:ilvl w:val="0"/>
        </w:numPr>
      </w:pPr>
      <w:r>
        <w:t xml:space="preserve">Le 21 octobre 2019, la demanderesse signe la déclaration assermentée contenant le §6.3 (</w:t>
      </w:r>
      <w:hyperlink r:id="rId65">
        <w:r>
          <w:rPr>
            <w:rStyle w:val="Hyperlink"/>
          </w:rPr>
          <w:t xml:space="preserve">piece_document-3.md</w:t>
        </w:r>
      </w:hyperlink>
      <w:r>
        <w:t xml:space="preserve">).</w:t>
      </w:r>
    </w:p>
    <w:p>
      <w:pPr>
        <w:numPr>
          <w:numId w:val="1027"/>
          <w:ilvl w:val="0"/>
        </w:numPr>
      </w:pPr>
      <w:r>
        <w:t xml:space="preserve">Le 21 octobre 2019, le défendeur écrit à Me Ayoub : « Je ne pense pas qu’Élise m’ait une seule fois offert de prendre les enfants pour quelque congé que ce soit, compte tenu du fait qu’elle m’a demandé de ne plus lui écrire en date du 26 septembre 2016 » et ajoute : « À mon souvenir, je n’ai rien refusé » (</w:t>
      </w:r>
      <w:hyperlink r:id="rId94">
        <w:r>
          <w:rPr>
            <w:rStyle w:val="Hyperlink"/>
          </w:rPr>
          <w:t xml:space="preserve">piece_thread-121_email-486.md</w:t>
        </w:r>
      </w:hyperlink>
      <w:r>
        <w:t xml:space="preserve">).</w:t>
      </w:r>
    </w:p>
    <w:p>
      <w:pPr>
        <w:numPr>
          <w:numId w:val="1027"/>
          <w:ilvl w:val="0"/>
        </w:numPr>
      </w:pPr>
      <w:r>
        <w:t xml:space="preserve">Aucune offre relative aux congés, ni aucune réponse à la contestation du défendeur, n’a été produite au dossier, par quelque canal que ce soit (</w:t>
      </w:r>
      <w:hyperlink r:id="rId94">
        <w:r>
          <w:rPr>
            <w:rStyle w:val="Hyperlink"/>
          </w:rPr>
          <w:t xml:space="preserve">piece_thread-121_email-486.md</w:t>
        </w:r>
      </w:hyperlink>
      <w:r>
        <w:t xml:space="preserve"> </w:t>
      </w:r>
      <w:r>
        <w:t xml:space="preserve">; absence de toute pièce d’offre au dossier).</w:t>
      </w:r>
    </w:p>
    <w:p>
      <w:pPr>
        <w:pStyle w:val="Heading2"/>
      </w:pPr>
      <w:bookmarkStart w:id="95" w:name="inférences-réservées-aux-moyens-1"/>
      <w:r>
        <w:t xml:space="preserve">5. Inférences réservées aux moyens</w:t>
      </w:r>
      <w:bookmarkEnd w:id="95"/>
    </w:p>
    <w:p>
      <w:pPr>
        <w:pStyle w:val="Compact"/>
        <w:numPr>
          <w:numId w:val="1028"/>
          <w:ilvl w:val="0"/>
        </w:numPr>
      </w:pPr>
      <w:r>
        <w:rPr>
          <w:b/>
        </w:rPr>
        <w:t xml:space="preserve">Fausse attribution.</w:t>
      </w:r>
      <w:r>
        <w:t xml:space="preserve"> </w:t>
      </w:r>
      <w:r>
        <w:t xml:space="preserve">« Le père refuse de prendre les enfants » impute un refus dans une organisation d’accès</w:t>
      </w:r>
      <w:r>
        <w:t xml:space="preserve"> </w:t>
      </w:r>
      <w:r>
        <w:rPr>
          <w:b/>
        </w:rPr>
        <w:t xml:space="preserve">coordonnée par les deux mères</w:t>
      </w:r>
      <w:r>
        <w:t xml:space="preserve">, dont le défendeur ne réglait pas le calendrier ; la continuité des accès contredit le refus et le désintérêt.</w:t>
      </w:r>
    </w:p>
    <w:p>
      <w:pPr>
        <w:pStyle w:val="Compact"/>
        <w:numPr>
          <w:numId w:val="1028"/>
          <w:ilvl w:val="0"/>
        </w:numPr>
      </w:pPr>
      <w:r>
        <w:rPr>
          <w:b/>
        </w:rPr>
        <w:t xml:space="preserve">Inopérant sans offre.</w:t>
      </w:r>
      <w:r>
        <w:t xml:space="preserve"> </w:t>
      </w:r>
      <w:r>
        <w:t xml:space="preserve">Un « refus » suppose une offre ; aucune offre de congé n’étant documentée, l’énoncé ne convoie que la connotation de l’enchaînement des mots (registre de l’</w:t>
      </w:r>
      <w:r>
        <w:rPr>
          <w:b/>
        </w:rPr>
        <w:t xml:space="preserve">insinuation</w:t>
      </w:r>
      <w:r>
        <w:t xml:space="preserve">), sans lien vérifiable avec la réalité.</w:t>
      </w:r>
    </w:p>
    <w:p>
      <w:pPr>
        <w:pStyle w:val="Compact"/>
        <w:numPr>
          <w:numId w:val="1028"/>
          <w:ilvl w:val="0"/>
        </w:numPr>
      </w:pPr>
      <w:r>
        <w:rPr>
          <w:b/>
        </w:rPr>
        <w:t xml:space="preserve">Le silence est probatoire — sous le fardeau de l’alléguante.</w:t>
      </w:r>
      <w:r>
        <w:t xml:space="preserve"> </w:t>
      </w:r>
      <w:r>
        <w:t xml:space="preserve">Le défendeur a formulé une observation factuelle précise (aucune communication depuis 2016 → aucune offre → rien de refusé). L’alléguante portait le fardeau de substantier l’offre présupposée (art. 2803) ; aucune preuve n’a été produite, par aucun canal. L’absence de toute production</w:t>
      </w:r>
      <w:r>
        <w:t xml:space="preserve"> </w:t>
      </w:r>
      <w:r>
        <w:rPr>
          <w:b/>
        </w:rPr>
        <w:t xml:space="preserve">révèle</w:t>
      </w:r>
      <w:r>
        <w:t xml:space="preserve"> </w:t>
      </w:r>
      <w:r>
        <w:t xml:space="preserve">l’absence d’assise.</w:t>
      </w:r>
      <w:r>
        <w:t xml:space="preserve"> </w:t>
      </w:r>
      <w:r>
        <w:rPr>
          <w:i/>
        </w:rPr>
        <w:t xml:space="preserve">(À plaider comme maintien sans preuve sous le fardeau de l’alléguante — jamais comme « manquement au devoir de vérifier », interne et inconnaissable.)</w:t>
      </w:r>
    </w:p>
    <w:p>
      <w:pPr>
        <w:pStyle w:val="Compact"/>
        <w:numPr>
          <w:numId w:val="1028"/>
          <w:ilvl w:val="0"/>
        </w:numPr>
      </w:pPr>
      <w:r>
        <w:rPr>
          <w:b/>
        </w:rPr>
        <w:t xml:space="preserve">Contexte (axe menace).</w:t>
      </w:r>
      <w:r>
        <w:t xml:space="preserve"> </w:t>
      </w:r>
      <w:r>
        <w:t xml:space="preserve">Conditionner la reprise du dialogue au « respect du jugement » de janvier 2016 — jugement établi comme reposant sur des prémisses fausses (voir</w:t>
      </w:r>
      <w:r>
        <w:t xml:space="preserve"> </w:t>
      </w:r>
      <w:hyperlink r:id="rId23">
        <w:r>
          <w:rPr>
            <w:rStyle w:val="Hyperlink"/>
          </w:rPr>
          <w:t xml:space="preserve">synthese_abus_diffamation_requete2015.md</w:t>
        </w:r>
      </w:hyperlink>
      <w:r>
        <w:t xml:space="preserve">) — confirme que le temps seul avec les enfants demeure, pour le défendeur, un risque juridique mobilisable.</w:t>
      </w:r>
      <w:r>
        <w:t xml:space="preserve"> </w:t>
      </w:r>
      <w:r>
        <w:rPr>
          <w:i/>
        </w:rPr>
        <w:t xml:space="preserve">(Inférence contextuelle, réservée aux moyens.)</w:t>
      </w:r>
    </w:p>
    <w:p>
      <w:pPr>
        <w:pStyle w:val="Heading2"/>
      </w:pPr>
      <w:bookmarkStart w:id="96" w:name="inférences-exclues"/>
      <w:r>
        <w:t xml:space="preserve">6. Inférences exclues</w:t>
      </w:r>
      <w:bookmarkEnd w:id="96"/>
    </w:p>
    <w:p>
      <w:pPr>
        <w:pStyle w:val="Compact"/>
        <w:numPr>
          <w:numId w:val="1029"/>
          <w:ilvl w:val="0"/>
        </w:numPr>
      </w:pPr>
      <w:r>
        <w:t xml:space="preserve">Ne pas plaider une</w:t>
      </w:r>
      <w:r>
        <w:t xml:space="preserve"> </w:t>
      </w:r>
      <w:r>
        <w:rPr>
          <w:b/>
        </w:rPr>
        <w:t xml:space="preserve">« impossibilité »</w:t>
      </w:r>
      <w:r>
        <w:t xml:space="preserve"> </w:t>
      </w:r>
      <w:r>
        <w:t xml:space="preserve">de communiquer : un canal (grand-mère) existait ; la coupure directe était un choix.</w:t>
      </w:r>
    </w:p>
    <w:p>
      <w:pPr>
        <w:pStyle w:val="Compact"/>
        <w:numPr>
          <w:numId w:val="1029"/>
          <w:ilvl w:val="0"/>
        </w:numPr>
      </w:pPr>
      <w:r>
        <w:t xml:space="preserve">Ne pas fonder l’argument sur un</w:t>
      </w:r>
      <w:r>
        <w:t xml:space="preserve"> </w:t>
      </w:r>
      <w:r>
        <w:rPr>
          <w:b/>
        </w:rPr>
        <w:t xml:space="preserve">canal unique</w:t>
      </w:r>
      <w:r>
        <w:t xml:space="preserve"> </w:t>
      </w:r>
      <w:r>
        <w:t xml:space="preserve">: le fardeau porte sur l’existence d’une offre</w:t>
      </w:r>
      <w:r>
        <w:t xml:space="preserve"> </w:t>
      </w:r>
      <w:r>
        <w:rPr>
          <w:b/>
        </w:rPr>
        <w:t xml:space="preserve">par n’importe quel</w:t>
      </w:r>
      <w:r>
        <w:t xml:space="preserve"> </w:t>
      </w:r>
      <w:r>
        <w:t xml:space="preserve">canal.</w:t>
      </w:r>
    </w:p>
    <w:p>
      <w:pPr>
        <w:pStyle w:val="Compact"/>
        <w:numPr>
          <w:numId w:val="1029"/>
          <w:ilvl w:val="0"/>
        </w:numPr>
      </w:pPr>
      <w:r>
        <w:t xml:space="preserve">Ne pas qualifier la réponse du défendeur du 26 septembre 2016 de</w:t>
      </w:r>
      <w:r>
        <w:t xml:space="preserve"> </w:t>
      </w:r>
      <w:r>
        <w:rPr>
          <w:b/>
        </w:rPr>
        <w:t xml:space="preserve">co-faute</w:t>
      </w:r>
      <w:r>
        <w:t xml:space="preserve"> </w:t>
      </w:r>
      <w:r>
        <w:t xml:space="preserve">: c’est une désescalade d’une dynamique conditionnée par la demanderesse.</w:t>
      </w:r>
    </w:p>
    <w:p>
      <w:pPr>
        <w:pStyle w:val="Compact"/>
        <w:numPr>
          <w:numId w:val="1029"/>
          <w:ilvl w:val="0"/>
        </w:numPr>
      </w:pPr>
      <w:r>
        <w:t xml:space="preserve">Ne pas traiter la « transition 1 dimanche sur 2 » comme un</w:t>
      </w:r>
      <w:r>
        <w:t xml:space="preserve"> </w:t>
      </w:r>
      <w:r>
        <w:rPr>
          <w:b/>
        </w:rPr>
        <w:t xml:space="preserve">aveu de désintérêt</w:t>
      </w:r>
      <w:r>
        <w:t xml:space="preserve"> </w:t>
      </w:r>
      <w:r>
        <w:t xml:space="preserve">: elle est périphérique et rattachée aux décisions de mars 2015.</w:t>
      </w:r>
    </w:p>
    <w:p>
      <w:pPr>
        <w:pStyle w:val="Compact"/>
        <w:numPr>
          <w:numId w:val="1029"/>
          <w:ilvl w:val="0"/>
        </w:numPr>
      </w:pPr>
      <w:r>
        <w:t xml:space="preserve">Ne pas affirmer que le courriel du 21 octobre 2019 précède l’heure de</w:t>
      </w:r>
      <w:r>
        <w:t xml:space="preserve"> </w:t>
      </w:r>
      <w:r>
        <w:rPr>
          <w:b/>
        </w:rPr>
        <w:t xml:space="preserve">signature</w:t>
      </w:r>
      <w:r>
        <w:t xml:space="preserve"> </w:t>
      </w:r>
      <w:r>
        <w:t xml:space="preserve">: établir seulement la</w:t>
      </w:r>
      <w:r>
        <w:t xml:space="preserve"> </w:t>
      </w:r>
      <w:r>
        <w:rPr>
          <w:b/>
        </w:rPr>
        <w:t xml:space="preserve">contemporanéité</w:t>
      </w:r>
      <w:r>
        <w:t xml:space="preserve"> </w:t>
      </w:r>
      <w:r>
        <w:t xml:space="preserve">(même jour).</w:t>
      </w:r>
    </w:p>
    <w:p>
      <w:pPr>
        <w:pStyle w:val="Compact"/>
        <w:numPr>
          <w:numId w:val="1029"/>
          <w:ilvl w:val="0"/>
        </w:numPr>
      </w:pPr>
      <w:r>
        <w:t xml:space="preserve">Ne pas présumer la mauvaise foi : l’établir par la conduite (maintien sans preuve), non par l’accusation (art. 2805 → 2849 C.c.Q.).</w:t>
      </w:r>
    </w:p>
    <w:p>
      <w:pPr>
        <w:pStyle w:val="Heading2"/>
      </w:pPr>
      <w:bookmarkStart w:id="97" w:name="pièces-nécessaires-1"/>
      <w:r>
        <w:t xml:space="preserve">7. Pièces nécessaires</w:t>
      </w:r>
      <w:bookmarkEnd w:id="9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1-2</w:t>
            </w:r>
          </w:p>
        </w:tc>
        <w:tc>
          <w:p>
            <w:pPr>
              <w:pStyle w:val="Compact"/>
              <w:jc w:val="left"/>
            </w:pPr>
            <w:hyperlink r:id="rId93">
              <w:r>
                <w:rPr>
                  <w:rStyle w:val="Hyperlink"/>
                </w:rPr>
                <w:t xml:space="preserve">piece_thread-5_email-5.md</w:t>
              </w:r>
            </w:hyperlink>
            <w:r>
              <w:t xml:space="preserve"> </w:t>
            </w:r>
            <w:r>
              <w:t xml:space="preserve">(cessation, 26 sept. 2016)</w:t>
            </w:r>
          </w:p>
        </w:tc>
        <w:tc>
          <w:p>
            <w:pPr>
              <w:pStyle w:val="Compact"/>
              <w:jc w:val="left"/>
            </w:pPr>
            <w:r>
              <w:t xml:space="preserve">disponible</w:t>
            </w:r>
          </w:p>
        </w:tc>
      </w:tr>
      <w:tr>
        <w:tc>
          <w:p>
            <w:pPr>
              <w:pStyle w:val="Compact"/>
              <w:jc w:val="left"/>
            </w:pPr>
            <w:r>
              <w:t xml:space="preserve">3</w:t>
            </w:r>
          </w:p>
        </w:tc>
        <w:tc>
          <w:p>
            <w:pPr>
              <w:pStyle w:val="Compact"/>
              <w:jc w:val="left"/>
            </w:pPr>
            <w:r>
              <w:t xml:space="preserve">affidavit de la grand-mère paternelle ; communications grand-mère / demanderesse</w:t>
            </w:r>
          </w:p>
        </w:tc>
        <w:tc>
          <w:p>
            <w:pPr>
              <w:pStyle w:val="Compact"/>
              <w:jc w:val="left"/>
            </w:pPr>
            <w:r>
              <w:rPr>
                <w:b/>
              </w:rPr>
              <w:t xml:space="preserve">[à sourcer]</w:t>
            </w:r>
            <w:r>
              <w:t xml:space="preserve"> </w:t>
            </w:r>
            <w:r>
              <w:t xml:space="preserve">— renfort accessoire, non le pivot</w:t>
            </w:r>
          </w:p>
        </w:tc>
      </w:tr>
      <w:tr>
        <w:tc>
          <w:p>
            <w:pPr>
              <w:pStyle w:val="Compact"/>
              <w:jc w:val="left"/>
            </w:pPr>
            <w:r>
              <w:t xml:space="preserve">4</w:t>
            </w:r>
          </w:p>
        </w:tc>
        <w:tc>
          <w:p>
            <w:pPr>
              <w:pStyle w:val="Compact"/>
              <w:jc w:val="left"/>
            </w:pPr>
            <w:hyperlink r:id="rId65">
              <w:r>
                <w:rPr>
                  <w:rStyle w:val="Hyperlink"/>
                </w:rPr>
                <w:t xml:space="preserve">piece_document-3.md</w:t>
              </w:r>
            </w:hyperlink>
            <w:r>
              <w:t xml:space="preserve">, §6.3</w:t>
            </w:r>
          </w:p>
        </w:tc>
        <w:tc>
          <w:p>
            <w:pPr>
              <w:pStyle w:val="Compact"/>
              <w:jc w:val="left"/>
            </w:pPr>
            <w:r>
              <w:t xml:space="preserve">document reproduit ; cote finale à stabiliser</w:t>
            </w:r>
          </w:p>
        </w:tc>
      </w:tr>
      <w:tr>
        <w:tc>
          <w:p>
            <w:pPr>
              <w:pStyle w:val="Compact"/>
              <w:jc w:val="left"/>
            </w:pPr>
            <w:r>
              <w:t xml:space="preserve">5</w:t>
            </w:r>
          </w:p>
        </w:tc>
        <w:tc>
          <w:p>
            <w:pPr>
              <w:pStyle w:val="Compact"/>
              <w:jc w:val="left"/>
            </w:pPr>
            <w:hyperlink r:id="rId94">
              <w:r>
                <w:rPr>
                  <w:rStyle w:val="Hyperlink"/>
                </w:rPr>
                <w:t xml:space="preserve">piece_thread-121_email-486.md</w:t>
              </w:r>
            </w:hyperlink>
            <w:r>
              <w:t xml:space="preserve"> </w:t>
            </w:r>
            <w:r>
              <w:t xml:space="preserve">(B-12, 21 oct. 2019)</w:t>
            </w:r>
          </w:p>
        </w:tc>
        <w:tc>
          <w:p>
            <w:pPr>
              <w:pStyle w:val="Compact"/>
              <w:jc w:val="left"/>
            </w:pPr>
            <w:r>
              <w:t xml:space="preserve">disponible</w:t>
            </w:r>
          </w:p>
        </w:tc>
      </w:tr>
      <w:tr>
        <w:tc>
          <w:p>
            <w:pPr>
              <w:pStyle w:val="Compact"/>
              <w:jc w:val="left"/>
            </w:pPr>
            <w:r>
              <w:t xml:space="preserve">6</w:t>
            </w:r>
          </w:p>
        </w:tc>
        <w:tc>
          <w:p>
            <w:pPr>
              <w:pStyle w:val="Compact"/>
              <w:jc w:val="left"/>
            </w:pPr>
            <w:r>
              <w:t xml:space="preserve">absence de toute pièce d’offre au dossier</w:t>
            </w:r>
          </w:p>
        </w:tc>
        <w:tc>
          <w:p>
            <w:pPr>
              <w:pStyle w:val="Compact"/>
              <w:jc w:val="left"/>
            </w:pPr>
            <w:r>
              <w:t xml:space="preserve">constat du dossier</w:t>
            </w:r>
          </w:p>
        </w:tc>
      </w:tr>
      <w:tr>
        <w:tc>
          <w:p>
            <w:pPr>
              <w:pStyle w:val="Compact"/>
              <w:jc w:val="left"/>
            </w:pPr>
            <w:r>
              <w:t xml:space="preserve">contexte</w:t>
            </w:r>
          </w:p>
        </w:tc>
        <w:tc>
          <w:p>
            <w:pPr>
              <w:pStyle w:val="Compact"/>
              <w:jc w:val="left"/>
            </w:pPr>
            <w:hyperlink r:id="rId98">
              <w:r>
                <w:rPr>
                  <w:rStyle w:val="Hyperlink"/>
                </w:rPr>
                <w:t xml:space="preserve">piece_pdf-15.md</w:t>
              </w:r>
            </w:hyperlink>
            <w:r>
              <w:t xml:space="preserve"> </w:t>
            </w:r>
            <w:r>
              <w:t xml:space="preserve">(jugement intérimaire 27 sept. 2019)</w:t>
            </w:r>
          </w:p>
        </w:tc>
        <w:tc>
          <w:p>
            <w:pPr>
              <w:pStyle w:val="Compact"/>
              <w:jc w:val="left"/>
            </w:pPr>
            <w:r>
              <w:t xml:space="preserve">disponible</w:t>
            </w:r>
          </w:p>
        </w:tc>
      </w:tr>
    </w:tbl>
    <w:p>
      <w:pPr>
        <w:pStyle w:val="Heading2"/>
      </w:pPr>
      <w:bookmarkStart w:id="99" w:name="prudences-de-rédaction-1"/>
      <w:r>
        <w:t xml:space="preserve">8. Prudences de rédaction</w:t>
      </w:r>
      <w:bookmarkEnd w:id="99"/>
    </w:p>
    <w:p>
      <w:pPr>
        <w:pStyle w:val="Compact"/>
        <w:numPr>
          <w:numId w:val="1030"/>
          <w:ilvl w:val="0"/>
        </w:numPr>
      </w:pPr>
      <w:r>
        <w:rPr>
          <w:b/>
        </w:rPr>
        <w:t xml:space="preserve">Mener avec la fausse attribution et la continuité des accès</w:t>
      </w:r>
      <w:r>
        <w:t xml:space="preserve">, non avec l’impossibilité.</w:t>
      </w:r>
    </w:p>
    <w:p>
      <w:pPr>
        <w:pStyle w:val="Compact"/>
        <w:numPr>
          <w:numId w:val="1030"/>
          <w:ilvl w:val="0"/>
        </w:numPr>
      </w:pPr>
      <w:r>
        <w:rPr>
          <w:b/>
        </w:rPr>
        <w:t xml:space="preserve">Autorat</w:t>
      </w:r>
      <w:r>
        <w:t xml:space="preserve"> </w:t>
      </w:r>
      <w:r>
        <w:t xml:space="preserve">: Me Ayoub rédige, Élise jure ; le scienter d’Élise repose sur</w:t>
      </w:r>
      <w:r>
        <w:t xml:space="preserve"> </w:t>
      </w:r>
      <w:r>
        <w:rPr>
          <w:b/>
        </w:rPr>
        <w:t xml:space="preserve">sa propre connaissance</w:t>
      </w:r>
      <w:r>
        <w:t xml:space="preserve"> </w:t>
      </w:r>
      <w:r>
        <w:t xml:space="preserve">(conditionnement de 2016 ; absence d’offre), indépendamment du courriel du père.</w:t>
      </w:r>
    </w:p>
    <w:p>
      <w:pPr>
        <w:pStyle w:val="Compact"/>
        <w:numPr>
          <w:numId w:val="1030"/>
          <w:ilvl w:val="0"/>
        </w:numPr>
      </w:pPr>
      <w:r>
        <w:t xml:space="preserve">Employer « aucune offre documentée, tous canaux confondus » plutôt que « communication coupée ».</w:t>
      </w:r>
    </w:p>
    <w:p>
      <w:pPr>
        <w:pStyle w:val="Compact"/>
        <w:numPr>
          <w:numId w:val="1030"/>
          <w:ilvl w:val="0"/>
        </w:numPr>
      </w:pPr>
      <w:r>
        <w:t xml:space="preserve">La grand-mère est un</w:t>
      </w:r>
      <w:r>
        <w:t xml:space="preserve"> </w:t>
      </w:r>
      <w:r>
        <w:rPr>
          <w:b/>
        </w:rPr>
        <w:t xml:space="preserve">renfort</w:t>
      </w:r>
      <w:r>
        <w:t xml:space="preserve"> </w:t>
      </w:r>
      <w:r>
        <w:t xml:space="preserve">(elle peut attester que les vacances n’y ont jamais été abordées) — non le pivot.</w:t>
      </w:r>
    </w:p>
    <w:p>
      <w:pPr>
        <w:pStyle w:val="Compact"/>
        <w:numPr>
          <w:numId w:val="1030"/>
          <w:ilvl w:val="0"/>
        </w:numPr>
      </w:pPr>
      <w:r>
        <w:t xml:space="preserve">Confirmer sur le texte de la DA que « 6.C » = l’énoncé §6.3.</w:t>
      </w:r>
    </w:p>
    <w:p>
      <w:pPr>
        <w:pStyle w:val="Heading2"/>
      </w:pPr>
      <w:bookmarkStart w:id="100" w:name="version-procédurale-distillée-1"/>
      <w:r>
        <w:t xml:space="preserve">9. Version procédurale distillée</w:t>
      </w:r>
      <w:bookmarkEnd w:id="100"/>
    </w:p>
    <w:p>
      <w:pPr>
        <w:pStyle w:val="Compact"/>
        <w:numPr>
          <w:numId w:val="1031"/>
          <w:ilvl w:val="0"/>
        </w:numPr>
      </w:pPr>
      <w:r>
        <w:t xml:space="preserve">Le §6.3 affirme que le défendeur refuse de prendre les enfants lors des congés et vacances.</w:t>
      </w:r>
    </w:p>
    <w:p>
      <w:pPr>
        <w:pStyle w:val="Compact"/>
        <w:numPr>
          <w:numId w:val="1031"/>
          <w:ilvl w:val="0"/>
        </w:numPr>
      </w:pPr>
      <w:r>
        <w:t xml:space="preserve">Un refus suppose une offre ; aucune offre de congé n’est documentée au dossier, par quelque canal que ce soit, alors que le fardeau de l’établir incombait à la demanderesse (art. 2803 C.c.Q.).</w:t>
      </w:r>
    </w:p>
    <w:p>
      <w:pPr>
        <w:pStyle w:val="Compact"/>
        <w:numPr>
          <w:numId w:val="1031"/>
          <w:ilvl w:val="0"/>
        </w:numPr>
      </w:pPr>
      <w:r>
        <w:t xml:space="preserve">Durant toute la période visée, les accès du défendeur se sont poursuivis, leur calendrier étant coordonné entre la mère du défendeur et la demanderesse.</w:t>
      </w:r>
    </w:p>
    <w:p>
      <w:pPr>
        <w:pStyle w:val="Compact"/>
        <w:numPr>
          <w:numId w:val="1031"/>
          <w:ilvl w:val="0"/>
        </w:numPr>
      </w:pPr>
      <w:r>
        <w:t xml:space="preserve">« Le père refuse » impute ainsi un refus dans une coordination d’accès dont le défendeur ne réglait pas le calendrier, et contredit la continuité documentée de ses contacts.</w:t>
      </w:r>
    </w:p>
    <w:p>
      <w:pPr>
        <w:pStyle w:val="Compact"/>
        <w:numPr>
          <w:numId w:val="1031"/>
          <w:ilvl w:val="0"/>
        </w:numPr>
      </w:pPr>
      <w:r>
        <w:t xml:space="preserve">Le jour même de l’assermentation, le défendeur a contesté l’allégation en signalant qu’aucune offre ne lui avait été faite ; aucune preuve d’offre ni aucune réponse n’a été produite au dossier.</w:t>
      </w:r>
    </w:p>
    <w:p>
      <w:pPr>
        <w:pStyle w:val="Heading2"/>
      </w:pPr>
      <w:bookmarkStart w:id="101" w:name="usage-dans-la-demande-introductive-1"/>
      <w:r>
        <w:t xml:space="preserve">10. Usage dans la demande introductive</w:t>
      </w:r>
      <w:bookmarkEnd w:id="101"/>
    </w:p>
    <w:p>
      <w:pPr>
        <w:pStyle w:val="FirstParagraph"/>
      </w:pPr>
      <w:r>
        <w:t xml:space="preserve">Élément du volet 2019. À présenter avec le §7 (même structure : allégation « santé/soin des enfants » maintenue sans la preuve que le fardeau imposait), en réservant au Tribunal toute qualification. Le pont établit d’abord la fausse attribution, la continuité des accès et l’absence d’offre sous le fardeau de l’alléguante.</w:t>
      </w:r>
    </w:p>
    <w:p>
      <w:r>
        <w:pict>
          <v:rect style="width:0;height:1.5pt" o:hralign="center" o:hrstd="t" o:hr="t"/>
        </w:pict>
      </w:r>
    </w:p>
    <w:p>
      <w:pPr>
        <w:pStyle w:val="Heading1"/>
      </w:pPr>
      <w:bookmarkStart w:id="102" w:name="Xb2717281e150a3a55cff510a0aace747d27d076"/>
      <w:r>
        <w:t xml:space="preserve">Pont — §6.6 et §6.7 de la Déclaration assermentée de 2019 (DA-2019, 21 octobre 2019)</w:t>
      </w:r>
      <w:bookmarkEnd w:id="102"/>
    </w:p>
    <w:p>
      <w:pPr>
        <w:pStyle w:val="Heading2"/>
        <w:pStyle w:val="BlockText"/>
      </w:pPr>
      <w:bookmarkStart w:id="103" w:name="Xdfe90d0fdccc8723884b1f2f088e2f6bd4183eb"/>
      <w:r>
        <w:t xml:space="preserve">⚠️ STATUT — ABANDONNÉ COMME GRIEF ACTIF (décision stratégique). NE PAS PLAIDER comme fausseté.</w:t>
      </w:r>
      <w:bookmarkEnd w:id="103"/>
    </w:p>
    <w:p>
      <w:pPr>
        <w:pStyle w:val="BlockText"/>
      </w:pPr>
      <w:r>
        <w:rPr>
          <w:b/>
        </w:rPr>
        <w:t xml:space="preserve">Rendement faible, charge d’analyse élevée pour un dossier déjà dense.</w:t>
      </w:r>
      <w:r>
        <w:t xml:space="preserve"> </w:t>
      </w:r>
      <w:r>
        <w:rPr>
          <w:b/>
        </w:rPr>
        <w:t xml:space="preserve">§6.6 est vrai</w:t>
      </w:r>
      <w:r>
        <w:t xml:space="preserve"> </w:t>
      </w:r>
      <w:r>
        <w:t xml:space="preserve">(les frais particuliers n’étaient effectivement pas au calcul de 2016 — à</w:t>
      </w:r>
      <w:r>
        <w:t xml:space="preserve"> </w:t>
      </w:r>
      <w:r>
        <w:rPr>
          <w:b/>
        </w:rPr>
        <w:t xml:space="preserve">concéder</w:t>
      </w:r>
      <w:r>
        <w:t xml:space="preserve">) ;</w:t>
      </w:r>
      <w:r>
        <w:t xml:space="preserve"> </w:t>
      </w:r>
      <w:r>
        <w:rPr>
          <w:b/>
        </w:rPr>
        <w:t xml:space="preserve">§6.7 est mixte</w:t>
      </w:r>
      <w:r>
        <w:t xml:space="preserve"> </w:t>
      </w:r>
      <w:r>
        <w:t xml:space="preserve">(forte sur « frais de garde assumés seule », qui étaient dans la base ; conditionnelle sur la santé ;</w:t>
      </w:r>
      <w:r>
        <w:t xml:space="preserve"> </w:t>
      </w:r>
      <w:r>
        <w:rPr>
          <w:b/>
        </w:rPr>
        <w:t xml:space="preserve">concédée</w:t>
      </w:r>
      <w:r>
        <w:t xml:space="preserve"> </w:t>
      </w:r>
      <w:r>
        <w:t xml:space="preserve">sur les frais extraordinaires non portés en 2016). On concentre la contestation des frais sur les mensonges nets —</w:t>
      </w:r>
      <w:r>
        <w:t xml:space="preserve"> </w:t>
      </w:r>
      <w:r>
        <w:rPr>
          <w:b/>
        </w:rPr>
        <w:t xml:space="preserve">§6.3 (vacances)</w:t>
      </w:r>
      <w:r>
        <w:t xml:space="preserve"> </w:t>
      </w:r>
      <w:r>
        <w:t xml:space="preserve">et</w:t>
      </w:r>
      <w:r>
        <w:t xml:space="preserve"> </w:t>
      </w:r>
      <w:r>
        <w:rPr>
          <w:b/>
        </w:rPr>
        <w:t xml:space="preserve">§7 (remboursement)</w:t>
      </w:r>
      <w:r>
        <w:t xml:space="preserve">, où</w:t>
      </w:r>
      <w:r>
        <w:t xml:space="preserve"> </w:t>
      </w:r>
      <w:r>
        <w:rPr>
          <w:i/>
        </w:rPr>
        <w:t xml:space="preserve">aucune demande n’a jamais été faite</w:t>
      </w:r>
      <w:r>
        <w:t xml:space="preserve">. Ce pont</w:t>
      </w:r>
      <w:r>
        <w:t xml:space="preserve"> </w:t>
      </w:r>
      <w:r>
        <w:rPr>
          <w:b/>
        </w:rPr>
        <w:t xml:space="preserve">documente la calibration et l’abandon</w:t>
      </w:r>
      <w:r>
        <w:t xml:space="preserve"> </w:t>
      </w:r>
      <w:r>
        <w:t xml:space="preserve">; il n’est pas destiné à être versé.</w:t>
      </w:r>
    </w:p>
    <w:p>
      <w:pPr>
        <w:pStyle w:val="BlockText"/>
      </w:pPr>
      <w:r>
        <w:rPr>
          <w:b/>
        </w:rPr>
        <w:t xml:space="preserve">À conserver malgré l’abandon :</w:t>
      </w:r>
      <w:r>
        <w:t xml:space="preserve"> </w:t>
      </w:r>
      <w:r>
        <w:t xml:space="preserve">(1) les pièces</w:t>
      </w:r>
      <w:r>
        <w:t xml:space="preserve"> </w:t>
      </w:r>
      <w:hyperlink r:id="rId64">
        <w:r>
          <w:rPr>
            <w:rStyle w:val="Hyperlink"/>
          </w:rPr>
          <w:t xml:space="preserve">piece_pdf-14.md</w:t>
        </w:r>
      </w:hyperlink>
      <w:r>
        <w:t xml:space="preserve"> </w:t>
      </w:r>
      <w:r>
        <w:t xml:space="preserve">et</w:t>
      </w:r>
      <w:r>
        <w:t xml:space="preserve"> </w:t>
      </w:r>
      <w:hyperlink r:id="rId104">
        <w:r>
          <w:rPr>
            <w:rStyle w:val="Hyperlink"/>
          </w:rPr>
          <w:t xml:space="preserve">piece_pdf-16.md</w:t>
        </w:r>
      </w:hyperlink>
      <w:r>
        <w:t xml:space="preserve">, réutilisables ailleurs (autorité §30-31, pension, §14-15, §20) ; (2) la</w:t>
      </w:r>
      <w:r>
        <w:t xml:space="preserve"> </w:t>
      </w:r>
      <w:r>
        <w:rPr>
          <w:b/>
        </w:rPr>
        <w:t xml:space="preserve">lecture de la majoration</w:t>
      </w:r>
      <w:r>
        <w:t xml:space="preserve"> </w:t>
      </w:r>
      <w:r>
        <w:t xml:space="preserve">(inversion : indemniser la mère d’une restriction que le père combattait), pertinente pour l’axe « menace/inversion » indépendamment du §6.7.</w:t>
      </w:r>
    </w:p>
    <w:p>
      <w:pPr>
        <w:pStyle w:val="BlockText"/>
      </w:pPr>
      <w:r>
        <w:t xml:space="preserve">Faits bruts :</w:t>
      </w:r>
      <w:r>
        <w:t xml:space="preserve"> </w:t>
      </w:r>
      <w:hyperlink r:id="rId105">
        <w:r>
          <w:rPr>
            <w:rStyle w:val="Hyperlink"/>
          </w:rPr>
          <w:t xml:space="preserve">faits_par6-6-7_2019.md</w:t>
        </w:r>
      </w:hyperlink>
      <w:r>
        <w:t xml:space="preserve">. Autorat :</w:t>
      </w:r>
      <w:r>
        <w:t xml:space="preserve"> </w:t>
      </w:r>
      <w:r>
        <w:rPr>
          <w:b/>
        </w:rPr>
        <w:t xml:space="preserve">Me Ayoub rédige</w:t>
      </w:r>
      <w:r>
        <w:t xml:space="preserve"> </w:t>
      </w:r>
      <w:r>
        <w:t xml:space="preserve">la DA-2019 ;</w:t>
      </w:r>
      <w:r>
        <w:t xml:space="preserve"> </w:t>
      </w:r>
      <w:r>
        <w:rPr>
          <w:b/>
        </w:rPr>
        <w:t xml:space="preserve">Élise jure</w:t>
      </w:r>
      <w:r>
        <w:t xml:space="preserve">.</w:t>
      </w:r>
    </w:p>
    <w:p>
      <w:pPr>
        <w:pStyle w:val="Heading2"/>
      </w:pPr>
      <w:bookmarkStart w:id="106" w:name="allégations-visées"/>
      <w:r>
        <w:t xml:space="preserve">1. Allégations visées</w:t>
      </w:r>
      <w:bookmarkEnd w:id="106"/>
    </w:p>
    <w:p>
      <w:pPr>
        <w:pStyle w:val="BlockText"/>
      </w:pPr>
      <w:r>
        <w:rPr>
          <w:b/>
        </w:rPr>
        <w:t xml:space="preserve">§6.6</w:t>
      </w:r>
      <w:r>
        <w:t xml:space="preserve"> </w:t>
      </w:r>
      <w:r>
        <w:t xml:space="preserve">— « Lors du calcul initial de la pension alimentaire, les frais particuliers payables par le défendeur n’ont pas été inclus dans ladite pension. »</w:t>
      </w:r>
    </w:p>
    <w:p>
      <w:pPr>
        <w:pStyle w:val="BlockText"/>
      </w:pPr>
      <w:r>
        <w:rPr>
          <w:b/>
        </w:rPr>
        <w:t xml:space="preserve">§6.7</w:t>
      </w:r>
      <w:r>
        <w:t xml:space="preserve"> </w:t>
      </w:r>
      <w:r>
        <w:t xml:space="preserve">— « La mère a dû assumer seule les frais de garde, camps de jour, suivi psychologique, frais de santé et activités sportives.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w:t>
      </w:r>
      <w:r>
        <w:t xml:space="preserve"> </w:t>
      </w:r>
      <w:r>
        <w:rPr>
          <w:b/>
        </w:rPr>
        <w:t xml:space="preserve">rédigée par Me Marie-Josée Ayoub</w:t>
      </w:r>
      <w:r>
        <w:t xml:space="preserve">.</w:t>
      </w:r>
    </w:p>
    <w:p>
      <w:pPr>
        <w:pStyle w:val="Heading2"/>
      </w:pPr>
      <w:bookmarkStart w:id="107" w:name="objectif-de-démonstration-2"/>
      <w:r>
        <w:t xml:space="preserve">2. Objectif de démonstration</w:t>
      </w:r>
      <w:bookmarkEnd w:id="107"/>
    </w:p>
    <w:p>
      <w:pPr>
        <w:pStyle w:val="FirstParagraph"/>
      </w:pPr>
      <w:r>
        <w:rPr>
          <w:b/>
        </w:rPr>
        <w:t xml:space="preserve">Classification : §6.6 = à concéder (vrai/incomplet) ; §6.7 = contradiction partielle, calibrée poste par poste. Ensemble à faible rendement → abandonné.</w:t>
      </w:r>
    </w:p>
    <w:p>
      <w:pPr>
        <w:pStyle w:val="Compact"/>
        <w:numPr>
          <w:numId w:val="1032"/>
          <w:ilvl w:val="0"/>
        </w:numPr>
      </w:pPr>
      <w:r>
        <w:rPr>
          <w:b/>
        </w:rPr>
        <w:t xml:space="preserve">§6.6</w:t>
      </w:r>
      <w:r>
        <w:t xml:space="preserve"> </w:t>
      </w:r>
      <w:r>
        <w:t xml:space="preserve">porte sur les</w:t>
      </w:r>
      <w:r>
        <w:t xml:space="preserve"> </w:t>
      </w:r>
      <w:r>
        <w:rPr>
          <w:b/>
        </w:rPr>
        <w:t xml:space="preserve">frais particuliers</w:t>
      </w:r>
      <w:r>
        <w:t xml:space="preserve"> </w:t>
      </w:r>
      <w:r>
        <w:t xml:space="preserve">(ligne 405), à</w:t>
      </w:r>
      <w:r>
        <w:t xml:space="preserve"> </w:t>
      </w:r>
      <w:r>
        <w:rPr>
          <w:b/>
        </w:rPr>
        <w:t xml:space="preserve">0 $</w:t>
      </w:r>
      <w:r>
        <w:t xml:space="preserve"> </w:t>
      </w:r>
      <w:r>
        <w:t xml:space="preserve">en 2016 ; le médical était traité</w:t>
      </w:r>
      <w:r>
        <w:t xml:space="preserve"> </w:t>
      </w:r>
      <w:r>
        <w:rPr>
          <w:b/>
        </w:rPr>
        <w:t xml:space="preserve">hors pension</w:t>
      </w:r>
      <w:r>
        <w:t xml:space="preserve"> </w:t>
      </w:r>
      <w:r>
        <w:t xml:space="preserve">(48 % sur pièces). Dire que les frais particuliers « n’ont pas été inclus dans la pension » est donc</w:t>
      </w:r>
      <w:r>
        <w:t xml:space="preserve"> </w:t>
      </w:r>
      <w:r>
        <w:rPr>
          <w:b/>
        </w:rPr>
        <w:t xml:space="preserve">exact</w:t>
      </w:r>
      <w:r>
        <w:t xml:space="preserve"> </w:t>
      </w:r>
      <w:r>
        <w:t xml:space="preserve">— au plus</w:t>
      </w:r>
      <w:r>
        <w:t xml:space="preserve"> </w:t>
      </w:r>
      <w:r>
        <w:rPr>
          <w:b/>
        </w:rPr>
        <w:t xml:space="preserve">incomplet</w:t>
      </w:r>
      <w:r>
        <w:t xml:space="preserve"> </w:t>
      </w:r>
      <w:r>
        <w:t xml:space="preserve">(il tait l’obligation de 48 % du père). ⚠️</w:t>
      </w:r>
      <w:r>
        <w:t xml:space="preserve"> </w:t>
      </w:r>
      <w:r>
        <w:rPr>
          <w:b/>
        </w:rPr>
        <w:t xml:space="preserve">Ne pas</w:t>
      </w:r>
      <w:r>
        <w:t xml:space="preserve"> </w:t>
      </w:r>
      <w:r>
        <w:t xml:space="preserve">contredire §6.6 en invoquant les frais de</w:t>
      </w:r>
      <w:r>
        <w:t xml:space="preserve"> </w:t>
      </w:r>
      <w:r>
        <w:rPr>
          <w:b/>
        </w:rPr>
        <w:t xml:space="preserve">garde</w:t>
      </w:r>
      <w:r>
        <w:t xml:space="preserve"> </w:t>
      </w:r>
      <w:r>
        <w:t xml:space="preserve">(inclus) : c’est une confusion frais de garde / frais particuliers.</w:t>
      </w:r>
    </w:p>
    <w:p>
      <w:pPr>
        <w:pStyle w:val="Compact"/>
        <w:numPr>
          <w:numId w:val="1032"/>
          <w:ilvl w:val="0"/>
        </w:numPr>
      </w:pPr>
      <w:r>
        <w:rPr>
          <w:b/>
        </w:rPr>
        <w:t xml:space="preserve">§6.7</w:t>
      </w:r>
      <w:r>
        <w:t xml:space="preserve"> </w:t>
      </w:r>
      <w:r>
        <w:t xml:space="preserve">est</w:t>
      </w:r>
      <w:r>
        <w:t xml:space="preserve"> </w:t>
      </w:r>
      <w:r>
        <w:rPr>
          <w:b/>
        </w:rPr>
        <w:t xml:space="preserve">mixte</w:t>
      </w:r>
      <w:r>
        <w:t xml:space="preserve"> </w:t>
      </w:r>
      <w:r>
        <w:t xml:space="preserve">: « seule » est faux pour les</w:t>
      </w:r>
      <w:r>
        <w:t xml:space="preserve"> </w:t>
      </w:r>
      <w:r>
        <w:rPr>
          <w:b/>
        </w:rPr>
        <w:t xml:space="preserve">frais de garde</w:t>
      </w:r>
      <w:r>
        <w:t xml:space="preserve"> </w:t>
      </w:r>
      <w:r>
        <w:t xml:space="preserve">(dans la base de 820 $) ;</w:t>
      </w:r>
      <w:r>
        <w:t xml:space="preserve"> </w:t>
      </w:r>
      <w:r>
        <w:rPr>
          <w:b/>
        </w:rPr>
        <w:t xml:space="preserve">discutable</w:t>
      </w:r>
      <w:r>
        <w:t xml:space="preserve"> </w:t>
      </w:r>
      <w:r>
        <w:t xml:space="preserve">pour la</w:t>
      </w:r>
      <w:r>
        <w:t xml:space="preserve"> </w:t>
      </w:r>
      <w:r>
        <w:rPr>
          <w:b/>
        </w:rPr>
        <w:t xml:space="preserve">santé</w:t>
      </w:r>
      <w:r>
        <w:t xml:space="preserve"> </w:t>
      </w:r>
      <w:r>
        <w:t xml:space="preserve">(48 % conditionnel à la transmission des pièces) ;</w:t>
      </w:r>
      <w:r>
        <w:t xml:space="preserve"> </w:t>
      </w:r>
      <w:r>
        <w:rPr>
          <w:b/>
        </w:rPr>
        <w:t xml:space="preserve">plausible</w:t>
      </w:r>
      <w:r>
        <w:t xml:space="preserve"> </w:t>
      </w:r>
      <w:r>
        <w:t xml:space="preserve">pour camps / suivi psy / sport extraordinaire (non portés au formulaire 2016 — objet légitime de la modification de 2019).</w:t>
      </w:r>
    </w:p>
    <w:p>
      <w:pPr>
        <w:pStyle w:val="Heading2"/>
      </w:pPr>
      <w:bookmarkStart w:id="108" w:name="force-probatoire-1"/>
      <w:r>
        <w:t xml:space="preserve">3. Force probatoire</w:t>
      </w:r>
      <w:bookmarkEnd w:id="10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Poste (§6.7)</w:t>
            </w:r>
          </w:p>
        </w:tc>
        <w:tc>
          <w:tcPr>
            <w:tcBorders>
              <w:bottom w:val="single"/>
            </w:tcBorders>
            <w:vAlign w:val="bottom"/>
          </w:tcPr>
          <w:p>
            <w:pPr>
              <w:pStyle w:val="Compact"/>
              <w:jc w:val="left"/>
            </w:pPr>
            <w:r>
              <w:t xml:space="preserve">Réalité 2016</w:t>
            </w:r>
          </w:p>
        </w:tc>
        <w:tc>
          <w:tcPr>
            <w:tcBorders>
              <w:bottom w:val="single"/>
            </w:tcBorders>
            <w:vAlign w:val="bottom"/>
          </w:tcPr>
          <w:p>
            <w:pPr>
              <w:pStyle w:val="Compact"/>
              <w:jc w:val="left"/>
            </w:pPr>
            <w:r>
              <w:t xml:space="preserve">Statut</w:t>
            </w:r>
          </w:p>
        </w:tc>
      </w:tr>
      <w:tr>
        <w:tc>
          <w:p>
            <w:pPr>
              <w:pStyle w:val="Compact"/>
              <w:jc w:val="left"/>
            </w:pPr>
            <w:r>
              <w:rPr>
                <w:b/>
              </w:rPr>
              <w:t xml:space="preserve">Frais de garde</w:t>
            </w:r>
            <w:r>
              <w:t xml:space="preserve"> </w:t>
            </w:r>
            <w:r>
              <w:t xml:space="preserve">« seule »</w:t>
            </w:r>
          </w:p>
        </w:tc>
        <w:tc>
          <w:p>
            <w:pPr>
              <w:pStyle w:val="Compact"/>
              <w:jc w:val="left"/>
            </w:pPr>
            <w:r>
              <w:t xml:space="preserve">inclus dans la base de 820 $ → le père y contribue par la pension</w:t>
            </w:r>
          </w:p>
        </w:tc>
        <w:tc>
          <w:p>
            <w:pPr>
              <w:pStyle w:val="Compact"/>
              <w:jc w:val="left"/>
            </w:pPr>
            <w:r>
              <w:t xml:space="preserve">🔴 contredit</w:t>
            </w:r>
          </w:p>
        </w:tc>
      </w:tr>
      <w:tr>
        <w:tc>
          <w:p>
            <w:pPr>
              <w:pStyle w:val="Compact"/>
              <w:jc w:val="left"/>
            </w:pPr>
            <w:r>
              <w:rPr>
                <w:b/>
              </w:rPr>
              <w:t xml:space="preserve">Frais de santé</w:t>
            </w:r>
            <w:r>
              <w:t xml:space="preserve"> </w:t>
            </w:r>
            <w:r>
              <w:t xml:space="preserve">« seule »</w:t>
            </w:r>
          </w:p>
        </w:tc>
        <w:tc>
          <w:p>
            <w:pPr>
              <w:pStyle w:val="Compact"/>
              <w:jc w:val="left"/>
            </w:pPr>
            <w:r>
              <w:t xml:space="preserve">père doit 48 % sur pièces</w:t>
            </w:r>
          </w:p>
        </w:tc>
        <w:tc>
          <w:p>
            <w:pPr>
              <w:pStyle w:val="Compact"/>
              <w:jc w:val="left"/>
            </w:pPr>
            <w:r>
              <w:t xml:space="preserve">contredit / conditionnel (les pièces ont-elles été transmises ?)</w:t>
            </w:r>
          </w:p>
        </w:tc>
      </w:tr>
      <w:tr>
        <w:tc>
          <w:p>
            <w:pPr>
              <w:pStyle w:val="Compact"/>
              <w:jc w:val="left"/>
            </w:pPr>
            <w:r>
              <w:t xml:space="preserve">Activités sportives</w:t>
            </w:r>
            <w:r>
              <w:t xml:space="preserve"> </w:t>
            </w:r>
            <w:r>
              <w:rPr>
                <w:b/>
              </w:rPr>
              <w:t xml:space="preserve">ordinaires</w:t>
            </w:r>
          </w:p>
        </w:tc>
        <w:tc>
          <w:p>
            <w:pPr>
              <w:pStyle w:val="Compact"/>
              <w:jc w:val="left"/>
            </w:pPr>
            <w:r>
              <w:t xml:space="preserve">couvertes par la base</w:t>
            </w:r>
          </w:p>
        </w:tc>
        <w:tc>
          <w:p>
            <w:pPr>
              <w:pStyle w:val="Compact"/>
              <w:jc w:val="left"/>
            </w:pPr>
            <w:r>
              <w:t xml:space="preserve">contredit</w:t>
            </w:r>
          </w:p>
        </w:tc>
      </w:tr>
      <w:tr>
        <w:tc>
          <w:p>
            <w:pPr>
              <w:pStyle w:val="Compact"/>
              <w:jc w:val="left"/>
            </w:pPr>
            <w:r>
              <w:t xml:space="preserve">Camps, suivi psy, sport</w:t>
            </w:r>
            <w:r>
              <w:t xml:space="preserve"> </w:t>
            </w:r>
            <w:r>
              <w:rPr>
                <w:b/>
              </w:rPr>
              <w:t xml:space="preserve">extraordinaire</w:t>
            </w:r>
          </w:p>
        </w:tc>
        <w:tc>
          <w:p>
            <w:pPr>
              <w:pStyle w:val="Compact"/>
              <w:jc w:val="left"/>
            </w:pPr>
            <w:r>
              <w:t xml:space="preserve">non portés au formulaire 2016 (l. 405 = 0 $)</w:t>
            </w:r>
          </w:p>
        </w:tc>
        <w:tc>
          <w:p>
            <w:pPr>
              <w:pStyle w:val="Compact"/>
              <w:jc w:val="left"/>
            </w:pPr>
            <w:r>
              <w:t xml:space="preserve">plausiblement exacts — fondement légitime de la modification 2019</w:t>
            </w:r>
          </w:p>
        </w:tc>
      </w:tr>
    </w:tbl>
    <w:p>
      <w:pPr>
        <w:pStyle w:val="BodyText"/>
      </w:pPr>
      <w:r>
        <w:rPr>
          <w:b/>
        </w:rPr>
        <w:t xml:space="preserve">§6.6 :</w:t>
      </w:r>
      <w:r>
        <w:t xml:space="preserve"> </w:t>
      </w:r>
      <w:r>
        <w:t xml:space="preserve">exact (à concéder), au plus incomplet.</w:t>
      </w:r>
      <w:r>
        <w:t xml:space="preserve"> </w:t>
      </w:r>
      <w:r>
        <w:rPr>
          <w:b/>
        </w:rPr>
        <w:t xml:space="preserve">Rendement global faible</w:t>
      </w:r>
      <w:r>
        <w:t xml:space="preserve"> </w:t>
      </w:r>
      <w:r>
        <w:t xml:space="preserve">→ abandon.</w:t>
      </w:r>
    </w:p>
    <w:p>
      <w:pPr>
        <w:pStyle w:val="Heading2"/>
      </w:pPr>
      <w:bookmarkStart w:id="109" w:name="faits-essentiels-plaidables-2"/>
      <w:r>
        <w:t xml:space="preserve">4. Faits essentiels plaidables</w:t>
      </w:r>
      <w:bookmarkEnd w:id="109"/>
    </w:p>
    <w:p>
      <w:pPr>
        <w:pStyle w:val="FirstParagraph"/>
      </w:pPr>
      <w:r>
        <w:rPr>
          <w:i/>
        </w:rPr>
        <w:t xml:space="preserve">(chronologiques, plats, sourcés — art. 99 CPC ; conservés pour référence, non versés)</w:t>
      </w:r>
    </w:p>
    <w:p>
      <w:pPr>
        <w:numPr>
          <w:numId w:val="1033"/>
          <w:ilvl w:val="0"/>
        </w:numPr>
      </w:pPr>
      <w:r>
        <w:t xml:space="preserve">Le 14 janvier 2016, un jugement par défaut fixe la pension à 820 $/mois (</w:t>
      </w:r>
      <w:hyperlink r:id="rId64">
        <w:r>
          <w:rPr>
            <w:rStyle w:val="Hyperlink"/>
          </w:rPr>
          <w:t xml:space="preserve">piece_pdf-14.md</w:t>
        </w:r>
      </w:hyperlink>
      <w:r>
        <w:t xml:space="preserve">).</w:t>
      </w:r>
    </w:p>
    <w:p>
      <w:pPr>
        <w:numPr>
          <w:numId w:val="1033"/>
          <w:ilvl w:val="0"/>
        </w:numPr>
      </w:pPr>
      <w:r>
        <w:t xml:space="preserve">Le formulaire retenu le 14 janvier 2016 porte les frais de garde nets à 832,57 $ et les frais particuliers (ligne 405) à 0,00 $ (</w:t>
      </w:r>
      <w:hyperlink r:id="rId64">
        <w:r>
          <w:rPr>
            <w:rStyle w:val="Hyperlink"/>
          </w:rPr>
          <w:t xml:space="preserve">piece_pdf-14.md</w:t>
        </w:r>
      </w:hyperlink>
      <w:r>
        <w:t xml:space="preserve">).</w:t>
      </w:r>
    </w:p>
    <w:p>
      <w:pPr>
        <w:numPr>
          <w:numId w:val="1033"/>
          <w:ilvl w:val="0"/>
        </w:numPr>
      </w:pPr>
      <w:r>
        <w:t xml:space="preserve">Le jugement du 14 janvier 2016 énonce que « les frais de garde sont déjà inclus dans la pension alimentaire de base » (</w:t>
      </w:r>
      <w:hyperlink r:id="rId64">
        <w:r>
          <w:rPr>
            <w:rStyle w:val="Hyperlink"/>
          </w:rPr>
          <w:t xml:space="preserve">piece_pdf-14.md</w:t>
        </w:r>
      </w:hyperlink>
      <w:r>
        <w:t xml:space="preserve">).</w:t>
      </w:r>
    </w:p>
    <w:p>
      <w:pPr>
        <w:numPr>
          <w:numId w:val="1033"/>
          <w:ilvl w:val="0"/>
        </w:numPr>
      </w:pPr>
      <w:r>
        <w:t xml:space="preserve">La pension de 820 $ a été fixée au-delà du montant calculé de 764,87 $ « afin de tenir compte des accès limités exercés par le père et des inconvénients que cela entraîne pour la mère » (</w:t>
      </w:r>
      <w:hyperlink r:id="rId64">
        <w:r>
          <w:rPr>
            <w:rStyle w:val="Hyperlink"/>
          </w:rPr>
          <w:t xml:space="preserve">piece_pdf-14.md</w:t>
        </w:r>
      </w:hyperlink>
      <w:r>
        <w:t xml:space="preserve">).</w:t>
      </w:r>
    </w:p>
    <w:p>
      <w:pPr>
        <w:numPr>
          <w:numId w:val="1033"/>
          <w:ilvl w:val="0"/>
        </w:numPr>
      </w:pPr>
      <w:r>
        <w:t xml:space="preserve">Le jugement ordonne au défendeur de payer 48 % de l’assurance médicale, des médicaments et des soins de santé, dans les dix jours d’une demande accompagnée de pièces justificatives (</w:t>
      </w:r>
      <w:hyperlink r:id="rId64">
        <w:r>
          <w:rPr>
            <w:rStyle w:val="Hyperlink"/>
          </w:rPr>
          <w:t xml:space="preserve">piece_pdf-14.md</w:t>
        </w:r>
      </w:hyperlink>
      <w:r>
        <w:t xml:space="preserve">).</w:t>
      </w:r>
    </w:p>
    <w:p>
      <w:pPr>
        <w:numPr>
          <w:numId w:val="1033"/>
          <w:ilvl w:val="0"/>
        </w:numPr>
      </w:pPr>
      <w:r>
        <w:t xml:space="preserve">Le formulaire de janvier 2016 a été préparé pour « Me Étude Légale » ; la procureure à l’audience était</w:t>
      </w:r>
      <w:r>
        <w:t xml:space="preserve"> </w:t>
      </w:r>
      <w:r>
        <w:rPr>
          <w:b/>
        </w:rPr>
        <w:t xml:space="preserve">Me Adelia Ferreira</w:t>
      </w:r>
      <w:r>
        <w:t xml:space="preserve"> </w:t>
      </w:r>
      <w:r>
        <w:t xml:space="preserve">— non Me Ayoub (</w:t>
      </w:r>
      <w:hyperlink r:id="rId64">
        <w:r>
          <w:rPr>
            <w:rStyle w:val="Hyperlink"/>
          </w:rPr>
          <w:t xml:space="preserve">piece_pdf-14.md</w:t>
        </w:r>
      </w:hyperlink>
      <w:r>
        <w:t xml:space="preserve">).</w:t>
      </w:r>
    </w:p>
    <w:p>
      <w:pPr>
        <w:numPr>
          <w:numId w:val="1033"/>
          <w:ilvl w:val="0"/>
        </w:numPr>
      </w:pPr>
      <w:r>
        <w:t xml:space="preserve">Le formulaire d’octobre 2019, préparé pour Me Ayoub, porte les frais particuliers (ligne 405) à 2 900 $ (</w:t>
      </w:r>
      <w:hyperlink r:id="rId104">
        <w:r>
          <w:rPr>
            <w:rStyle w:val="Hyperlink"/>
          </w:rPr>
          <w:t xml:space="preserve">piece_pdf-16.md</w:t>
        </w:r>
      </w:hyperlink>
      <w:r>
        <w:t xml:space="preserve">).</w:t>
      </w:r>
    </w:p>
    <w:p>
      <w:pPr>
        <w:pStyle w:val="Heading2"/>
      </w:pPr>
      <w:bookmarkStart w:id="110" w:name="X7a1f3ca78323d254f98e5d6931f6eea11e89cae"/>
      <w:r>
        <w:t xml:space="preserve">5. Inférences réservées aux moyens (conservées, non plaidées)</w:t>
      </w:r>
      <w:bookmarkEnd w:id="110"/>
    </w:p>
    <w:p>
      <w:pPr>
        <w:pStyle w:val="Compact"/>
        <w:numPr>
          <w:numId w:val="1034"/>
          <w:ilvl w:val="0"/>
        </w:numPr>
      </w:pPr>
      <w:r>
        <w:rPr>
          <w:b/>
        </w:rPr>
        <w:t xml:space="preserve">La majoration double-compte.</w:t>
      </w:r>
      <w:r>
        <w:t xml:space="preserve"> </w:t>
      </w:r>
      <w:r>
        <w:t xml:space="preserve">La pension a été majorée (820 $ vs 764,87 $) pour compenser la mère des « accès limités du père ». « Avoir assumé seule »</w:t>
      </w:r>
      <w:r>
        <w:t xml:space="preserve"> </w:t>
      </w:r>
      <w:r>
        <w:rPr>
          <w:b/>
        </w:rPr>
        <w:t xml:space="preserve">double-compte</w:t>
      </w:r>
      <w:r>
        <w:t xml:space="preserve"> </w:t>
      </w:r>
      <w:r>
        <w:t xml:space="preserve">ce que la majoration indemnisait déjà.</w:t>
      </w:r>
    </w:p>
    <w:p>
      <w:pPr>
        <w:pStyle w:val="Compact"/>
        <w:numPr>
          <w:numId w:val="1034"/>
          <w:ilvl w:val="0"/>
        </w:numPr>
      </w:pPr>
      <w:r>
        <w:rPr>
          <w:b/>
        </w:rPr>
        <w:t xml:space="preserve">Inversion (renfort d’axe, indépendant du §6.7).</w:t>
      </w:r>
      <w:r>
        <w:t xml:space="preserve"> </w:t>
      </w:r>
      <w:r>
        <w:t xml:space="preserve">La majoration traite les « accès limités » comme un fait du père, alors qu’il</w:t>
      </w:r>
      <w:r>
        <w:t xml:space="preserve"> </w:t>
      </w:r>
      <w:r>
        <w:rPr>
          <w:b/>
        </w:rPr>
        <w:t xml:space="preserve">réclamait davantage</w:t>
      </w:r>
      <w:r>
        <w:t xml:space="preserve"> </w:t>
      </w:r>
      <w:r>
        <w:t xml:space="preserve">d’accès : elle indemnise la mère d’une restriction qu’il combattait.</w:t>
      </w:r>
      <w:r>
        <w:t xml:space="preserve"> </w:t>
      </w:r>
      <w:r>
        <w:rPr>
          <w:i/>
        </w:rPr>
        <w:t xml:space="preserve">(Incitation à manier prudemment : ~55 $/mois ; tension, non mobile déterminant.)</w:t>
      </w:r>
    </w:p>
    <w:p>
      <w:pPr>
        <w:pStyle w:val="Heading2"/>
      </w:pPr>
      <w:bookmarkStart w:id="111" w:name="inférences-exclues-1"/>
      <w:r>
        <w:t xml:space="preserve">6. Inférences exclues</w:t>
      </w:r>
      <w:bookmarkEnd w:id="111"/>
    </w:p>
    <w:p>
      <w:pPr>
        <w:pStyle w:val="Compact"/>
        <w:numPr>
          <w:numId w:val="1035"/>
          <w:ilvl w:val="0"/>
        </w:numPr>
      </w:pPr>
      <w:r>
        <w:t xml:space="preserve">Ne pas contredire §6.6 par les</w:t>
      </w:r>
      <w:r>
        <w:t xml:space="preserve"> </w:t>
      </w:r>
      <w:r>
        <w:rPr>
          <w:b/>
        </w:rPr>
        <w:t xml:space="preserve">frais de garde</w:t>
      </w:r>
      <w:r>
        <w:t xml:space="preserve"> </w:t>
      </w:r>
      <w:r>
        <w:t xml:space="preserve">(confusion frais de garde / frais particuliers).</w:t>
      </w:r>
    </w:p>
    <w:p>
      <w:pPr>
        <w:pStyle w:val="Compact"/>
        <w:numPr>
          <w:numId w:val="1035"/>
          <w:ilvl w:val="0"/>
        </w:numPr>
      </w:pPr>
      <w:r>
        <w:t xml:space="preserve">Ne pas surétendre §6.7 : pour camps / psy / sport extraordinaire, « assumés seule » est</w:t>
      </w:r>
      <w:r>
        <w:t xml:space="preserve"> </w:t>
      </w:r>
      <w:r>
        <w:rPr>
          <w:b/>
        </w:rPr>
        <w:t xml:space="preserve">plausible</w:t>
      </w:r>
      <w:r>
        <w:t xml:space="preserve">.</w:t>
      </w:r>
    </w:p>
    <w:p>
      <w:pPr>
        <w:pStyle w:val="Compact"/>
        <w:numPr>
          <w:numId w:val="1035"/>
          <w:ilvl w:val="0"/>
        </w:numPr>
      </w:pPr>
      <w:r>
        <w:t xml:space="preserve">Ne pas attribuer le formulaire de</w:t>
      </w:r>
      <w:r>
        <w:t xml:space="preserve"> </w:t>
      </w:r>
      <w:r>
        <w:rPr>
          <w:b/>
        </w:rPr>
        <w:t xml:space="preserve">2016</w:t>
      </w:r>
      <w:r>
        <w:t xml:space="preserve"> </w:t>
      </w:r>
      <w:r>
        <w:t xml:space="preserve">à Me Ayoub (Ferreira / « Étude Légale ») ; son scienter, s’il était plaidé, reposerait sur sa connaissance du jugement de 2016 et son autorat du formulaire de 2019.</w:t>
      </w:r>
    </w:p>
    <w:p>
      <w:pPr>
        <w:pStyle w:val="Compact"/>
        <w:numPr>
          <w:numId w:val="1035"/>
          <w:ilvl w:val="0"/>
        </w:numPr>
      </w:pPr>
      <w:r>
        <w:t xml:space="preserve">Ne pas verser ce pont : grief abandonné.</w:t>
      </w:r>
    </w:p>
    <w:p>
      <w:pPr>
        <w:pStyle w:val="Heading2"/>
      </w:pPr>
      <w:bookmarkStart w:id="112" w:name="pièces-nécessaires-2"/>
      <w:r>
        <w:t xml:space="preserve">7. Pièces nécessaires</w:t>
      </w:r>
      <w:bookmarkEnd w:id="1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1-6</w:t>
            </w:r>
          </w:p>
        </w:tc>
        <w:tc>
          <w:p>
            <w:pPr>
              <w:pStyle w:val="Compact"/>
              <w:jc w:val="left"/>
            </w:pPr>
            <w:hyperlink r:id="rId64">
              <w:r>
                <w:rPr>
                  <w:rStyle w:val="Hyperlink"/>
                </w:rPr>
                <w:t xml:space="preserve">piece_pdf-14.md</w:t>
              </w:r>
            </w:hyperlink>
            <w:r>
              <w:t xml:space="preserve"> </w:t>
            </w:r>
            <w:r>
              <w:t xml:space="preserve">(jugement + formulaire 2016)</w:t>
            </w:r>
          </w:p>
        </w:tc>
        <w:tc>
          <w:p>
            <w:pPr>
              <w:pStyle w:val="Compact"/>
              <w:jc w:val="left"/>
            </w:pPr>
            <w:r>
              <w:t xml:space="preserve">disponible ;</w:t>
            </w:r>
            <w:r>
              <w:t xml:space="preserve"> </w:t>
            </w:r>
            <w:r>
              <w:rPr>
                <w:b/>
              </w:rPr>
              <w:t xml:space="preserve">réutilisable ailleurs</w:t>
            </w:r>
          </w:p>
        </w:tc>
      </w:tr>
      <w:tr>
        <w:tc>
          <w:p>
            <w:pPr>
              <w:pStyle w:val="Compact"/>
              <w:jc w:val="left"/>
            </w:pPr>
            <w:r>
              <w:t xml:space="preserve">7</w:t>
            </w:r>
          </w:p>
        </w:tc>
        <w:tc>
          <w:p>
            <w:pPr>
              <w:pStyle w:val="Compact"/>
              <w:jc w:val="left"/>
            </w:pPr>
            <w:hyperlink r:id="rId104">
              <w:r>
                <w:rPr>
                  <w:rStyle w:val="Hyperlink"/>
                </w:rPr>
                <w:t xml:space="preserve">piece_pdf-16.md</w:t>
              </w:r>
            </w:hyperlink>
            <w:r>
              <w:t xml:space="preserve"> </w:t>
            </w:r>
            <w:r>
              <w:t xml:space="preserve">(formulaire 2019)</w:t>
            </w:r>
          </w:p>
        </w:tc>
        <w:tc>
          <w:p>
            <w:pPr>
              <w:pStyle w:val="Compact"/>
              <w:jc w:val="left"/>
            </w:pPr>
            <w:r>
              <w:t xml:space="preserve">disponible ;</w:t>
            </w:r>
            <w:r>
              <w:t xml:space="preserve"> </w:t>
            </w:r>
            <w:r>
              <w:rPr>
                <w:b/>
              </w:rPr>
              <w:t xml:space="preserve">réutilisable ailleurs</w:t>
            </w:r>
          </w:p>
        </w:tc>
      </w:tr>
    </w:tbl>
    <w:p>
      <w:pPr>
        <w:pStyle w:val="Heading2"/>
      </w:pPr>
      <w:bookmarkStart w:id="113" w:name="prudences-de-rédaction-2"/>
      <w:r>
        <w:t xml:space="preserve">8. Prudences de rédaction</w:t>
      </w:r>
      <w:bookmarkEnd w:id="113"/>
    </w:p>
    <w:p>
      <w:pPr>
        <w:pStyle w:val="Compact"/>
        <w:numPr>
          <w:numId w:val="1036"/>
          <w:ilvl w:val="0"/>
        </w:numPr>
      </w:pPr>
      <w:r>
        <w:rPr>
          <w:b/>
        </w:rPr>
        <w:t xml:space="preserve">Ne pas plaider</w:t>
      </w:r>
      <w:r>
        <w:t xml:space="preserve"> </w:t>
      </w:r>
      <w:r>
        <w:t xml:space="preserve">ces paragraphes comme faussetés ; §6.6 se concède.</w:t>
      </w:r>
    </w:p>
    <w:p>
      <w:pPr>
        <w:pStyle w:val="Compact"/>
        <w:numPr>
          <w:numId w:val="1036"/>
          <w:ilvl w:val="0"/>
        </w:numPr>
      </w:pPr>
      <w:r>
        <w:t xml:space="preserve">Si un élément est mobilisé ailleurs, n’emprunter que la</w:t>
      </w:r>
      <w:r>
        <w:t xml:space="preserve"> </w:t>
      </w:r>
      <w:r>
        <w:rPr>
          <w:b/>
        </w:rPr>
        <w:t xml:space="preserve">lecture de la majoration</w:t>
      </w:r>
      <w:r>
        <w:t xml:space="preserve"> </w:t>
      </w:r>
      <w:r>
        <w:t xml:space="preserve">(axe inversion), non le grief §6.7.</w:t>
      </w:r>
    </w:p>
    <w:p>
      <w:pPr>
        <w:pStyle w:val="Compact"/>
        <w:numPr>
          <w:numId w:val="1036"/>
          <w:ilvl w:val="0"/>
        </w:numPr>
      </w:pPr>
      <w:r>
        <w:t xml:space="preserve">Conserver la distinction</w:t>
      </w:r>
      <w:r>
        <w:t xml:space="preserve"> </w:t>
      </w:r>
      <w:r>
        <w:rPr>
          <w:b/>
        </w:rPr>
        <w:t xml:space="preserve">frais de garde / frais particuliers</w:t>
      </w:r>
      <w:r>
        <w:t xml:space="preserve"> </w:t>
      </w:r>
      <w:r>
        <w:t xml:space="preserve">pour ne pas répéter la confusion de l’analyse source.</w:t>
      </w:r>
    </w:p>
    <w:p>
      <w:pPr>
        <w:pStyle w:val="Heading2"/>
      </w:pPr>
      <w:bookmarkStart w:id="114" w:name="version-procédurale-distillée-2"/>
      <w:r>
        <w:t xml:space="preserve">9. Version procédurale distillée</w:t>
      </w:r>
      <w:bookmarkEnd w:id="114"/>
    </w:p>
    <w:p>
      <w:pPr>
        <w:pStyle w:val="FirstParagraph"/>
      </w:pPr>
      <w:r>
        <w:rPr>
          <w:i/>
        </w:rPr>
        <w:t xml:space="preserve">(Non applicable — grief abandonné. §6.6 se concède ; §6.7 n’est pas versé.)</w:t>
      </w:r>
    </w:p>
    <w:p>
      <w:pPr>
        <w:pStyle w:val="Heading2"/>
      </w:pPr>
      <w:bookmarkStart w:id="115" w:name="usage-dans-la-demande-introductive-2"/>
      <w:r>
        <w:t xml:space="preserve">10. Usage dans la demande introductive</w:t>
      </w:r>
      <w:bookmarkEnd w:id="115"/>
    </w:p>
    <w:p>
      <w:pPr>
        <w:pStyle w:val="FirstParagraph"/>
      </w:pPr>
      <w:r>
        <w:rPr>
          <w:b/>
        </w:rPr>
        <w:t xml:space="preserve">Aucun usage direct.</w:t>
      </w:r>
      <w:r>
        <w:t xml:space="preserve"> </w:t>
      </w:r>
      <w:r>
        <w:t xml:space="preserve">Les pièces (pdf-14, pdf-16) et la lecture de la majoration demeurent disponibles pour d’autres volets (autorité parentale §30-31, pension, §14-15, §20). Ce pont sert de</w:t>
      </w:r>
      <w:r>
        <w:t xml:space="preserve"> </w:t>
      </w:r>
      <w:r>
        <w:rPr>
          <w:b/>
        </w:rPr>
        <w:t xml:space="preserve">trace de la décision d’abandon</w:t>
      </w:r>
      <w:r>
        <w:t xml:space="preserve"> </w:t>
      </w:r>
      <w:r>
        <w:t xml:space="preserve">et de sa calibration.</w:t>
      </w:r>
    </w:p>
    <w:p>
      <w:r>
        <w:pict>
          <v:rect style="width:0;height:1.5pt" o:hralign="center" o:hrstd="t" o:hr="t"/>
        </w:pict>
      </w:r>
    </w:p>
    <w:p>
      <w:pPr>
        <w:pStyle w:val="Heading1"/>
      </w:pPr>
      <w:bookmarkStart w:id="116" w:name="Xcb3b45e56f96db53d1778ff5ba3aa536ae0c07d"/>
      <w:r>
        <w:t xml:space="preserve">Pont — §7 de la Déclaration assermentée de 2019 (DA-2019, 21 octobre 2019)</w:t>
      </w:r>
      <w:bookmarkEnd w:id="116"/>
    </w:p>
    <w:p>
      <w:pPr>
        <w:pStyle w:val="BlockText"/>
      </w:pPr>
      <w:r>
        <w:rPr>
          <w:b/>
        </w:rPr>
        <w:t xml:space="preserve">STATUT — COMPLET SUR LE RAISONNEMENT ; préparation probatoire conditionnelle.</w:t>
      </w:r>
      <w:r>
        <w:t xml:space="preserve"> </w:t>
      </w:r>
      <w:r>
        <w:t xml:space="preserve">Le §7 emboîte</w:t>
      </w:r>
      <w:r>
        <w:t xml:space="preserve"> </w:t>
      </w:r>
      <w:r>
        <w:rPr>
          <w:b/>
        </w:rPr>
        <w:t xml:space="preserve">deux affirmations</w:t>
      </w:r>
      <w:r>
        <w:t xml:space="preserve"> </w:t>
      </w:r>
      <w:r>
        <w:t xml:space="preserve">dont</w:t>
      </w:r>
      <w:r>
        <w:t xml:space="preserve"> </w:t>
      </w:r>
      <w:r>
        <w:rPr>
          <w:b/>
        </w:rPr>
        <w:t xml:space="preserve">aucune</w:t>
      </w:r>
      <w:r>
        <w:t xml:space="preserve"> </w:t>
      </w:r>
      <w:r>
        <w:t xml:space="preserve">n’est documentée :</w:t>
      </w:r>
      <w:r>
        <w:t xml:space="preserve"> </w:t>
      </w:r>
      <w:r>
        <w:rPr>
          <w:i/>
        </w:rPr>
        <w:t xml:space="preserve">(a)</w:t>
      </w:r>
      <w:r>
        <w:t xml:space="preserve"> </w:t>
      </w:r>
      <w:r>
        <w:t xml:space="preserve">des</w:t>
      </w:r>
      <w:r>
        <w:t xml:space="preserve"> </w:t>
      </w:r>
      <w:r>
        <w:rPr>
          <w:b/>
        </w:rPr>
        <w:t xml:space="preserve">demandes répétées</w:t>
      </w:r>
      <w:r>
        <w:t xml:space="preserve"> </w:t>
      </w:r>
      <w:r>
        <w:t xml:space="preserve">de remboursement auraient été faites ;</w:t>
      </w:r>
      <w:r>
        <w:t xml:space="preserve"> </w:t>
      </w:r>
      <w:r>
        <w:rPr>
          <w:i/>
        </w:rPr>
        <w:t xml:space="preserve">(b)</w:t>
      </w:r>
      <w:r>
        <w:t xml:space="preserve"> </w:t>
      </w:r>
      <w:r>
        <w:t xml:space="preserve">le défendeur</w:t>
      </w:r>
      <w:r>
        <w:t xml:space="preserve"> </w:t>
      </w:r>
      <w:r>
        <w:rPr>
          <w:b/>
        </w:rPr>
        <w:t xml:space="preserve">n’aurait pas remboursé</w:t>
      </w:r>
      <w:r>
        <w:t xml:space="preserve">. L’obligation du père (48 % du médical) ne se déclenche</w:t>
      </w:r>
      <w:r>
        <w:t xml:space="preserve"> </w:t>
      </w:r>
      <w:r>
        <w:rPr>
          <w:b/>
        </w:rPr>
        <w:t xml:space="preserve">que</w:t>
      </w:r>
      <w:r>
        <w:t xml:space="preserve"> </w:t>
      </w:r>
      <w:r>
        <w:t xml:space="preserve">sur demande accompagnée de pièces justificatives (jugement de 2016). Ni demande, ni transmission de pièces n’est documentée ; le fardeau de les établir est sur l’alléguante (art. 2803 C.c.Q.). Renfort propre au §7 : le défendeur a</w:t>
      </w:r>
      <w:r>
        <w:t xml:space="preserve"> </w:t>
      </w:r>
      <w:r>
        <w:rPr>
          <w:b/>
        </w:rPr>
        <w:t xml:space="preserve">explicitement réclamé la preuve</w:t>
      </w:r>
      <w:r>
        <w:t xml:space="preserve"> </w:t>
      </w:r>
      <w:r>
        <w:t xml:space="preserve">(B-11) le jour même de l’assermentation ; aucune n’a été produite. Qualification réservée au Tribunal.</w:t>
      </w:r>
    </w:p>
    <w:p>
      <w:pPr>
        <w:pStyle w:val="BlockText"/>
      </w:pPr>
      <w:r>
        <w:t xml:space="preserve">Faits bruts :</w:t>
      </w:r>
      <w:r>
        <w:t xml:space="preserve"> </w:t>
      </w:r>
      <w:hyperlink r:id="rId117">
        <w:r>
          <w:rPr>
            <w:rStyle w:val="Hyperlink"/>
          </w:rPr>
          <w:t xml:space="preserve">faits_par7_2019.md</w:t>
        </w:r>
      </w:hyperlink>
      <w:r>
        <w:t xml:space="preserve">. Autorat :</w:t>
      </w:r>
      <w:r>
        <w:t xml:space="preserve"> </w:t>
      </w:r>
      <w:r>
        <w:rPr>
          <w:b/>
        </w:rPr>
        <w:t xml:space="preserve">Me Ayoub rédige</w:t>
      </w:r>
      <w:r>
        <w:t xml:space="preserve"> </w:t>
      </w:r>
      <w:r>
        <w:t xml:space="preserve">la DA-2019 ;</w:t>
      </w:r>
      <w:r>
        <w:t xml:space="preserve"> </w:t>
      </w:r>
      <w:r>
        <w:rPr>
          <w:b/>
        </w:rPr>
        <w:t xml:space="preserve">Élise jure</w:t>
      </w:r>
      <w:r>
        <w:t xml:space="preserve">.</w:t>
      </w:r>
    </w:p>
    <w:p>
      <w:pPr>
        <w:pStyle w:val="Heading2"/>
      </w:pPr>
      <w:bookmarkStart w:id="118" w:name="allégation-visée-2"/>
      <w:r>
        <w:t xml:space="preserve">1. Allégation visée</w:t>
      </w:r>
      <w:bookmarkEnd w:id="118"/>
    </w:p>
    <w:p>
      <w:pPr>
        <w:pStyle w:val="BlockText"/>
      </w:pPr>
      <w:r>
        <w:rPr>
          <w:b/>
        </w:rPr>
        <w:t xml:space="preserve">§7</w:t>
      </w:r>
      <w:r>
        <w:t xml:space="preserve"> </w:t>
      </w:r>
      <w:r>
        <w:t xml:space="preserve">— « Les frais médicaux n’ont pas été remboursés malgré les demandes répétées.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w:t>
      </w:r>
      <w:r>
        <w:t xml:space="preserve"> </w:t>
      </w:r>
      <w:r>
        <w:rPr>
          <w:b/>
        </w:rPr>
        <w:t xml:space="preserve">rédigée par Me Marie-Josée Ayoub</w:t>
      </w:r>
      <w:r>
        <w:t xml:space="preserve">.</w:t>
      </w:r>
    </w:p>
    <w:p>
      <w:pPr>
        <w:pStyle w:val="Heading2"/>
      </w:pPr>
      <w:bookmarkStart w:id="119" w:name="objectif-de-démonstration-3"/>
      <w:r>
        <w:t xml:space="preserve">2. Objectif de démonstration</w:t>
      </w:r>
      <w:bookmarkEnd w:id="119"/>
    </w:p>
    <w:p>
      <w:pPr>
        <w:pStyle w:val="FirstParagraph"/>
      </w:pPr>
      <w:r>
        <w:rPr>
          <w:b/>
        </w:rPr>
        <w:t xml:space="preserve">Classification : allégation à deux préconditions, aucune documentée — non fondée sous le fardeau de l’alléguante ; renforcée par une demande de preuve restée sans réponse.</w:t>
      </w:r>
    </w:p>
    <w:p>
      <w:pPr>
        <w:pStyle w:val="BodyText"/>
      </w:pPr>
      <w:r>
        <w:t xml:space="preserve">Pour que « non remboursé malgré demandes répétées » soit fondé, il faut</w:t>
      </w:r>
      <w:r>
        <w:t xml:space="preserve"> </w:t>
      </w:r>
      <w:r>
        <w:rPr>
          <w:b/>
        </w:rPr>
        <w:t xml:space="preserve">(a)</w:t>
      </w:r>
      <w:r>
        <w:t xml:space="preserve"> </w:t>
      </w:r>
      <w:r>
        <w:t xml:space="preserve">des demandes répétées de remboursement, et</w:t>
      </w:r>
      <w:r>
        <w:t xml:space="preserve"> </w:t>
      </w:r>
      <w:r>
        <w:rPr>
          <w:b/>
        </w:rPr>
        <w:t xml:space="preserve">(b)</w:t>
      </w:r>
      <w:r>
        <w:t xml:space="preserve"> </w:t>
      </w:r>
      <w:r>
        <w:t xml:space="preserve">la transmission des</w:t>
      </w:r>
      <w:r>
        <w:t xml:space="preserve"> </w:t>
      </w:r>
      <w:r>
        <w:rPr>
          <w:b/>
        </w:rPr>
        <w:t xml:space="preserve">pièces justificatives</w:t>
      </w:r>
      <w:r>
        <w:t xml:space="preserve"> </w:t>
      </w:r>
      <w:r>
        <w:t xml:space="preserve">— précondition contractuelle du remboursement selon le jugement de 2016.</w:t>
      </w:r>
      <w:r>
        <w:t xml:space="preserve"> </w:t>
      </w:r>
      <w:r>
        <w:rPr>
          <w:b/>
        </w:rPr>
        <w:t xml:space="preserve">Ni l’une ni l’autre n’est documentée.</w:t>
      </w:r>
    </w:p>
    <w:p>
      <w:pPr>
        <w:pStyle w:val="Compact"/>
        <w:numPr>
          <w:numId w:val="1037"/>
          <w:ilvl w:val="0"/>
        </w:numPr>
      </w:pPr>
      <w:r>
        <w:t xml:space="preserve">«</w:t>
      </w:r>
      <w:r>
        <w:t xml:space="preserve"> </w:t>
      </w:r>
      <w:r>
        <w:rPr>
          <w:b/>
        </w:rPr>
        <w:t xml:space="preserve">Non remboursé</w:t>
      </w:r>
      <w:r>
        <w:t xml:space="preserve"> </w:t>
      </w:r>
      <w:r>
        <w:t xml:space="preserve">» n’établit aucun manquement du père : son obligation (48 %)</w:t>
      </w:r>
      <w:r>
        <w:t xml:space="preserve"> </w:t>
      </w:r>
      <w:r>
        <w:rPr>
          <w:b/>
        </w:rPr>
        <w:t xml:space="preserve">ne naît</w:t>
      </w:r>
      <w:r>
        <w:t xml:space="preserve"> </w:t>
      </w:r>
      <w:r>
        <w:t xml:space="preserve">qu’à réception d’une demande accompagnée de pièces. Sans preuve d’une telle demande, le non-remboursement est</w:t>
      </w:r>
      <w:r>
        <w:t xml:space="preserve"> </w:t>
      </w:r>
      <w:r>
        <w:rPr>
          <w:b/>
        </w:rPr>
        <w:t xml:space="preserve">sans portée</w:t>
      </w:r>
      <w:r>
        <w:t xml:space="preserve"> </w:t>
      </w:r>
      <w:r>
        <w:t xml:space="preserve">contre lui.</w:t>
      </w:r>
    </w:p>
    <w:p>
      <w:pPr>
        <w:pStyle w:val="Compact"/>
        <w:numPr>
          <w:numId w:val="1037"/>
          <w:ilvl w:val="0"/>
        </w:numPr>
      </w:pPr>
      <w:r>
        <w:t xml:space="preserve">Comme au §6.3,</w:t>
      </w:r>
      <w:r>
        <w:t xml:space="preserve"> </w:t>
      </w:r>
      <w:r>
        <w:rPr>
          <w:b/>
        </w:rPr>
        <w:t xml:space="preserve">ne pas plaider « impossibilité »</w:t>
      </w:r>
      <w:r>
        <w:t xml:space="preserve"> </w:t>
      </w:r>
      <w:r>
        <w:t xml:space="preserve">: la coupure de communication directe était un choix ; une demande (avec pièces) aurait pu transiter par tout canal (avocat, percepteur des pensions).</w:t>
      </w:r>
    </w:p>
    <w:p>
      <w:pPr>
        <w:pStyle w:val="Compact"/>
        <w:numPr>
          <w:numId w:val="1037"/>
          <w:ilvl w:val="0"/>
        </w:numPr>
      </w:pPr>
      <w:r>
        <w:rPr>
          <w:b/>
        </w:rPr>
        <w:t xml:space="preserve">Renfort propre au §7</w:t>
      </w:r>
      <w:r>
        <w:t xml:space="preserve"> </w:t>
      </w:r>
      <w:r>
        <w:t xml:space="preserve">: le défendeur n’a pas seulement signalé l’absence de demandes — il a</w:t>
      </w:r>
      <w:r>
        <w:t xml:space="preserve"> </w:t>
      </w:r>
      <w:r>
        <w:rPr>
          <w:b/>
        </w:rPr>
        <w:t xml:space="preserve">réclamé la preuve</w:t>
      </w:r>
      <w:r>
        <w:t xml:space="preserve"> </w:t>
      </w:r>
      <w:r>
        <w:t xml:space="preserve">(« As-tu des preuves qu’Élise m’a fait des demandes répétées… ? »). Aucune n’a été fournie. L’intersection</w:t>
      </w:r>
      <w:r>
        <w:t xml:space="preserve"> </w:t>
      </w:r>
      <w:r>
        <w:rPr>
          <w:i/>
        </w:rPr>
        <w:t xml:space="preserve">on vous demande la preuve → vous ne produisez rien → vous le jurez quand même</w:t>
      </w:r>
      <w:r>
        <w:t xml:space="preserve"> </w:t>
      </w:r>
      <w:r>
        <w:t xml:space="preserve">est ici</w:t>
      </w:r>
      <w:r>
        <w:t xml:space="preserve"> </w:t>
      </w:r>
      <w:r>
        <w:rPr>
          <w:b/>
        </w:rPr>
        <w:t xml:space="preserve">plus nette</w:t>
      </w:r>
      <w:r>
        <w:t xml:space="preserve"> </w:t>
      </w:r>
      <w:r>
        <w:t xml:space="preserve">qu’au §6.3.</w:t>
      </w:r>
    </w:p>
    <w:p>
      <w:pPr>
        <w:pStyle w:val="Heading2"/>
      </w:pPr>
      <w:bookmarkStart w:id="120" w:name="force-probatoire-2"/>
      <w:r>
        <w:t xml:space="preserve">3. Force probatoire</w:t>
      </w:r>
      <w:bookmarkEnd w:id="1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Force</w:t>
            </w:r>
          </w:p>
        </w:tc>
      </w:tr>
      <w:tr>
        <w:tc>
          <w:p>
            <w:pPr>
              <w:pStyle w:val="Compact"/>
              <w:jc w:val="left"/>
            </w:pPr>
            <w:r>
              <w:t xml:space="preserve">contre « demandes répétées »</w:t>
            </w:r>
          </w:p>
        </w:tc>
        <w:tc>
          <w:p>
            <w:pPr>
              <w:pStyle w:val="Compact"/>
              <w:jc w:val="left"/>
            </w:pPr>
            <w:r>
              <w:rPr>
                <w:b/>
              </w:rPr>
              <w:t xml:space="preserve">forte</w:t>
            </w:r>
            <w:r>
              <w:t xml:space="preserve"> </w:t>
            </w:r>
            <w:r>
              <w:t xml:space="preserve">— aucune demande documentée, aucun canal ; fardeau sur l’alléguante (art. 2803) ;</w:t>
            </w:r>
            <w:r>
              <w:t xml:space="preserve"> </w:t>
            </w:r>
            <w:r>
              <w:rPr>
                <w:b/>
              </w:rPr>
              <w:t xml:space="preserve">preuve explicitement réclamée</w:t>
            </w:r>
            <w:r>
              <w:t xml:space="preserve"> </w:t>
            </w:r>
            <w:r>
              <w:t xml:space="preserve">(B-11) et non produite</w:t>
            </w:r>
          </w:p>
        </w:tc>
      </w:tr>
      <w:tr>
        <w:tc>
          <w:p>
            <w:pPr>
              <w:pStyle w:val="Compact"/>
              <w:jc w:val="left"/>
            </w:pPr>
            <w:r>
              <w:t xml:space="preserve">contre « non remboursé » comme</w:t>
            </w:r>
            <w:r>
              <w:t xml:space="preserve"> </w:t>
            </w:r>
            <w:r>
              <w:rPr>
                <w:b/>
              </w:rPr>
              <w:t xml:space="preserve">manquement</w:t>
            </w:r>
          </w:p>
        </w:tc>
        <w:tc>
          <w:p>
            <w:pPr>
              <w:pStyle w:val="Compact"/>
              <w:jc w:val="left"/>
            </w:pPr>
            <w:r>
              <w:rPr>
                <w:b/>
              </w:rPr>
              <w:t xml:space="preserve">forte</w:t>
            </w:r>
            <w:r>
              <w:t xml:space="preserve"> </w:t>
            </w:r>
            <w:r>
              <w:t xml:space="preserve">— l’obligation (48 %) ne se déclenche que sur demande + pièces ; à défaut, le non-remboursement est sans portée</w:t>
            </w:r>
          </w:p>
        </w:tc>
      </w:tr>
      <w:tr>
        <w:tc>
          <w:p>
            <w:pPr>
              <w:pStyle w:val="Compact"/>
              <w:jc w:val="left"/>
            </w:pPr>
            <w:r>
              <w:t xml:space="preserve">« non remboursé malgré demandes » comme proposition</w:t>
            </w:r>
            <w:r>
              <w:t xml:space="preserve"> </w:t>
            </w:r>
            <w:r>
              <w:rPr>
                <w:b/>
              </w:rPr>
              <w:t xml:space="preserve">falsifiable</w:t>
            </w:r>
          </w:p>
        </w:tc>
        <w:tc>
          <w:p>
            <w:pPr>
              <w:pStyle w:val="Compact"/>
              <w:jc w:val="left"/>
            </w:pPr>
            <w:r>
              <w:rPr>
                <w:b/>
              </w:rPr>
              <w:t xml:space="preserve">inopérante sans demande documentée</w:t>
            </w:r>
            <w:r>
              <w:t xml:space="preserve"> </w:t>
            </w:r>
            <w:r>
              <w:t xml:space="preserve">— devient significative</w:t>
            </w:r>
            <w:r>
              <w:t xml:space="preserve"> </w:t>
            </w:r>
            <w:r>
              <w:rPr>
                <w:i/>
              </w:rPr>
              <w:t xml:space="preserve">seulement</w:t>
            </w:r>
            <w:r>
              <w:t xml:space="preserve"> </w:t>
            </w:r>
            <w:r>
              <w:t xml:space="preserve">si une demande, avec pièces, restée sans suite, est établie</w:t>
            </w:r>
          </w:p>
        </w:tc>
      </w:tr>
      <w:tr>
        <w:tc>
          <w:p>
            <w:pPr>
              <w:pStyle w:val="Compact"/>
              <w:jc w:val="left"/>
            </w:pPr>
            <w:r>
              <w:t xml:space="preserve">pour affirmer une</w:t>
            </w:r>
            <w:r>
              <w:t xml:space="preserve"> </w:t>
            </w:r>
            <w:r>
              <w:rPr>
                <w:b/>
              </w:rPr>
              <w:t xml:space="preserve">« impossibilité »</w:t>
            </w:r>
            <w:r>
              <w:t xml:space="preserve"> </w:t>
            </w:r>
            <w:r>
              <w:t xml:space="preserve">de réclamer</w:t>
            </w:r>
          </w:p>
        </w:tc>
        <w:tc>
          <w:p>
            <w:pPr>
              <w:pStyle w:val="Compact"/>
              <w:jc w:val="left"/>
            </w:pPr>
            <w:r>
              <w:rPr>
                <w:b/>
              </w:rPr>
              <w:t xml:space="preserve">à écarter</w:t>
            </w:r>
            <w:r>
              <w:t xml:space="preserve"> </w:t>
            </w:r>
            <w:r>
              <w:t xml:space="preserve">— la coupure directe était un choix ; d’autres canaux existaient</w:t>
            </w:r>
          </w:p>
        </w:tc>
      </w:tr>
      <w:tr>
        <w:tc>
          <w:p>
            <w:pPr>
              <w:pStyle w:val="Compact"/>
              <w:jc w:val="left"/>
            </w:pPr>
            <w:r>
              <w:t xml:space="preserve">connaissance (Élise)</w:t>
            </w:r>
          </w:p>
        </w:tc>
        <w:tc>
          <w:p>
            <w:pPr>
              <w:pStyle w:val="Compact"/>
              <w:jc w:val="left"/>
            </w:pPr>
            <w:r>
              <w:rPr>
                <w:b/>
              </w:rPr>
              <w:t xml:space="preserve">forte</w:t>
            </w:r>
            <w:r>
              <w:t xml:space="preserve"> </w:t>
            </w:r>
            <w:r>
              <w:t xml:space="preserve">— autrice de la cessation ; sait n’avoir formulé aucune demande répétée documentée</w:t>
            </w:r>
          </w:p>
        </w:tc>
      </w:tr>
      <w:tr>
        <w:tc>
          <w:p>
            <w:pPr>
              <w:pStyle w:val="Compact"/>
              <w:jc w:val="left"/>
            </w:pPr>
            <w:r>
              <w:t xml:space="preserve">connaissance (Me Ayoub)</w:t>
            </w:r>
          </w:p>
        </w:tc>
        <w:tc>
          <w:p>
            <w:pPr>
              <w:pStyle w:val="Compact"/>
              <w:jc w:val="left"/>
            </w:pPr>
            <w:r>
              <w:rPr>
                <w:b/>
              </w:rPr>
              <w:t xml:space="preserve">forte</w:t>
            </w:r>
            <w:r>
              <w:t xml:space="preserve"> </w:t>
            </w:r>
            <w:r>
              <w:t xml:space="preserve">— destinataire de B-11, avec</w:t>
            </w:r>
            <w:r>
              <w:t xml:space="preserve"> </w:t>
            </w:r>
            <w:r>
              <w:rPr>
                <w:b/>
              </w:rPr>
              <w:t xml:space="preserve">demande explicite de preuve</w:t>
            </w:r>
            <w:r>
              <w:t xml:space="preserve">, le jour même de l’assermentation ; rien produit</w:t>
            </w:r>
          </w:p>
        </w:tc>
      </w:tr>
    </w:tbl>
    <w:p>
      <w:pPr>
        <w:pStyle w:val="Heading2"/>
      </w:pPr>
      <w:bookmarkStart w:id="121" w:name="faits-essentiels-plaidables-3"/>
      <w:r>
        <w:t xml:space="preserve">4. Faits essentiels plaidables</w:t>
      </w:r>
      <w:bookmarkEnd w:id="121"/>
    </w:p>
    <w:p>
      <w:pPr>
        <w:pStyle w:val="FirstParagraph"/>
      </w:pPr>
      <w:r>
        <w:rPr>
          <w:i/>
        </w:rPr>
        <w:t xml:space="preserve">(chronologiques, plats, sourcés — art. 99 CPC)</w:t>
      </w:r>
    </w:p>
    <w:p>
      <w:pPr>
        <w:numPr>
          <w:numId w:val="1038"/>
          <w:ilvl w:val="0"/>
        </w:numPr>
      </w:pPr>
      <w:r>
        <w:t xml:space="preserve">Le 14 janvier 2016, le jugement ordonne au défendeur de payer 48 % de l’assurance médicale, des médicaments et des soins de santé des enfants,</w:t>
      </w:r>
      <w:r>
        <w:t xml:space="preserve"> </w:t>
      </w:r>
      <w:r>
        <w:rPr>
          <w:b/>
        </w:rPr>
        <w:t xml:space="preserve">dans les dix jours d’une demande accompagnée de pièces justificatives</w:t>
      </w:r>
      <w:r>
        <w:t xml:space="preserve"> </w:t>
      </w:r>
      <w:r>
        <w:t xml:space="preserve">(</w:t>
      </w:r>
      <w:hyperlink r:id="rId64">
        <w:r>
          <w:rPr>
            <w:rStyle w:val="Hyperlink"/>
          </w:rPr>
          <w:t xml:space="preserve">piece_pdf-14.md</w:t>
        </w:r>
      </w:hyperlink>
      <w:r>
        <w:t xml:space="preserve">).</w:t>
      </w:r>
    </w:p>
    <w:p>
      <w:pPr>
        <w:numPr>
          <w:numId w:val="1038"/>
          <w:ilvl w:val="0"/>
        </w:numPr>
      </w:pPr>
      <w:r>
        <w:t xml:space="preserve">Le 26 septembre 2016, la communication directe entre les parties cesse (</w:t>
      </w:r>
      <w:hyperlink r:id="rId93">
        <w:r>
          <w:rPr>
            <w:rStyle w:val="Hyperlink"/>
          </w:rPr>
          <w:t xml:space="preserve">piece_thread-5_email-5.md</w:t>
        </w:r>
      </w:hyperlink>
      <w:r>
        <w:t xml:space="preserve">).</w:t>
      </w:r>
    </w:p>
    <w:p>
      <w:pPr>
        <w:numPr>
          <w:numId w:val="1038"/>
          <w:ilvl w:val="0"/>
        </w:numPr>
      </w:pPr>
      <w:r>
        <w:t xml:space="preserve">Le 21 octobre 2019, la demanderesse signe la déclaration assermentée contenant le §7 (</w:t>
      </w:r>
      <w:hyperlink r:id="rId65">
        <w:r>
          <w:rPr>
            <w:rStyle w:val="Hyperlink"/>
          </w:rPr>
          <w:t xml:space="preserve">piece_document-3.md</w:t>
        </w:r>
      </w:hyperlink>
      <w:r>
        <w:t xml:space="preserve">).</w:t>
      </w:r>
    </w:p>
    <w:p>
      <w:pPr>
        <w:numPr>
          <w:numId w:val="1038"/>
          <w:ilvl w:val="0"/>
        </w:numPr>
      </w:pPr>
      <w:r>
        <w:t xml:space="preserve">Le 21 octobre 2019 (14 h 46), le défendeur écrit à Me Ayoub : « As-tu des preuves qu’Élise m’a fait des demandes répétées à l’effet qu’il y ait des frais médicaux à rembourser ? », et rappelle l’absence de communication depuis le 26 septembre 2016 (</w:t>
      </w:r>
      <w:hyperlink r:id="rId122">
        <w:r>
          <w:rPr>
            <w:rStyle w:val="Hyperlink"/>
          </w:rPr>
          <w:t xml:space="preserve">piece_thread-120_email-485.md</w:t>
        </w:r>
      </w:hyperlink>
      <w:r>
        <w:t xml:space="preserve">).</w:t>
      </w:r>
    </w:p>
    <w:p>
      <w:pPr>
        <w:numPr>
          <w:numId w:val="1038"/>
          <w:ilvl w:val="0"/>
        </w:numPr>
      </w:pPr>
      <w:r>
        <w:t xml:space="preserve">Aucune demande de remboursement de frais médicaux formulée par la demanderesse, ni aucune transmission de pièces justificatives, ni aucune réponse à la demande de preuve du défendeur, n’a été produite au dossier (</w:t>
      </w:r>
      <w:hyperlink r:id="rId122">
        <w:r>
          <w:rPr>
            <w:rStyle w:val="Hyperlink"/>
          </w:rPr>
          <w:t xml:space="preserve">piece_thread-120_email-485.md</w:t>
        </w:r>
      </w:hyperlink>
      <w:r>
        <w:t xml:space="preserve"> </w:t>
      </w:r>
      <w:r>
        <w:t xml:space="preserve">; absence de toute pièce au dossier).</w:t>
      </w:r>
    </w:p>
    <w:p>
      <w:pPr>
        <w:pStyle w:val="Heading2"/>
      </w:pPr>
      <w:bookmarkStart w:id="123" w:name="inférences-réservées-aux-moyens-2"/>
      <w:r>
        <w:t xml:space="preserve">5. Inférences réservées aux moyens</w:t>
      </w:r>
      <w:bookmarkEnd w:id="123"/>
    </w:p>
    <w:p>
      <w:pPr>
        <w:pStyle w:val="Compact"/>
        <w:numPr>
          <w:numId w:val="1039"/>
          <w:ilvl w:val="0"/>
        </w:numPr>
      </w:pPr>
      <w:r>
        <w:rPr>
          <w:b/>
        </w:rPr>
        <w:t xml:space="preserve">Deux préconditions manquantes.</w:t>
      </w:r>
      <w:r>
        <w:t xml:space="preserve"> </w:t>
      </w:r>
      <w:r>
        <w:t xml:space="preserve">L’allégation présuppose des demandes répétées et la transmission de pièces ; aucune n’est établie, alors que le fardeau reposait sur l’alléguante (art. 2803).</w:t>
      </w:r>
    </w:p>
    <w:p>
      <w:pPr>
        <w:pStyle w:val="Compact"/>
        <w:numPr>
          <w:numId w:val="1039"/>
          <w:ilvl w:val="0"/>
        </w:numPr>
      </w:pPr>
      <w:r>
        <w:rPr>
          <w:b/>
        </w:rPr>
        <w:t xml:space="preserve">Le déclencheur contractuel absent.</w:t>
      </w:r>
      <w:r>
        <w:t xml:space="preserve"> </w:t>
      </w:r>
      <w:r>
        <w:t xml:space="preserve">L’obligation du père naît de la demande + pièces ; sans preuve de ce déclencheur, « non remboursé » ne décrit aucun manquement.</w:t>
      </w:r>
    </w:p>
    <w:p>
      <w:pPr>
        <w:pStyle w:val="Compact"/>
        <w:numPr>
          <w:numId w:val="1039"/>
          <w:ilvl w:val="0"/>
        </w:numPr>
      </w:pPr>
      <w:r>
        <w:rPr>
          <w:b/>
        </w:rPr>
        <w:t xml:space="preserve">L’intersection renforcée.</w:t>
      </w:r>
      <w:r>
        <w:t xml:space="preserve"> </w:t>
      </w:r>
      <w:r>
        <w:t xml:space="preserve">Une demande explicite de preuve, restée sans réponse, suivie du maintien de l’allégation sous serment, engage la responsabilité. À plaider comme</w:t>
      </w:r>
      <w:r>
        <w:t xml:space="preserve"> </w:t>
      </w:r>
      <w:r>
        <w:rPr>
          <w:b/>
        </w:rPr>
        <w:t xml:space="preserve">maintien sans preuve malgré une demande de preuve</w:t>
      </w:r>
      <w:r>
        <w:t xml:space="preserve">, sous le fardeau de l’alléguante —</w:t>
      </w:r>
      <w:r>
        <w:t xml:space="preserve"> </w:t>
      </w:r>
      <w:r>
        <w:rPr>
          <w:b/>
        </w:rPr>
        <w:t xml:space="preserve">non</w:t>
      </w:r>
      <w:r>
        <w:t xml:space="preserve"> </w:t>
      </w:r>
      <w:r>
        <w:t xml:space="preserve">comme « défaut de vérifier » (interne, inconnaissable) ni « obligation de répondre au courriel ».</w:t>
      </w:r>
    </w:p>
    <w:p>
      <w:pPr>
        <w:pStyle w:val="Compact"/>
        <w:numPr>
          <w:numId w:val="1039"/>
          <w:ilvl w:val="0"/>
        </w:numPr>
      </w:pPr>
      <w:r>
        <w:rPr>
          <w:b/>
        </w:rPr>
        <w:t xml:space="preserve">Séquence (renvoi, non preuve autonome).</w:t>
      </w:r>
      <w:r>
        <w:t xml:space="preserve"> </w:t>
      </w:r>
      <w:r>
        <w:t xml:space="preserve">Allégation parallèle quatre ans plus tôt : la Requête de novembre 2015 reprochait au père d’empêcher l’usage des assurances, contredite par les relevés Industrielle Alliance (voir</w:t>
      </w:r>
      <w:r>
        <w:t xml:space="preserve"> </w:t>
      </w:r>
      <w:hyperlink r:id="rId35">
        <w:r>
          <w:rPr>
            <w:rStyle w:val="Hyperlink"/>
          </w:rPr>
          <w:t xml:space="preserve">pont_par56-57_2015.md</w:t>
        </w:r>
      </w:hyperlink>
      <w:r>
        <w:t xml:space="preserve">). Deux allégations « santé des enfants » de structure identique, non supportées par les pièces — élément de séquence, non preuve autonome.</w:t>
      </w:r>
    </w:p>
    <w:p>
      <w:pPr>
        <w:pStyle w:val="Heading2"/>
      </w:pPr>
      <w:bookmarkStart w:id="124" w:name="inférences-exclues-2"/>
      <w:r>
        <w:t xml:space="preserve">6. Inférences exclues</w:t>
      </w:r>
      <w:bookmarkEnd w:id="124"/>
    </w:p>
    <w:p>
      <w:pPr>
        <w:pStyle w:val="Compact"/>
        <w:numPr>
          <w:numId w:val="1040"/>
          <w:ilvl w:val="0"/>
        </w:numPr>
      </w:pPr>
      <w:r>
        <w:t xml:space="preserve">Ne pas plaider l’</w:t>
      </w:r>
      <w:r>
        <w:rPr>
          <w:b/>
        </w:rPr>
        <w:t xml:space="preserve">« impossibilité »</w:t>
      </w:r>
      <w:r>
        <w:t xml:space="preserve"> </w:t>
      </w:r>
      <w:r>
        <w:t xml:space="preserve">de réclamer (canaux disponibles).</w:t>
      </w:r>
    </w:p>
    <w:p>
      <w:pPr>
        <w:pStyle w:val="Compact"/>
        <w:numPr>
          <w:numId w:val="1040"/>
          <w:ilvl w:val="0"/>
        </w:numPr>
      </w:pPr>
      <w:r>
        <w:t xml:space="preserve">Ne pas invoquer un</w:t>
      </w:r>
      <w:r>
        <w:t xml:space="preserve"> </w:t>
      </w:r>
      <w:r>
        <w:rPr>
          <w:b/>
        </w:rPr>
        <w:t xml:space="preserve">« défaut de vérifier »</w:t>
      </w:r>
      <w:r>
        <w:t xml:space="preserve"> </w:t>
      </w:r>
      <w:r>
        <w:t xml:space="preserve">(vérification interne inconnaissable) : plaider le maintien sans preuve produite.</w:t>
      </w:r>
    </w:p>
    <w:p>
      <w:pPr>
        <w:pStyle w:val="Compact"/>
        <w:numPr>
          <w:numId w:val="1040"/>
          <w:ilvl w:val="0"/>
        </w:numPr>
      </w:pPr>
      <w:r>
        <w:t xml:space="preserve">Ne pas affirmer que le père a</w:t>
      </w:r>
      <w:r>
        <w:t xml:space="preserve"> </w:t>
      </w:r>
      <w:r>
        <w:rPr>
          <w:b/>
        </w:rPr>
        <w:t xml:space="preserve">refusé</w:t>
      </w:r>
      <w:r>
        <w:t xml:space="preserve"> </w:t>
      </w:r>
      <w:r>
        <w:t xml:space="preserve">de payer : sans demande + pièces, aucun refus n’existe.</w:t>
      </w:r>
    </w:p>
    <w:p>
      <w:pPr>
        <w:pStyle w:val="Compact"/>
        <w:numPr>
          <w:numId w:val="1040"/>
          <w:ilvl w:val="0"/>
        </w:numPr>
      </w:pPr>
      <w:r>
        <w:t xml:space="preserve">Ne pas surétendre la séquence 2015 en preuve autonome de la fausseté de 2019.</w:t>
      </w:r>
    </w:p>
    <w:p>
      <w:pPr>
        <w:pStyle w:val="Compact"/>
        <w:numPr>
          <w:numId w:val="1040"/>
          <w:ilvl w:val="0"/>
        </w:numPr>
      </w:pPr>
      <w:r>
        <w:t xml:space="preserve">Ne pas présumer la mauvaise foi : l’établir par la conduite (art. 2805 → 2849 C.c.Q.).</w:t>
      </w:r>
    </w:p>
    <w:p>
      <w:pPr>
        <w:pStyle w:val="Heading2"/>
      </w:pPr>
      <w:bookmarkStart w:id="125" w:name="pièces-nécessaires-3"/>
      <w:r>
        <w:t xml:space="preserve">7. Pièces nécessaires</w:t>
      </w:r>
      <w:bookmarkEnd w:id="1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hyperlink r:id="rId64">
              <w:r>
                <w:rPr>
                  <w:rStyle w:val="Hyperlink"/>
                </w:rPr>
                <w:t xml:space="preserve">piece_pdf-14.md</w:t>
              </w:r>
            </w:hyperlink>
            <w:r>
              <w:t xml:space="preserve"> </w:t>
            </w:r>
            <w:r>
              <w:t xml:space="preserve">(jugement 2016, clause 48 % / pièces justificatives)</w:t>
            </w:r>
          </w:p>
        </w:tc>
        <w:tc>
          <w:p>
            <w:pPr>
              <w:pStyle w:val="Compact"/>
              <w:jc w:val="left"/>
            </w:pPr>
            <w:r>
              <w:t xml:space="preserve">disponible</w:t>
            </w:r>
          </w:p>
        </w:tc>
      </w:tr>
      <w:tr>
        <w:tc>
          <w:p>
            <w:pPr>
              <w:pStyle w:val="Compact"/>
              <w:jc w:val="left"/>
            </w:pPr>
            <w:r>
              <w:t xml:space="preserve">2</w:t>
            </w:r>
          </w:p>
        </w:tc>
        <w:tc>
          <w:p>
            <w:pPr>
              <w:pStyle w:val="Compact"/>
              <w:jc w:val="left"/>
            </w:pPr>
            <w:hyperlink r:id="rId93">
              <w:r>
                <w:rPr>
                  <w:rStyle w:val="Hyperlink"/>
                </w:rPr>
                <w:t xml:space="preserve">piece_thread-5_email-5.md</w:t>
              </w:r>
            </w:hyperlink>
            <w:r>
              <w:t xml:space="preserve"> </w:t>
            </w:r>
            <w:r>
              <w:t xml:space="preserve">(cessation, 26 sept. 2016)</w:t>
            </w:r>
          </w:p>
        </w:tc>
        <w:tc>
          <w:p>
            <w:pPr>
              <w:pStyle w:val="Compact"/>
              <w:jc w:val="left"/>
            </w:pPr>
            <w:r>
              <w:t xml:space="preserve">disponible</w:t>
            </w:r>
          </w:p>
        </w:tc>
      </w:tr>
      <w:tr>
        <w:tc>
          <w:p>
            <w:pPr>
              <w:pStyle w:val="Compact"/>
              <w:jc w:val="left"/>
            </w:pPr>
            <w:r>
              <w:t xml:space="preserve">3</w:t>
            </w:r>
          </w:p>
        </w:tc>
        <w:tc>
          <w:p>
            <w:pPr>
              <w:pStyle w:val="Compact"/>
              <w:jc w:val="left"/>
            </w:pPr>
            <w:hyperlink r:id="rId65">
              <w:r>
                <w:rPr>
                  <w:rStyle w:val="Hyperlink"/>
                </w:rPr>
                <w:t xml:space="preserve">piece_document-3.md</w:t>
              </w:r>
            </w:hyperlink>
            <w:r>
              <w:t xml:space="preserve">, §7</w:t>
            </w:r>
          </w:p>
        </w:tc>
        <w:tc>
          <w:p>
            <w:pPr>
              <w:pStyle w:val="Compact"/>
              <w:jc w:val="left"/>
            </w:pPr>
            <w:r>
              <w:t xml:space="preserve">document reproduit ; cote finale à stabiliser</w:t>
            </w:r>
          </w:p>
        </w:tc>
      </w:tr>
      <w:tr>
        <w:tc>
          <w:p>
            <w:pPr>
              <w:pStyle w:val="Compact"/>
              <w:jc w:val="left"/>
            </w:pPr>
            <w:r>
              <w:t xml:space="preserve">4</w:t>
            </w:r>
          </w:p>
        </w:tc>
        <w:tc>
          <w:p>
            <w:pPr>
              <w:pStyle w:val="Compact"/>
              <w:jc w:val="left"/>
            </w:pPr>
            <w:hyperlink r:id="rId122">
              <w:r>
                <w:rPr>
                  <w:rStyle w:val="Hyperlink"/>
                </w:rPr>
                <w:t xml:space="preserve">piece_thread-120_email-485.md</w:t>
              </w:r>
            </w:hyperlink>
            <w:r>
              <w:t xml:space="preserve"> </w:t>
            </w:r>
            <w:r>
              <w:t xml:space="preserve">(B-11, 21 oct. 2019, demande de preuve)</w:t>
            </w:r>
          </w:p>
        </w:tc>
        <w:tc>
          <w:p>
            <w:pPr>
              <w:pStyle w:val="Compact"/>
              <w:jc w:val="left"/>
            </w:pPr>
            <w:r>
              <w:t xml:space="preserve">disponible</w:t>
            </w:r>
          </w:p>
        </w:tc>
      </w:tr>
      <w:tr>
        <w:tc>
          <w:p>
            <w:pPr>
              <w:pStyle w:val="Compact"/>
              <w:jc w:val="left"/>
            </w:pPr>
            <w:r>
              <w:t xml:space="preserve">5</w:t>
            </w:r>
          </w:p>
        </w:tc>
        <w:tc>
          <w:p>
            <w:pPr>
              <w:pStyle w:val="Compact"/>
              <w:jc w:val="left"/>
            </w:pPr>
            <w:r>
              <w:t xml:space="preserve">absence de toute pièce au dossier</w:t>
            </w:r>
          </w:p>
        </w:tc>
        <w:tc>
          <w:p>
            <w:pPr>
              <w:pStyle w:val="Compact"/>
              <w:jc w:val="left"/>
            </w:pPr>
            <w:r>
              <w:t xml:space="preserve">constat du dossier</w:t>
            </w:r>
          </w:p>
        </w:tc>
      </w:tr>
    </w:tbl>
    <w:p>
      <w:pPr>
        <w:pStyle w:val="Heading2"/>
      </w:pPr>
      <w:bookmarkStart w:id="126" w:name="prudences-de-rédaction-3"/>
      <w:r>
        <w:t xml:space="preserve">8. Prudences de rédaction</w:t>
      </w:r>
      <w:bookmarkEnd w:id="126"/>
    </w:p>
    <w:p>
      <w:pPr>
        <w:pStyle w:val="Compact"/>
        <w:numPr>
          <w:numId w:val="1041"/>
          <w:ilvl w:val="0"/>
        </w:numPr>
      </w:pPr>
      <w:r>
        <w:rPr>
          <w:b/>
        </w:rPr>
        <w:t xml:space="preserve">Mener avec la clause « demande + pièces »</w:t>
      </w:r>
      <w:r>
        <w:t xml:space="preserve"> </w:t>
      </w:r>
      <w:r>
        <w:t xml:space="preserve">du jugement de 2016 : elle transforme « non remboursé » en énoncé sans portée à défaut de preuve du déclencheur.</w:t>
      </w:r>
    </w:p>
    <w:p>
      <w:pPr>
        <w:pStyle w:val="Compact"/>
        <w:numPr>
          <w:numId w:val="1041"/>
          <w:ilvl w:val="0"/>
        </w:numPr>
      </w:pPr>
      <w:r>
        <w:rPr>
          <w:b/>
        </w:rPr>
        <w:t xml:space="preserve">Autorat</w:t>
      </w:r>
      <w:r>
        <w:t xml:space="preserve"> </w:t>
      </w:r>
      <w:r>
        <w:t xml:space="preserve">: Me Ayoub rédige, Élise jure ; scienter d’Élise autonome (elle est l’autrice de la cessation et sait n’avoir formulé aucune demande documentée).</w:t>
      </w:r>
    </w:p>
    <w:p>
      <w:pPr>
        <w:pStyle w:val="Compact"/>
        <w:numPr>
          <w:numId w:val="1041"/>
          <w:ilvl w:val="0"/>
        </w:numPr>
      </w:pPr>
      <w:r>
        <w:t xml:space="preserve">Employer « préconditions non documentées, sous le fardeau de l’alléguante » plutôt que « communication coupée ».</w:t>
      </w:r>
    </w:p>
    <w:p>
      <w:pPr>
        <w:pStyle w:val="Compact"/>
        <w:numPr>
          <w:numId w:val="1041"/>
          <w:ilvl w:val="0"/>
        </w:numPr>
      </w:pPr>
      <w:r>
        <w:t xml:space="preserve">Le renfort décisif : la</w:t>
      </w:r>
      <w:r>
        <w:t xml:space="preserve"> </w:t>
      </w:r>
      <w:r>
        <w:rPr>
          <w:b/>
        </w:rPr>
        <w:t xml:space="preserve">demande explicite de preuve</w:t>
      </w:r>
      <w:r>
        <w:t xml:space="preserve"> </w:t>
      </w:r>
      <w:r>
        <w:t xml:space="preserve">(B-11) restée sans réponse.</w:t>
      </w:r>
    </w:p>
    <w:p>
      <w:pPr>
        <w:pStyle w:val="Heading2"/>
      </w:pPr>
      <w:bookmarkStart w:id="127" w:name="version-procédurale-distillée-3"/>
      <w:r>
        <w:t xml:space="preserve">9. Version procédurale distillée</w:t>
      </w:r>
      <w:bookmarkEnd w:id="127"/>
    </w:p>
    <w:p>
      <w:pPr>
        <w:pStyle w:val="Compact"/>
        <w:numPr>
          <w:numId w:val="1042"/>
          <w:ilvl w:val="0"/>
        </w:numPr>
      </w:pPr>
      <w:r>
        <w:t xml:space="preserve">Le §7 affirme que les frais médicaux n’ont pas été remboursés malgré des demandes répétées.</w:t>
      </w:r>
    </w:p>
    <w:p>
      <w:pPr>
        <w:pStyle w:val="Compact"/>
        <w:numPr>
          <w:numId w:val="1042"/>
          <w:ilvl w:val="0"/>
        </w:numPr>
      </w:pPr>
      <w:r>
        <w:t xml:space="preserve">Selon le jugement de 2016, l’obligation du défendeur (48 %) ne se déclenche que sur une demande accompagnée de pièces justificatives.</w:t>
      </w:r>
    </w:p>
    <w:p>
      <w:pPr>
        <w:pStyle w:val="Compact"/>
        <w:numPr>
          <w:numId w:val="1042"/>
          <w:ilvl w:val="0"/>
        </w:numPr>
      </w:pPr>
      <w:r>
        <w:t xml:space="preserve">Aucune demande répétée, ni transmission de pièces, n’est documentée au dossier, par aucun canal, alors que le fardeau de l’établir incombait à la demanderesse (art. 2803 C.c.Q.).</w:t>
      </w:r>
    </w:p>
    <w:p>
      <w:pPr>
        <w:pStyle w:val="Compact"/>
        <w:numPr>
          <w:numId w:val="1042"/>
          <w:ilvl w:val="0"/>
        </w:numPr>
      </w:pPr>
      <w:r>
        <w:t xml:space="preserve">Le jour même de l’assermentation, le défendeur a réclamé à Me Ayoub la preuve de ces « demandes répétées » ; aucune n’a été produite.</w:t>
      </w:r>
    </w:p>
    <w:p>
      <w:pPr>
        <w:pStyle w:val="Compact"/>
        <w:numPr>
          <w:numId w:val="1042"/>
          <w:ilvl w:val="0"/>
        </w:numPr>
      </w:pPr>
      <w:r>
        <w:t xml:space="preserve">À défaut de preuve du déclencheur contractuel, « non remboursé » ne décrit aucun manquement du défendeur.</w:t>
      </w:r>
    </w:p>
    <w:p>
      <w:pPr>
        <w:pStyle w:val="Heading2"/>
      </w:pPr>
      <w:bookmarkStart w:id="128" w:name="usage-dans-la-demande-introductive-3"/>
      <w:r>
        <w:t xml:space="preserve">10. Usage dans la demande introductive</w:t>
      </w:r>
      <w:bookmarkEnd w:id="128"/>
    </w:p>
    <w:p>
      <w:pPr>
        <w:pStyle w:val="FirstParagraph"/>
      </w:pPr>
      <w:r>
        <w:t xml:space="preserve">Élément du volet 2019, à présenter en tandem avec le §6.3 : deux allégations relatives aux besoins des enfants, maintenues sous serment sans la preuve que le fardeau imposait, l’une (§7) renforcée par une demande de preuve restée sans réponse. Qualification réservée au Tribunal.</w:t>
      </w:r>
    </w:p>
    <w:p>
      <w:r>
        <w:pict>
          <v:rect style="width:0;height:1.5pt" o:hralign="center" o:hrstd="t" o:hr="t"/>
        </w:pict>
      </w:r>
    </w:p>
    <w:p>
      <w:pPr>
        <w:pStyle w:val="Heading1"/>
      </w:pPr>
      <w:bookmarkStart w:id="129" w:name="X323d9ce88f43c6b9b055caa37168a26762dac13"/>
      <w:r>
        <w:t xml:space="preserve">Pont — §14 et §15 de la Déclaration assermentée de 2019 (DA-2019, 21 octobre 2019)</w:t>
      </w:r>
      <w:bookmarkEnd w:id="129"/>
    </w:p>
    <w:p>
      <w:pPr>
        <w:pStyle w:val="BlockText"/>
      </w:pPr>
      <w:r>
        <w:rPr>
          <w:b/>
        </w:rPr>
        <w:t xml:space="preserve">STATUT — COMPLET SUR LE RAISONNEMENT ; préparation probatoire conditionnelle.</w:t>
      </w:r>
      <w:r>
        <w:t xml:space="preserve"> </w:t>
      </w:r>
      <w:r>
        <w:t xml:space="preserve">Les §14-15 servent à soutenir l’imputation au père d’une</w:t>
      </w:r>
      <w:r>
        <w:t xml:space="preserve"> </w:t>
      </w:r>
      <w:r>
        <w:rPr>
          <w:b/>
        </w:rPr>
        <w:t xml:space="preserve">capacité de gain</w:t>
      </w:r>
      <w:r>
        <w:t xml:space="preserve"> </w:t>
      </w:r>
      <w:r>
        <w:t xml:space="preserve">(≈ 64-65 k) qu’aucun prédicat ne supporte : le revenu 2019 réel est de 46 744 $ (</w:t>
      </w:r>
      <w:r>
        <w:rPr>
          <w:b/>
        </w:rPr>
        <w:t xml:space="preserve">revenu d’emploi = 0</w:t>
      </w:r>
      <w:r>
        <w:t xml:space="preserve">) ; le 64 028 $ retenu est un</w:t>
      </w:r>
      <w:r>
        <w:t xml:space="preserve"> </w:t>
      </w:r>
      <w:r>
        <w:rPr>
          <w:b/>
        </w:rPr>
        <w:t xml:space="preserve">composite 2018 auto-réfutant</w:t>
      </w:r>
      <w:r>
        <w:t xml:space="preserve"> </w:t>
      </w:r>
      <w:r>
        <w:t xml:space="preserve">(salaire d’un poste où l’employeur l’a jugé inadéquat + prestations de chômage non récurrentes) ; les offres déposées (P-2) valent ~30 k et</w:t>
      </w:r>
      <w:r>
        <w:t xml:space="preserve"> </w:t>
      </w:r>
      <w:r>
        <w:rPr>
          <w:b/>
        </w:rPr>
        <w:t xml:space="preserve">n’ont pas été retenues</w:t>
      </w:r>
      <w:r>
        <w:t xml:space="preserve"> </w:t>
      </w:r>
      <w:r>
        <w:t xml:space="preserve">par le tribunal. Le §15 installe en outre un</w:t>
      </w:r>
      <w:r>
        <w:t xml:space="preserve"> </w:t>
      </w:r>
      <w:r>
        <w:rPr>
          <w:b/>
        </w:rPr>
        <w:t xml:space="preserve">piège à trois issues</w:t>
      </w:r>
      <w:r>
        <w:t xml:space="preserve"> </w:t>
      </w:r>
      <w:r>
        <w:t xml:space="preserve">en présentant deux emplois</w:t>
      </w:r>
      <w:r>
        <w:t xml:space="preserve"> </w:t>
      </w:r>
      <w:r>
        <w:rPr>
          <w:b/>
        </w:rPr>
        <w:t xml:space="preserve">étudiants</w:t>
      </w:r>
      <w:r>
        <w:t xml:space="preserve"> </w:t>
      </w:r>
      <w:r>
        <w:t xml:space="preserve">comme de l’« expérience ». Qualification réservée au Tribunal.</w:t>
      </w:r>
    </w:p>
    <w:p>
      <w:pPr>
        <w:pStyle w:val="BlockText"/>
      </w:pPr>
      <w:r>
        <w:t xml:space="preserve">Faits bruts :</w:t>
      </w:r>
      <w:r>
        <w:t xml:space="preserve"> </w:t>
      </w:r>
      <w:hyperlink r:id="rId130">
        <w:r>
          <w:rPr>
            <w:rStyle w:val="Hyperlink"/>
          </w:rPr>
          <w:t xml:space="preserve">faits_par14-15_2019.md</w:t>
        </w:r>
      </w:hyperlink>
      <w:r>
        <w:t xml:space="preserve">. Autorat :</w:t>
      </w:r>
      <w:r>
        <w:t xml:space="preserve"> </w:t>
      </w:r>
      <w:r>
        <w:rPr>
          <w:b/>
        </w:rPr>
        <w:t xml:space="preserve">Me Ayoub rédige</w:t>
      </w:r>
      <w:r>
        <w:t xml:space="preserve"> </w:t>
      </w:r>
      <w:r>
        <w:t xml:space="preserve">la DA-2019 ;</w:t>
      </w:r>
      <w:r>
        <w:t xml:space="preserve"> </w:t>
      </w:r>
      <w:r>
        <w:rPr>
          <w:b/>
        </w:rPr>
        <w:t xml:space="preserve">Élise jure</w:t>
      </w:r>
      <w:r>
        <w:t xml:space="preserve">.</w:t>
      </w:r>
    </w:p>
    <w:p>
      <w:pPr>
        <w:pStyle w:val="BlockText"/>
      </w:pPr>
      <w:r>
        <w:t xml:space="preserve">⚠️</w:t>
      </w:r>
      <w:r>
        <w:t xml:space="preserve"> </w:t>
      </w:r>
      <w:r>
        <w:rPr>
          <w:b/>
        </w:rPr>
        <w:t xml:space="preserve">Attribution vérifiée :</w:t>
      </w:r>
      <w:r>
        <w:t xml:space="preserve"> </w:t>
      </w:r>
      <w:r>
        <w:t xml:space="preserve">§14-15 sont dans la</w:t>
      </w:r>
      <w:r>
        <w:t xml:space="preserve"> </w:t>
      </w:r>
      <w:r>
        <w:rPr>
          <w:b/>
        </w:rPr>
        <w:t xml:space="preserve">DA-2019</w:t>
      </w:r>
      <w:r>
        <w:t xml:space="preserve"> </w:t>
      </w:r>
      <w:r>
        <w:t xml:space="preserve">(doc id=3). La</w:t>
      </w:r>
      <w:r>
        <w:t xml:space="preserve"> </w:t>
      </w:r>
      <w:r>
        <w:rPr>
          <w:b/>
        </w:rPr>
        <w:t xml:space="preserve">Dénonciation de 2023</w:t>
      </w:r>
      <w:r>
        <w:t xml:space="preserve"> </w:t>
      </w:r>
      <w:r>
        <w:t xml:space="preserve">(doc-2) ne les contient PAS — elle porte le §8 « choix de ne pas travailler ». Ne pas confondre.</w:t>
      </w:r>
    </w:p>
    <w:p>
      <w:pPr>
        <w:pStyle w:val="Heading2"/>
      </w:pPr>
      <w:bookmarkStart w:id="131" w:name="allégations-visées-1"/>
      <w:r>
        <w:t xml:space="preserve">1. Allégations visées</w:t>
      </w:r>
      <w:bookmarkEnd w:id="131"/>
    </w:p>
    <w:p>
      <w:pPr>
        <w:pStyle w:val="BlockText"/>
      </w:pPr>
      <w:r>
        <w:rPr>
          <w:b/>
        </w:rPr>
        <w:t xml:space="preserve">§14</w:t>
      </w:r>
      <w:r>
        <w:t xml:space="preserve"> </w:t>
      </w:r>
      <w:r>
        <w:t xml:space="preserve">— « Bien que le défendeur allègue avoir envoyé plusieurs candidatures d’emploi et qu’il n’a pas été en mesure de trouver du travail, plusieurs offres sont disponibles sur le site Jobboom. »</w:t>
      </w:r>
    </w:p>
    <w:p>
      <w:pPr>
        <w:pStyle w:val="BlockText"/>
      </w:pPr>
      <w:r>
        <w:rPr>
          <w:b/>
        </w:rPr>
        <w:t xml:space="preserve">§15</w:t>
      </w:r>
      <w:r>
        <w:t xml:space="preserve"> </w:t>
      </w:r>
      <w:r>
        <w:t xml:space="preserve">— « Le défendeur a de l’expérience à titre d’analyste, de technicien en laboratoire et au service à la clientèle service bancaire.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w:t>
      </w:r>
      <w:r>
        <w:t xml:space="preserve"> </w:t>
      </w:r>
      <w:r>
        <w:rPr>
          <w:b/>
        </w:rPr>
        <w:t xml:space="preserve">rédigée par Me Marie-Josée Ayoub</w:t>
      </w:r>
      <w:r>
        <w:t xml:space="preserve">.</w:t>
      </w:r>
    </w:p>
    <w:p>
      <w:pPr>
        <w:pStyle w:val="Heading2"/>
      </w:pPr>
      <w:bookmarkStart w:id="132" w:name="objectif-de-démonstration-4"/>
      <w:r>
        <w:t xml:space="preserve">2. Objectif de démonstration</w:t>
      </w:r>
      <w:bookmarkEnd w:id="132"/>
    </w:p>
    <w:p>
      <w:pPr>
        <w:pStyle w:val="FirstParagraph"/>
      </w:pPr>
      <w:r>
        <w:rPr>
          <w:b/>
        </w:rPr>
        <w:t xml:space="preserve">Classification : allégations de soutien à une capacité de gain imputée sans prédicat — chiffre auto-réfutant, piège à trois issues, dépôt par surprise.</w:t>
      </w:r>
    </w:p>
    <w:p>
      <w:pPr>
        <w:pStyle w:val="Compact"/>
        <w:numPr>
          <w:numId w:val="1043"/>
          <w:ilvl w:val="0"/>
        </w:numPr>
      </w:pPr>
      <w:r>
        <w:rPr>
          <w:b/>
        </w:rPr>
        <w:t xml:space="preserve">§15 — le piège à trois issues.</w:t>
      </w:r>
      <w:r>
        <w:t xml:space="preserve"> </w:t>
      </w:r>
      <w:r>
        <w:t xml:space="preserve">Le §15 énumère comme « expérience » un domaine</w:t>
      </w:r>
      <w:r>
        <w:t xml:space="preserve"> </w:t>
      </w:r>
      <w:r>
        <w:rPr>
          <w:b/>
        </w:rPr>
        <w:t xml:space="preserve">professionnel</w:t>
      </w:r>
      <w:r>
        <w:t xml:space="preserve"> </w:t>
      </w:r>
      <w:r>
        <w:t xml:space="preserve">(analyste, où le père a mené sa recherche) et</w:t>
      </w:r>
      <w:r>
        <w:t xml:space="preserve"> </w:t>
      </w:r>
      <w:r>
        <w:rPr>
          <w:b/>
        </w:rPr>
        <w:t xml:space="preserve">deux emplois occupés durant ses études</w:t>
      </w:r>
      <w:r>
        <w:t xml:space="preserve"> </w:t>
      </w:r>
      <w:r>
        <w:t xml:space="preserve">(technicien de laboratoire ; service à la clientèle bancaire). Cette énumération</w:t>
      </w:r>
      <w:r>
        <w:t xml:space="preserve"> </w:t>
      </w:r>
      <w:r>
        <w:rPr>
          <w:b/>
        </w:rPr>
        <w:t xml:space="preserve">élargit artificiellement l’employabilité</w:t>
      </w:r>
      <w:r>
        <w:t xml:space="preserve"> </w:t>
      </w:r>
      <w:r>
        <w:t xml:space="preserve">: quelle que soit la conduite du père, il est présenté en sous-emploi volontaire (chercher comme analyste → « des offres existent » ; accepter un emploi étudiant ~30 k → gagner sous la « capacité analyste » ; rester au chômage → « disponibilité »).</w:t>
      </w:r>
    </w:p>
    <w:p>
      <w:pPr>
        <w:pStyle w:val="Compact"/>
        <w:numPr>
          <w:numId w:val="1043"/>
          <w:ilvl w:val="0"/>
        </w:numPr>
      </w:pPr>
      <w:r>
        <w:rPr>
          <w:b/>
        </w:rPr>
        <w:t xml:space="preserve">§14 — le 64 028 sans assise.</w:t>
      </w:r>
      <w:r>
        <w:t xml:space="preserve"> </w:t>
      </w:r>
      <w:r>
        <w:t xml:space="preserve">Le §14 sert à traiter le chômage comme volontaire. Or le chiffre de capacité retenu (64 028 $) est</w:t>
      </w:r>
      <w:r>
        <w:t xml:space="preserve"> </w:t>
      </w:r>
      <w:r>
        <w:rPr>
          <w:b/>
        </w:rPr>
        <w:t xml:space="preserve">triplement non soutenu</w:t>
      </w:r>
      <w:r>
        <w:t xml:space="preserve"> </w:t>
      </w:r>
      <w:r>
        <w:t xml:space="preserve">comme capacité 2019 et</w:t>
      </w:r>
      <w:r>
        <w:t xml:space="preserve"> </w:t>
      </w:r>
      <w:r>
        <w:rPr>
          <w:b/>
        </w:rPr>
        <w:t xml:space="preserve">auto-réfutant</w:t>
      </w:r>
      <w:r>
        <w:t xml:space="preserve"> </w:t>
      </w:r>
      <w:r>
        <w:t xml:space="preserve">: il additionne un salaire d’un poste où l’employeur atteste que le père « ne répond pas aux attentes » et des</w:t>
      </w:r>
      <w:r>
        <w:t xml:space="preserve"> </w:t>
      </w:r>
      <w:r>
        <w:rPr>
          <w:b/>
        </w:rPr>
        <w:t xml:space="preserve">prestations de chômage non récurrentes</w:t>
      </w:r>
      <w:r>
        <w:t xml:space="preserve"> </w:t>
      </w:r>
      <w:r>
        <w:t xml:space="preserve">— deux</w:t>
      </w:r>
      <w:r>
        <w:t xml:space="preserve"> </w:t>
      </w:r>
      <w:r>
        <w:rPr>
          <w:b/>
        </w:rPr>
        <w:t xml:space="preserve">preuves de capacité réduite</w:t>
      </w:r>
      <w:r>
        <w:t xml:space="preserve"> </w:t>
      </w:r>
      <w:r>
        <w:t xml:space="preserve">— pour en tirer une capacité gonflée.</w:t>
      </w:r>
    </w:p>
    <w:p>
      <w:pPr>
        <w:pStyle w:val="Compact"/>
        <w:numPr>
          <w:numId w:val="1043"/>
          <w:ilvl w:val="0"/>
        </w:numPr>
      </w:pPr>
      <w:r>
        <w:rPr>
          <w:b/>
        </w:rPr>
        <w:t xml:space="preserve">Le dépôt par surprise.</w:t>
      </w:r>
      <w:r>
        <w:t xml:space="preserve"> </w:t>
      </w:r>
      <w:r>
        <w:t xml:space="preserve">Les offres (P-2) ont été déposées à l’audience du 4 novembre 2019 pendant le témoignage d’Élise,</w:t>
      </w:r>
      <w:r>
        <w:t xml:space="preserve"> </w:t>
      </w:r>
      <w:r>
        <w:rPr>
          <w:b/>
        </w:rPr>
        <w:t xml:space="preserve">sans communication préalable</w:t>
      </w:r>
      <w:r>
        <w:t xml:space="preserve">, le défendeur étant</w:t>
      </w:r>
      <w:r>
        <w:t xml:space="preserve"> </w:t>
      </w:r>
      <w:r>
        <w:rPr>
          <w:b/>
        </w:rPr>
        <w:t xml:space="preserve">non représenté</w:t>
      </w:r>
      <w:r>
        <w:t xml:space="preserve"> </w:t>
      </w:r>
      <w:r>
        <w:t xml:space="preserve">; leur pertinence n’a pas été éprouvée contradictoirement, et le tribunal</w:t>
      </w:r>
      <w:r>
        <w:t xml:space="preserve"> </w:t>
      </w:r>
      <w:r>
        <w:rPr>
          <w:b/>
        </w:rPr>
        <w:t xml:space="preserve">n’a pas retenu</w:t>
      </w:r>
      <w:r>
        <w:t xml:space="preserve"> </w:t>
      </w:r>
      <w:r>
        <w:t xml:space="preserve">les salaires qui y étaient rattachés.</w:t>
      </w:r>
    </w:p>
    <w:p>
      <w:pPr>
        <w:pStyle w:val="Heading2"/>
      </w:pPr>
      <w:bookmarkStart w:id="133" w:name="force-probatoire-3"/>
      <w:r>
        <w:t xml:space="preserve">3. Force probatoire</w:t>
      </w:r>
      <w:bookmarkEnd w:id="1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Force</w:t>
            </w:r>
          </w:p>
        </w:tc>
      </w:tr>
      <w:tr>
        <w:tc>
          <w:p>
            <w:pPr>
              <w:pStyle w:val="Compact"/>
              <w:jc w:val="left"/>
            </w:pPr>
            <w:r>
              <w:t xml:space="preserve">contre le</w:t>
            </w:r>
            <w:r>
              <w:t xml:space="preserve"> </w:t>
            </w:r>
            <w:r>
              <w:rPr>
                <w:b/>
              </w:rPr>
              <w:t xml:space="preserve">64 028 comme capacité 2019</w:t>
            </w:r>
          </w:p>
        </w:tc>
        <w:tc>
          <w:p>
            <w:pPr>
              <w:pStyle w:val="Compact"/>
              <w:jc w:val="left"/>
            </w:pPr>
            <w:r>
              <w:rPr>
                <w:b/>
              </w:rPr>
              <w:t xml:space="preserve">forte</w:t>
            </w:r>
            <w:r>
              <w:t xml:space="preserve"> </w:t>
            </w:r>
            <w:r>
              <w:t xml:space="preserve">— 2019 réel = 46 744 $, emploi = 0 ; A-E non récurrente ; capacité au poste antérieur</w:t>
            </w:r>
            <w:r>
              <w:t xml:space="preserve"> </w:t>
            </w:r>
            <w:r>
              <w:rPr>
                <w:b/>
              </w:rPr>
              <w:t xml:space="preserve">niée par l’employeur</w:t>
            </w:r>
            <w:r>
              <w:t xml:space="preserve"> </w:t>
            </w:r>
            <w:r>
              <w:t xml:space="preserve">; offres P-2 à ~30 k non retenues</w:t>
            </w:r>
          </w:p>
        </w:tc>
      </w:tr>
      <w:tr>
        <w:tc>
          <w:p>
            <w:pPr>
              <w:pStyle w:val="Compact"/>
              <w:jc w:val="left"/>
            </w:pPr>
            <w:r>
              <w:t xml:space="preserve">composition</w:t>
            </w:r>
            <w:r>
              <w:t xml:space="preserve"> </w:t>
            </w:r>
            <w:r>
              <w:rPr>
                <w:b/>
              </w:rPr>
              <w:t xml:space="preserve">auto-réfutante</w:t>
            </w:r>
            <w:r>
              <w:t xml:space="preserve"> </w:t>
            </w:r>
            <w:r>
              <w:t xml:space="preserve">du 64 028</w:t>
            </w:r>
          </w:p>
        </w:tc>
        <w:tc>
          <w:p>
            <w:pPr>
              <w:pStyle w:val="Compact"/>
              <w:jc w:val="left"/>
            </w:pPr>
            <w:r>
              <w:rPr>
                <w:b/>
              </w:rPr>
              <w:t xml:space="preserve">forte comme lecture interne</w:t>
            </w:r>
            <w:r>
              <w:t xml:space="preserve"> </w:t>
            </w:r>
            <w:r>
              <w:t xml:space="preserve">— somme d’un salaire jugé inadéquat + chômage non récurrent, utilisée pour gonfler la capacité</w:t>
            </w:r>
          </w:p>
        </w:tc>
      </w:tr>
      <w:tr>
        <w:tc>
          <w:p>
            <w:pPr>
              <w:pStyle w:val="Compact"/>
              <w:jc w:val="left"/>
            </w:pPr>
            <w:r>
              <w:rPr>
                <w:b/>
              </w:rPr>
              <w:t xml:space="preserve">incohérences internes</w:t>
            </w:r>
            <w:r>
              <w:t xml:space="preserve"> </w:t>
            </w:r>
            <w:r>
              <w:t xml:space="preserve">de la position (§14-15)</w:t>
            </w:r>
          </w:p>
        </w:tc>
        <w:tc>
          <w:p>
            <w:pPr>
              <w:pStyle w:val="Compact"/>
              <w:jc w:val="left"/>
            </w:pPr>
            <w:r>
              <w:rPr>
                <w:b/>
              </w:rPr>
              <w:t xml:space="preserve">forte</w:t>
            </w:r>
            <w:r>
              <w:t xml:space="preserve"> </w:t>
            </w:r>
            <w:r>
              <w:t xml:space="preserve">— capacité analyste imputée ⊥ constat patronal ; capacité analyste ⊥ offres à ~30 k ; domaines étudiants ⊥ capacité courante</w:t>
            </w:r>
          </w:p>
        </w:tc>
      </w:tr>
      <w:tr>
        <w:tc>
          <w:p>
            <w:pPr>
              <w:pStyle w:val="Compact"/>
              <w:jc w:val="left"/>
            </w:pPr>
            <w:r>
              <w:t xml:space="preserve">§14 (« disponibilité ») comme preuve contradictoire</w:t>
            </w:r>
          </w:p>
        </w:tc>
        <w:tc>
          <w:p>
            <w:pPr>
              <w:pStyle w:val="Compact"/>
              <w:jc w:val="left"/>
            </w:pPr>
            <w:r>
              <w:rPr>
                <w:b/>
              </w:rPr>
              <w:t xml:space="preserve">affaiblie par l’ambush</w:t>
            </w:r>
            <w:r>
              <w:t xml:space="preserve"> </w:t>
            </w:r>
            <w:r>
              <w:t xml:space="preserve">— P-2 déposé par surprise, défendeur non représenté, non éprouvé ; salaires</w:t>
            </w:r>
            <w:r>
              <w:t xml:space="preserve"> </w:t>
            </w:r>
            <w:r>
              <w:rPr>
                <w:b/>
              </w:rPr>
              <w:t xml:space="preserve">non retenus</w:t>
            </w:r>
            <w:r>
              <w:t xml:space="preserve"> </w:t>
            </w:r>
            <w:r>
              <w:t xml:space="preserve">par le tribunal</w:t>
            </w:r>
          </w:p>
        </w:tc>
      </w:tr>
      <w:tr>
        <w:tc>
          <w:p>
            <w:pPr>
              <w:pStyle w:val="Compact"/>
              <w:jc w:val="left"/>
            </w:pPr>
            <w:r>
              <w:t xml:space="preserve">pour affirmer un</w:t>
            </w:r>
            <w:r>
              <w:t xml:space="preserve"> </w:t>
            </w:r>
            <w:r>
              <w:rPr>
                <w:b/>
              </w:rPr>
              <w:t xml:space="preserve">prédicat d’imputation</w:t>
            </w:r>
            <w:r>
              <w:t xml:space="preserve"> </w:t>
            </w:r>
            <w:r>
              <w:t xml:space="preserve">valable</w:t>
            </w:r>
          </w:p>
        </w:tc>
        <w:tc>
          <w:p>
            <w:pPr>
              <w:pStyle w:val="Compact"/>
              <w:jc w:val="left"/>
            </w:pPr>
            <w:r>
              <w:rPr>
                <w:b/>
              </w:rPr>
              <w:t xml:space="preserve">absent</w:t>
            </w:r>
            <w:r>
              <w:t xml:space="preserve"> </w:t>
            </w:r>
            <w:r>
              <w:t xml:space="preserve">— aucun prédicat de l’art. 446 C.p.c. invoqué ni constaté</w:t>
            </w:r>
          </w:p>
        </w:tc>
      </w:tr>
      <w:tr>
        <w:tc>
          <w:p>
            <w:pPr>
              <w:pStyle w:val="Compact"/>
              <w:jc w:val="left"/>
            </w:pPr>
            <w:r>
              <w:t xml:space="preserve">niveau salarial des emplois invoqués</w:t>
            </w:r>
          </w:p>
        </w:tc>
        <w:tc>
          <w:p>
            <w:pPr>
              <w:pStyle w:val="Compact"/>
              <w:jc w:val="left"/>
            </w:pPr>
            <w:r>
              <w:rPr>
                <w:b/>
              </w:rPr>
              <w:t xml:space="preserve">borné</w:t>
            </w:r>
            <w:r>
              <w:t xml:space="preserve"> </w:t>
            </w:r>
            <w:r>
              <w:t xml:space="preserve">— Guichet-Emplois 2024 =</w:t>
            </w:r>
            <w:r>
              <w:t xml:space="preserve"> </w:t>
            </w:r>
            <w:r>
              <w:rPr>
                <w:b/>
              </w:rPr>
              <w:t xml:space="preserve">borne supérieure</w:t>
            </w:r>
            <w:r>
              <w:t xml:space="preserve"> </w:t>
            </w:r>
            <w:r>
              <w:t xml:space="preserve">(~17-20,50 $/h) ; déflaté à 2019 ≈ 30 k,</w:t>
            </w:r>
            <w:r>
              <w:t xml:space="preserve"> </w:t>
            </w:r>
            <w:r>
              <w:rPr>
                <w:b/>
              </w:rPr>
              <w:t xml:space="preserve">sous</w:t>
            </w:r>
            <w:r>
              <w:t xml:space="preserve"> </w:t>
            </w:r>
            <w:r>
              <w:t xml:space="preserve">le revenu réel 2019</w:t>
            </w:r>
          </w:p>
        </w:tc>
      </w:tr>
      <w:tr>
        <w:tc>
          <w:p>
            <w:pPr>
              <w:pStyle w:val="Compact"/>
              <w:jc w:val="left"/>
            </w:pPr>
            <w:r>
              <w:t xml:space="preserve">connaissance (Me Ayoub)</w:t>
            </w:r>
          </w:p>
        </w:tc>
        <w:tc>
          <w:p>
            <w:pPr>
              <w:pStyle w:val="Compact"/>
              <w:jc w:val="left"/>
            </w:pPr>
            <w:r>
              <w:rPr>
                <w:b/>
              </w:rPr>
              <w:t xml:space="preserve">forte</w:t>
            </w:r>
            <w:r>
              <w:t xml:space="preserve"> </w:t>
            </w:r>
            <w:r>
              <w:t xml:space="preserve">— autrice du dépôt de P-2 et de la DA ; les offres qu’elle produit situent la capacité sous le chiffre imputé</w:t>
            </w:r>
          </w:p>
        </w:tc>
      </w:tr>
      <w:tr>
        <w:tc>
          <w:p>
            <w:pPr>
              <w:pStyle w:val="Compact"/>
              <w:jc w:val="left"/>
            </w:pPr>
            <w:r>
              <w:t xml:space="preserve">connaissance (Élise)</w:t>
            </w:r>
          </w:p>
        </w:tc>
        <w:tc>
          <w:p>
            <w:pPr>
              <w:pStyle w:val="Compact"/>
              <w:jc w:val="left"/>
            </w:pPr>
            <w:r>
              <w:t xml:space="preserve">à établir séparément (déclarante)</w:t>
            </w:r>
          </w:p>
        </w:tc>
      </w:tr>
    </w:tbl>
    <w:p>
      <w:pPr>
        <w:pStyle w:val="Heading2"/>
      </w:pPr>
      <w:bookmarkStart w:id="134" w:name="faits-essentiels-plaidables-4"/>
      <w:r>
        <w:t xml:space="preserve">4. Faits essentiels plaidables</w:t>
      </w:r>
      <w:bookmarkEnd w:id="134"/>
    </w:p>
    <w:p>
      <w:pPr>
        <w:pStyle w:val="FirstParagraph"/>
      </w:pPr>
      <w:r>
        <w:rPr>
          <w:i/>
        </w:rPr>
        <w:t xml:space="preserve">(chronologiques, plats, sourcés — art. 99 CPC)</w:t>
      </w:r>
    </w:p>
    <w:p>
      <w:pPr>
        <w:numPr>
          <w:numId w:val="1044"/>
          <w:ilvl w:val="0"/>
        </w:numPr>
      </w:pPr>
      <w:r>
        <w:t xml:space="preserve">L’avis de cotisation 2018 du défendeur porte un revenu total de 64 028 $, composé d’un salaire BNC d’environ 47 520 $ (≈ 6 mois), de 12 034 $ de prestations d’assurance-emploi et d’environ 4 474 $ de rente et autres (</w:t>
      </w:r>
      <w:hyperlink r:id="rId135">
        <w:r>
          <w:rPr>
            <w:rStyle w:val="Hyperlink"/>
          </w:rPr>
          <w:t xml:space="preserve">piece_avis_cotisation_pere_2018.md</w:t>
        </w:r>
      </w:hyperlink>
      <w:r>
        <w:t xml:space="preserve">).</w:t>
      </w:r>
    </w:p>
    <w:p>
      <w:pPr>
        <w:numPr>
          <w:numId w:val="1044"/>
          <w:ilvl w:val="0"/>
        </w:numPr>
      </w:pPr>
      <w:r>
        <w:t xml:space="preserve">L’employeur du défendeur atteste, au constat de rendement, que celui-ci « ne répond pas aux attentes » de son poste (</w:t>
      </w:r>
      <w:hyperlink r:id="rId136">
        <w:r>
          <w:rPr>
            <w:rStyle w:val="Hyperlink"/>
          </w:rPr>
          <w:t xml:space="preserve">piece_thread-111_congediement_bnc.md</w:t>
        </w:r>
      </w:hyperlink>
      <w:r>
        <w:t xml:space="preserve">).</w:t>
      </w:r>
    </w:p>
    <w:p>
      <w:pPr>
        <w:numPr>
          <w:numId w:val="1044"/>
          <w:ilvl w:val="0"/>
        </w:numPr>
      </w:pPr>
      <w:r>
        <w:t xml:space="preserve">L’avis de cotisation 2019 du défendeur porte un revenu total de 46 744 $ et un</w:t>
      </w:r>
      <w:r>
        <w:t xml:space="preserve"> </w:t>
      </w:r>
      <w:r>
        <w:rPr>
          <w:b/>
        </w:rPr>
        <w:t xml:space="preserve">revenu d’emploi de 0 $</w:t>
      </w:r>
      <w:r>
        <w:t xml:space="preserve"> </w:t>
      </w:r>
      <w:r>
        <w:t xml:space="preserve">(</w:t>
      </w:r>
      <w:hyperlink r:id="rId137">
        <w:r>
          <w:rPr>
            <w:rStyle w:val="Hyperlink"/>
          </w:rPr>
          <w:t xml:space="preserve">piece_avis_cotisation_pere_2019.md</w:t>
        </w:r>
      </w:hyperlink>
      <w:r>
        <w:t xml:space="preserve">).</w:t>
      </w:r>
    </w:p>
    <w:p>
      <w:pPr>
        <w:numPr>
          <w:numId w:val="1044"/>
          <w:ilvl w:val="0"/>
        </w:numPr>
      </w:pPr>
      <w:r>
        <w:t xml:space="preserve">Le §15 énumère comme « expérience » du défendeur trois domaines : analyste (son domaine professionnel), technicien de laboratoire et service à la clientèle bancaire, ces deux derniers étant des emplois occupés durant ses études (</w:t>
      </w:r>
      <w:hyperlink r:id="rId65">
        <w:r>
          <w:rPr>
            <w:rStyle w:val="Hyperlink"/>
          </w:rPr>
          <w:t xml:space="preserve">piece_document-3.md</w:t>
        </w:r>
      </w:hyperlink>
      <w:r>
        <w:t xml:space="preserve">, §15).</w:t>
      </w:r>
    </w:p>
    <w:p>
      <w:pPr>
        <w:numPr>
          <w:numId w:val="1044"/>
          <w:ilvl w:val="0"/>
        </w:numPr>
      </w:pPr>
      <w:r>
        <w:t xml:space="preserve">À l’audience du 4 novembre 2019, Me Ayoub dépose « P-2 en liasse » (plusieurs offres d’emploi) pendant le témoignage d’Élise, sans communication préalable ; le défendeur, non représenté, n’a pas de question (</w:t>
      </w:r>
      <w:hyperlink r:id="rId138">
        <w:r>
          <w:rPr>
            <w:rStyle w:val="Hyperlink"/>
          </w:rPr>
          <w:t xml:space="preserve">piece_pdf-13.md</w:t>
        </w:r>
      </w:hyperlink>
      <w:r>
        <w:t xml:space="preserve">).</w:t>
      </w:r>
    </w:p>
    <w:p>
      <w:pPr>
        <w:numPr>
          <w:numId w:val="1044"/>
          <w:ilvl w:val="0"/>
        </w:numPr>
      </w:pPr>
      <w:r>
        <w:t xml:space="preserve">Le tribunal prend acte du dépôt de P-2 mais ne retient pas les salaires qui y sont rattachés ; la pension (650 $/mois) est fixée sur le 64 028 $ du formulaire, « compte tenu de la situation financière de Monsieur » (</w:t>
      </w:r>
      <w:hyperlink r:id="rId138">
        <w:r>
          <w:rPr>
            <w:rStyle w:val="Hyperlink"/>
          </w:rPr>
          <w:t xml:space="preserve">piece_pdf-13.md</w:t>
        </w:r>
      </w:hyperlink>
      <w:r>
        <w:t xml:space="preserve">).</w:t>
      </w:r>
    </w:p>
    <w:p>
      <w:pPr>
        <w:numPr>
          <w:numId w:val="1044"/>
          <w:ilvl w:val="0"/>
        </w:numPr>
      </w:pPr>
      <w:r>
        <w:t xml:space="preserve">Les emplois invoqués (pharmacie de détail, service à la clientèle) se situent à 17,00–20,50 $/h selon Guichet-Emplois 2024, soit environ 30 k une fois déflaté à 2019 — sous le revenu déclaré 2019 (46 744 $) (</w:t>
      </w:r>
      <w:hyperlink r:id="rId139">
        <w:r>
          <w:rPr>
            <w:rStyle w:val="Hyperlink"/>
          </w:rPr>
          <w:t xml:space="preserve">piece_pdf-12.md</w:t>
        </w:r>
      </w:hyperlink>
      <w:r>
        <w:t xml:space="preserve">).</w:t>
      </w:r>
    </w:p>
    <w:p>
      <w:pPr>
        <w:pStyle w:val="Heading2"/>
      </w:pPr>
      <w:bookmarkStart w:id="140" w:name="inférences-réservées-aux-moyens-3"/>
      <w:r>
        <w:t xml:space="preserve">5. Inférences réservées aux moyens</w:t>
      </w:r>
      <w:bookmarkEnd w:id="140"/>
    </w:p>
    <w:p>
      <w:pPr>
        <w:pStyle w:val="Compact"/>
        <w:numPr>
          <w:numId w:val="1045"/>
          <w:ilvl w:val="0"/>
        </w:numPr>
      </w:pPr>
      <w:r>
        <w:rPr>
          <w:b/>
        </w:rPr>
        <w:t xml:space="preserve">Le chiffre contient sa propre réfutation.</w:t>
      </w:r>
      <w:r>
        <w:t xml:space="preserve"> </w:t>
      </w:r>
      <w:r>
        <w:t xml:space="preserve">Le 64 028 $ additionne un salaire d’un poste où le père a été jugé inadéquat et des prestations de chômage non récurrentes — deux indices de capacité réduite — pour en tirer une capacité gonflée servant à imputer un sous-emploi volontaire.</w:t>
      </w:r>
    </w:p>
    <w:p>
      <w:pPr>
        <w:pStyle w:val="Compact"/>
        <w:numPr>
          <w:numId w:val="1045"/>
          <w:ilvl w:val="0"/>
        </w:numPr>
      </w:pPr>
      <w:r>
        <w:rPr>
          <w:b/>
        </w:rPr>
        <w:t xml:space="preserve">Aucun prédicat d’imputation.</w:t>
      </w:r>
      <w:r>
        <w:t xml:space="preserve"> </w:t>
      </w:r>
      <w:r>
        <w:t xml:space="preserve">Imputer une capacité de gain suppose un fondement (art. 446 C.p.c.) ; aucun n’est invoqué ni constaté. Les détenteurs de la preuve gardent le silence sur ce point.</w:t>
      </w:r>
    </w:p>
    <w:p>
      <w:pPr>
        <w:pStyle w:val="Compact"/>
        <w:numPr>
          <w:numId w:val="1045"/>
          <w:ilvl w:val="0"/>
        </w:numPr>
      </w:pPr>
      <w:r>
        <w:rPr>
          <w:b/>
        </w:rPr>
        <w:t xml:space="preserve">Le piège à trois issues</w:t>
      </w:r>
      <w:r>
        <w:t xml:space="preserve"> </w:t>
      </w:r>
      <w:r>
        <w:t xml:space="preserve">structure §14-15 pour que toute conduite du père apparaisse comme un sous-emploi volontaire ; il ne mesure pas ses besoins ni sa situation réelle.</w:t>
      </w:r>
    </w:p>
    <w:p>
      <w:pPr>
        <w:pStyle w:val="Compact"/>
        <w:numPr>
          <w:numId w:val="1045"/>
          <w:ilvl w:val="0"/>
        </w:numPr>
      </w:pPr>
      <w:r>
        <w:rPr>
          <w:b/>
        </w:rPr>
        <w:t xml:space="preserve">L’ambush procédural</w:t>
      </w:r>
      <w:r>
        <w:t xml:space="preserve"> </w:t>
      </w:r>
      <w:r>
        <w:t xml:space="preserve">prive la « disponibilité » alléguée de valeur contradictoire : dépôt par surprise, défendeur non représenté, salaires non retenus.</w:t>
      </w:r>
    </w:p>
    <w:p>
      <w:pPr>
        <w:pStyle w:val="Compact"/>
        <w:numPr>
          <w:numId w:val="1045"/>
          <w:ilvl w:val="0"/>
        </w:numPr>
      </w:pPr>
      <w:r>
        <w:rPr>
          <w:b/>
        </w:rPr>
        <w:t xml:space="preserve">Séquence patrimoniale.</w:t>
      </w:r>
      <w:r>
        <w:t xml:space="preserve"> </w:t>
      </w:r>
      <w:r>
        <w:t xml:space="preserve">Ce volet éclaire le préjudice patrimonial (pension fixée sur une capacité non soutenue) et se relie au volet du revenu maternel (voir</w:t>
      </w:r>
      <w:r>
        <w:t xml:space="preserve"> </w:t>
      </w:r>
      <w:hyperlink r:id="rId141">
        <w:r>
          <w:rPr>
            <w:rStyle w:val="Hyperlink"/>
          </w:rPr>
          <w:t xml:space="preserve">these_revenu_mere_verifiabilite.md</w:t>
        </w:r>
      </w:hyperlink>
      <w:r>
        <w:t xml:space="preserve">).</w:t>
      </w:r>
    </w:p>
    <w:p>
      <w:pPr>
        <w:pStyle w:val="Heading2"/>
      </w:pPr>
      <w:bookmarkStart w:id="142" w:name="inférences-exclues-3"/>
      <w:r>
        <w:t xml:space="preserve">6. Inférences exclues</w:t>
      </w:r>
      <w:bookmarkEnd w:id="142"/>
    </w:p>
    <w:p>
      <w:pPr>
        <w:pStyle w:val="Compact"/>
        <w:numPr>
          <w:numId w:val="1046"/>
          <w:ilvl w:val="0"/>
        </w:numPr>
      </w:pPr>
      <w:r>
        <w:t xml:space="preserve">Ne pas traiter les salaires Guichet-Emplois 2024 comme des valeurs 2019 : ce sont des</w:t>
      </w:r>
      <w:r>
        <w:t xml:space="preserve"> </w:t>
      </w:r>
      <w:r>
        <w:rPr>
          <w:b/>
        </w:rPr>
        <w:t xml:space="preserve">bornes supérieures</w:t>
      </w:r>
      <w:r>
        <w:t xml:space="preserve"> </w:t>
      </w:r>
      <w:r>
        <w:t xml:space="preserve">à déflater.</w:t>
      </w:r>
    </w:p>
    <w:p>
      <w:pPr>
        <w:pStyle w:val="Compact"/>
        <w:numPr>
          <w:numId w:val="1046"/>
          <w:ilvl w:val="0"/>
        </w:numPr>
      </w:pPr>
      <w:r>
        <w:t xml:space="preserve">Ne pas affirmer que le tribunal a</w:t>
      </w:r>
      <w:r>
        <w:t xml:space="preserve"> </w:t>
      </w:r>
      <w:r>
        <w:rPr>
          <w:b/>
        </w:rPr>
        <w:t xml:space="preserve">rejeté</w:t>
      </w:r>
      <w:r>
        <w:t xml:space="preserve"> </w:t>
      </w:r>
      <w:r>
        <w:t xml:space="preserve">les offres au fond : il ne les a</w:t>
      </w:r>
      <w:r>
        <w:t xml:space="preserve"> </w:t>
      </w:r>
      <w:r>
        <w:rPr>
          <w:b/>
        </w:rPr>
        <w:t xml:space="preserve">pas retenues</w:t>
      </w:r>
      <w:r>
        <w:t xml:space="preserve"> </w:t>
      </w:r>
      <w:r>
        <w:t xml:space="preserve">pour fixer la pension (lecture du dispositif).</w:t>
      </w:r>
    </w:p>
    <w:p>
      <w:pPr>
        <w:pStyle w:val="Compact"/>
        <w:numPr>
          <w:numId w:val="1046"/>
          <w:ilvl w:val="0"/>
        </w:numPr>
      </w:pPr>
      <w:r>
        <w:t xml:space="preserve">Ne pas attribuer les §14-15 à la</w:t>
      </w:r>
      <w:r>
        <w:t xml:space="preserve"> </w:t>
      </w:r>
      <w:r>
        <w:rPr>
          <w:b/>
        </w:rPr>
        <w:t xml:space="preserve">Dénonciation de 2023</w:t>
      </w:r>
      <w:r>
        <w:t xml:space="preserve"> </w:t>
      </w:r>
      <w:r>
        <w:t xml:space="preserve">: ils sont dans la DA-2019.</w:t>
      </w:r>
    </w:p>
    <w:p>
      <w:pPr>
        <w:pStyle w:val="Compact"/>
        <w:numPr>
          <w:numId w:val="1046"/>
          <w:ilvl w:val="0"/>
        </w:numPr>
      </w:pPr>
      <w:r>
        <w:t xml:space="preserve">Ne pas qualifier de mauvaise foi : établir le</w:t>
      </w:r>
      <w:r>
        <w:t xml:space="preserve"> </w:t>
      </w:r>
      <w:r>
        <w:rPr>
          <w:b/>
        </w:rPr>
        <w:t xml:space="preserve">fait</w:t>
      </w:r>
      <w:r>
        <w:t xml:space="preserve"> </w:t>
      </w:r>
      <w:r>
        <w:t xml:space="preserve">(64 028 sans assise de capacité) et les</w:t>
      </w:r>
      <w:r>
        <w:t xml:space="preserve"> </w:t>
      </w:r>
      <w:r>
        <w:rPr>
          <w:b/>
        </w:rPr>
        <w:t xml:space="preserve">incohérences</w:t>
      </w:r>
      <w:r>
        <w:t xml:space="preserve"> </w:t>
      </w:r>
      <w:r>
        <w:t xml:space="preserve">; réserver la qualification au Tribunal.</w:t>
      </w:r>
    </w:p>
    <w:p>
      <w:pPr>
        <w:pStyle w:val="Heading2"/>
      </w:pPr>
      <w:bookmarkStart w:id="143" w:name="pièces-nécessaires-4"/>
      <w:r>
        <w:t xml:space="preserve">7. Pièces nécessaires</w:t>
      </w:r>
      <w:bookmarkEnd w:id="1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w:t>
            </w:r>
          </w:p>
        </w:tc>
        <w:tc>
          <w:p>
            <w:pPr>
              <w:pStyle w:val="Compact"/>
              <w:jc w:val="left"/>
            </w:pPr>
            <w:hyperlink r:id="rId135">
              <w:r>
                <w:rPr>
                  <w:rStyle w:val="Hyperlink"/>
                </w:rPr>
                <w:t xml:space="preserve">piece_avis_cotisation_pere_2018.md</w:t>
              </w:r>
            </w:hyperlink>
          </w:p>
        </w:tc>
        <w:tc>
          <w:p>
            <w:pPr>
              <w:pStyle w:val="Compact"/>
              <w:jc w:val="left"/>
            </w:pPr>
            <w:r>
              <w:t xml:space="preserve">à coter</w:t>
            </w:r>
          </w:p>
        </w:tc>
      </w:tr>
      <w:tr>
        <w:tc>
          <w:p>
            <w:pPr>
              <w:pStyle w:val="Compact"/>
              <w:jc w:val="left"/>
            </w:pPr>
            <w:r>
              <w:t xml:space="preserve">2</w:t>
            </w:r>
          </w:p>
        </w:tc>
        <w:tc>
          <w:p>
            <w:pPr>
              <w:pStyle w:val="Compact"/>
              <w:jc w:val="left"/>
            </w:pPr>
            <w:hyperlink r:id="rId136">
              <w:r>
                <w:rPr>
                  <w:rStyle w:val="Hyperlink"/>
                </w:rPr>
                <w:t xml:space="preserve">piece_thread-111_congediement_bnc.md</w:t>
              </w:r>
            </w:hyperlink>
            <w:r>
              <w:t xml:space="preserve"> </w:t>
            </w:r>
            <w:r>
              <w:t xml:space="preserve">(constat de rendement)</w:t>
            </w:r>
          </w:p>
        </w:tc>
        <w:tc>
          <w:p>
            <w:pPr>
              <w:pStyle w:val="Compact"/>
              <w:jc w:val="left"/>
            </w:pPr>
            <w:r>
              <w:t xml:space="preserve">à coter</w:t>
            </w:r>
          </w:p>
        </w:tc>
      </w:tr>
      <w:tr>
        <w:tc>
          <w:p>
            <w:pPr>
              <w:pStyle w:val="Compact"/>
              <w:jc w:val="left"/>
            </w:pPr>
            <w:r>
              <w:t xml:space="preserve">3</w:t>
            </w:r>
          </w:p>
        </w:tc>
        <w:tc>
          <w:p>
            <w:pPr>
              <w:pStyle w:val="Compact"/>
              <w:jc w:val="left"/>
            </w:pPr>
            <w:hyperlink r:id="rId137">
              <w:r>
                <w:rPr>
                  <w:rStyle w:val="Hyperlink"/>
                </w:rPr>
                <w:t xml:space="preserve">piece_avis_cotisation_pere_2019.md</w:t>
              </w:r>
            </w:hyperlink>
          </w:p>
        </w:tc>
        <w:tc>
          <w:p>
            <w:pPr>
              <w:pStyle w:val="Compact"/>
              <w:jc w:val="left"/>
            </w:pPr>
            <w:r>
              <w:t xml:space="preserve">à coter</w:t>
            </w:r>
          </w:p>
        </w:tc>
      </w:tr>
      <w:tr>
        <w:tc>
          <w:p>
            <w:pPr>
              <w:pStyle w:val="Compact"/>
              <w:jc w:val="left"/>
            </w:pPr>
            <w:r>
              <w:t xml:space="preserve">4</w:t>
            </w:r>
          </w:p>
        </w:tc>
        <w:tc>
          <w:p>
            <w:pPr>
              <w:pStyle w:val="Compact"/>
              <w:jc w:val="left"/>
            </w:pPr>
            <w:hyperlink r:id="rId65">
              <w:r>
                <w:rPr>
                  <w:rStyle w:val="Hyperlink"/>
                </w:rPr>
                <w:t xml:space="preserve">piece_document-3.md</w:t>
              </w:r>
            </w:hyperlink>
            <w:r>
              <w:t xml:space="preserve">, §15</w:t>
            </w:r>
          </w:p>
        </w:tc>
        <w:tc>
          <w:p>
            <w:pPr>
              <w:pStyle w:val="Compact"/>
              <w:jc w:val="left"/>
            </w:pPr>
            <w:r>
              <w:t xml:space="preserve">document reproduit</w:t>
            </w:r>
          </w:p>
        </w:tc>
      </w:tr>
      <w:tr>
        <w:tc>
          <w:p>
            <w:pPr>
              <w:pStyle w:val="Compact"/>
              <w:jc w:val="left"/>
            </w:pPr>
            <w:r>
              <w:t xml:space="preserve">5-6</w:t>
            </w:r>
          </w:p>
        </w:tc>
        <w:tc>
          <w:p>
            <w:pPr>
              <w:pStyle w:val="Compact"/>
              <w:jc w:val="left"/>
            </w:pPr>
            <w:hyperlink r:id="rId138">
              <w:r>
                <w:rPr>
                  <w:rStyle w:val="Hyperlink"/>
                </w:rPr>
                <w:t xml:space="preserve">piece_pdf-13.md</w:t>
              </w:r>
            </w:hyperlink>
            <w:r>
              <w:t xml:space="preserve"> </w:t>
            </w:r>
            <w:r>
              <w:t xml:space="preserve">(procès-verbal + jugement, 4 nov. 2019)</w:t>
            </w:r>
          </w:p>
        </w:tc>
        <w:tc>
          <w:p>
            <w:pPr>
              <w:pStyle w:val="Compact"/>
              <w:jc w:val="left"/>
            </w:pPr>
            <w:r>
              <w:t xml:space="preserve">disponible</w:t>
            </w:r>
          </w:p>
        </w:tc>
      </w:tr>
      <w:tr>
        <w:tc>
          <w:p>
            <w:pPr>
              <w:pStyle w:val="Compact"/>
              <w:jc w:val="left"/>
            </w:pPr>
            <w:r>
              <w:t xml:space="preserve">7</w:t>
            </w:r>
          </w:p>
        </w:tc>
        <w:tc>
          <w:p>
            <w:pPr>
              <w:pStyle w:val="Compact"/>
              <w:jc w:val="left"/>
            </w:pPr>
            <w:hyperlink r:id="rId139">
              <w:r>
                <w:rPr>
                  <w:rStyle w:val="Hyperlink"/>
                </w:rPr>
                <w:t xml:space="preserve">piece_pdf-12.md</w:t>
              </w:r>
            </w:hyperlink>
            <w:r>
              <w:t xml:space="preserve"> </w:t>
            </w:r>
            <w:r>
              <w:t xml:space="preserve">(salaires Guichet-Emplois 2024)</w:t>
            </w:r>
          </w:p>
        </w:tc>
        <w:tc>
          <w:p>
            <w:pPr>
              <w:pStyle w:val="Compact"/>
              <w:jc w:val="left"/>
            </w:pPr>
            <w:r>
              <w:t xml:space="preserve">disponible ; borne supérieure à déflater</w:t>
            </w:r>
          </w:p>
        </w:tc>
      </w:tr>
    </w:tbl>
    <w:p>
      <w:pPr>
        <w:pStyle w:val="Heading2"/>
      </w:pPr>
      <w:bookmarkStart w:id="144" w:name="prudences-de-rédaction-4"/>
      <w:r>
        <w:t xml:space="preserve">8. Prudences de rédaction</w:t>
      </w:r>
      <w:bookmarkEnd w:id="144"/>
    </w:p>
    <w:p>
      <w:pPr>
        <w:pStyle w:val="Compact"/>
        <w:numPr>
          <w:numId w:val="1047"/>
          <w:ilvl w:val="0"/>
        </w:numPr>
      </w:pPr>
      <w:r>
        <w:rPr>
          <w:b/>
        </w:rPr>
        <w:t xml:space="preserve">Mener avec la composition auto-réfutante du 64 028</w:t>
      </w:r>
      <w:r>
        <w:t xml:space="preserve"> </w:t>
      </w:r>
      <w:r>
        <w:t xml:space="preserve">: c’est le fait le plus objectif (avis de cotisation + constat patronal).</w:t>
      </w:r>
    </w:p>
    <w:p>
      <w:pPr>
        <w:pStyle w:val="Compact"/>
        <w:numPr>
          <w:numId w:val="1047"/>
          <w:ilvl w:val="0"/>
        </w:numPr>
      </w:pPr>
      <w:r>
        <w:rPr>
          <w:b/>
        </w:rPr>
        <w:t xml:space="preserve">Autorat</w:t>
      </w:r>
      <w:r>
        <w:t xml:space="preserve"> </w:t>
      </w:r>
      <w:r>
        <w:t xml:space="preserve">: Me Ayoub rédige la DA et dépose P-2 ; ses propres offres situent la capacité sous le chiffre imputé.</w:t>
      </w:r>
    </w:p>
    <w:p>
      <w:pPr>
        <w:pStyle w:val="Compact"/>
        <w:numPr>
          <w:numId w:val="1047"/>
          <w:ilvl w:val="0"/>
        </w:numPr>
      </w:pPr>
      <w:r>
        <w:t xml:space="preserve">Déflater explicitement les salaires 2024 ; ne jamais les présenter tels quels.</w:t>
      </w:r>
    </w:p>
    <w:p>
      <w:pPr>
        <w:pStyle w:val="Compact"/>
        <w:numPr>
          <w:numId w:val="1047"/>
          <w:ilvl w:val="0"/>
        </w:numPr>
      </w:pPr>
      <w:r>
        <w:t xml:space="preserve">Distinguer « non retenu par le tribunal » de « rejeté au fond ».</w:t>
      </w:r>
    </w:p>
    <w:p>
      <w:pPr>
        <w:pStyle w:val="Compact"/>
        <w:numPr>
          <w:numId w:val="1047"/>
          <w:ilvl w:val="0"/>
        </w:numPr>
      </w:pPr>
      <w:r>
        <w:t xml:space="preserve">Réserver la qualification juridique de l’imputation au Tribunal.</w:t>
      </w:r>
    </w:p>
    <w:p>
      <w:pPr>
        <w:pStyle w:val="Heading2"/>
      </w:pPr>
      <w:bookmarkStart w:id="145" w:name="version-procédurale-distillée-4"/>
      <w:r>
        <w:t xml:space="preserve">9. Version procédurale distillée</w:t>
      </w:r>
      <w:bookmarkEnd w:id="145"/>
    </w:p>
    <w:p>
      <w:pPr>
        <w:pStyle w:val="Compact"/>
        <w:numPr>
          <w:numId w:val="1048"/>
          <w:ilvl w:val="0"/>
        </w:numPr>
      </w:pPr>
      <w:r>
        <w:t xml:space="preserve">Les §14-15 soutiennent l’imputation au défendeur d’une capacité de gain d’environ 64-65 k.</w:t>
      </w:r>
    </w:p>
    <w:p>
      <w:pPr>
        <w:pStyle w:val="Compact"/>
        <w:numPr>
          <w:numId w:val="1048"/>
          <w:ilvl w:val="0"/>
        </w:numPr>
      </w:pPr>
      <w:r>
        <w:t xml:space="preserve">Son revenu 2019 réel est de 46 744 $, avec un revenu d’emploi de 0 $ ; le chiffre de 64 028 $ est un composite 2018.</w:t>
      </w:r>
    </w:p>
    <w:p>
      <w:pPr>
        <w:pStyle w:val="Compact"/>
        <w:numPr>
          <w:numId w:val="1048"/>
          <w:ilvl w:val="0"/>
        </w:numPr>
      </w:pPr>
      <w:r>
        <w:t xml:space="preserve">Ce composite additionne un salaire d’un poste où l’employeur atteste que le défendeur ne répondait pas aux attentes et des prestations d’assurance-emploi non récurrentes.</w:t>
      </w:r>
    </w:p>
    <w:p>
      <w:pPr>
        <w:pStyle w:val="Compact"/>
        <w:numPr>
          <w:numId w:val="1048"/>
          <w:ilvl w:val="0"/>
        </w:numPr>
      </w:pPr>
      <w:r>
        <w:t xml:space="preserve">Le §15 présente en outre comme « expérience » deux emplois occupés durant les études du défendeur, élargissant artificiellement son employabilité.</w:t>
      </w:r>
    </w:p>
    <w:p>
      <w:pPr>
        <w:pStyle w:val="Compact"/>
        <w:numPr>
          <w:numId w:val="1048"/>
          <w:ilvl w:val="0"/>
        </w:numPr>
      </w:pPr>
      <w:r>
        <w:t xml:space="preserve">Les offres déposées à l’appui du §14 valent environ 30 k une fois déflatées, sous le revenu réel 2019 ; elles ont été déposées par surprise à l’audience, le défendeur non représenté, et leurs salaires n’ont pas été retenus par le tribunal.</w:t>
      </w:r>
    </w:p>
    <w:p>
      <w:pPr>
        <w:pStyle w:val="Heading2"/>
      </w:pPr>
      <w:bookmarkStart w:id="146" w:name="usage-dans-la-demande-introductive-4"/>
      <w:r>
        <w:t xml:space="preserve">10. Usage dans la demande introductive</w:t>
      </w:r>
      <w:bookmarkEnd w:id="146"/>
    </w:p>
    <w:p>
      <w:pPr>
        <w:pStyle w:val="FirstParagraph"/>
      </w:pPr>
      <w:r>
        <w:t xml:space="preserve">Élément du volet 2019 et</w:t>
      </w:r>
      <w:r>
        <w:t xml:space="preserve"> </w:t>
      </w:r>
      <w:r>
        <w:rPr>
          <w:b/>
        </w:rPr>
        <w:t xml:space="preserve">socle du préjudice patrimonial</w:t>
      </w:r>
      <w:r>
        <w:t xml:space="preserve"> </w:t>
      </w:r>
      <w:r>
        <w:t xml:space="preserve">: la pension a été fixée sur une capacité de gain non soutenue. À relier au volet du revenu maternel (formulaire net juré comme brut) pour le chef de dommages patrimoniaux. Qualification réservée au Tribunal.</w:t>
      </w:r>
    </w:p>
    <w:p>
      <w:r>
        <w:pict>
          <v:rect style="width:0;height:1.5pt" o:hralign="center" o:hrstd="t" o:hr="t"/>
        </w:pict>
      </w:r>
    </w:p>
    <w:p>
      <w:pPr>
        <w:pStyle w:val="Heading1"/>
      </w:pPr>
      <w:bookmarkStart w:id="147" w:name="X28264fe3a6df6849a3571144ebb0131787c44b4"/>
      <w:r>
        <w:t xml:space="preserve">Pont — §20 de la Déclaration assermentée de 2019 (DA-2019, 21 octobre 2019)</w:t>
      </w:r>
      <w:bookmarkEnd w:id="147"/>
    </w:p>
    <w:p>
      <w:pPr>
        <w:pStyle w:val="BlockText"/>
      </w:pPr>
      <w:r>
        <w:rPr>
          <w:b/>
        </w:rPr>
        <w:t xml:space="preserve">STATUT — LE PLUS NET DES PARAGRAPHES DE 2019.</w:t>
      </w:r>
      <w:r>
        <w:t xml:space="preserve"> </w:t>
      </w:r>
      <w:r>
        <w:t xml:space="preserve">Allégation</w:t>
      </w:r>
      <w:r>
        <w:t xml:space="preserve"> </w:t>
      </w:r>
      <w:r>
        <w:rPr>
          <w:b/>
        </w:rPr>
        <w:t xml:space="preserve">discrète</w:t>
      </w:r>
      <w:r>
        <w:t xml:space="preserve"> </w:t>
      </w:r>
      <w:r>
        <w:t xml:space="preserve">(un événement daté) réfutée par une</w:t>
      </w:r>
      <w:r>
        <w:t xml:space="preserve"> </w:t>
      </w:r>
      <w:r>
        <w:rPr>
          <w:b/>
        </w:rPr>
        <w:t xml:space="preserve">pièce précise</w:t>
      </w:r>
      <w:r>
        <w:t xml:space="preserve"> </w:t>
      </w:r>
      <w:r>
        <w:t xml:space="preserve">: un courriel du</w:t>
      </w:r>
      <w:r>
        <w:t xml:space="preserve"> </w:t>
      </w:r>
      <w:r>
        <w:rPr>
          <w:b/>
        </w:rPr>
        <w:t xml:space="preserve">6 juin 2019</w:t>
      </w:r>
      <w:r>
        <w:t xml:space="preserve"> </w:t>
      </w:r>
      <w:r>
        <w:t xml:space="preserve">dans lequel le défendeur lui-même informe Me Ayoub de la contribution de sa mère, l’a envoyée à Revenu Québec et annonce qu’Élise va la recevoir — le contraire d’un désaccord. Pas de précondition, pas de négatif à prouver, pas de question de canal : un simple</w:t>
      </w:r>
      <w:r>
        <w:t xml:space="preserve"> </w:t>
      </w:r>
      <w:r>
        <w:rPr>
          <w:b/>
        </w:rPr>
        <w:t xml:space="preserve">acte du père</w:t>
      </w:r>
      <w:r>
        <w:t xml:space="preserve"> </w:t>
      </w:r>
      <w:r>
        <w:t xml:space="preserve">(faciliter) opposé à l’allégation (désaccord). Qualification (témérité, mauvaise foi, parjure) réservée au Tribunal.</w:t>
      </w:r>
    </w:p>
    <w:p>
      <w:pPr>
        <w:pStyle w:val="BlockText"/>
      </w:pPr>
      <w:r>
        <w:t xml:space="preserve">Faits bruts :</w:t>
      </w:r>
      <w:r>
        <w:t xml:space="preserve"> </w:t>
      </w:r>
      <w:hyperlink r:id="rId148">
        <w:r>
          <w:rPr>
            <w:rStyle w:val="Hyperlink"/>
          </w:rPr>
          <w:t xml:space="preserve">faits/faits_par20_2019.md</w:t>
        </w:r>
      </w:hyperlink>
      <w:r>
        <w:t xml:space="preserve">. Autorat :</w:t>
      </w:r>
      <w:r>
        <w:t xml:space="preserve"> </w:t>
      </w:r>
      <w:r>
        <w:rPr>
          <w:b/>
        </w:rPr>
        <w:t xml:space="preserve">Me Ayoub rédige</w:t>
      </w:r>
      <w:r>
        <w:t xml:space="preserve"> </w:t>
      </w:r>
      <w:r>
        <w:t xml:space="preserve">la DA-2019 ;</w:t>
      </w:r>
      <w:r>
        <w:t xml:space="preserve"> </w:t>
      </w:r>
      <w:r>
        <w:rPr>
          <w:b/>
        </w:rPr>
        <w:t xml:space="preserve">Élise jure</w:t>
      </w:r>
      <w:r>
        <w:t xml:space="preserve">.</w:t>
      </w:r>
    </w:p>
    <w:p>
      <w:pPr>
        <w:pStyle w:val="Heading2"/>
      </w:pPr>
      <w:bookmarkStart w:id="149" w:name="allégation-visée-3"/>
      <w:r>
        <w:t xml:space="preserve">1. Allégation visée</w:t>
      </w:r>
      <w:bookmarkEnd w:id="149"/>
    </w:p>
    <w:p>
      <w:pPr>
        <w:pStyle w:val="BlockText"/>
      </w:pPr>
      <w:r>
        <w:rPr>
          <w:b/>
        </w:rPr>
        <w:t xml:space="preserve">§20</w:t>
      </w:r>
      <w:r>
        <w:t xml:space="preserve"> </w:t>
      </w:r>
      <w:r>
        <w:t xml:space="preserve">— « Le ou vers le mois de mai 2019, lorsque le défendeur a appris que la Grand-mère paternelle des enfants voulait contribuer financièrement, monsieur s’est démontré en désaccord avec telle décision. »</w:t>
      </w:r>
    </w:p>
    <w:p>
      <w:pPr>
        <w:pStyle w:val="FirstParagraph"/>
      </w:pPr>
      <w:r>
        <w:t xml:space="preserve">Source : DA-2019,</w:t>
      </w:r>
      <w:r>
        <w:t xml:space="preserve"> </w:t>
      </w:r>
      <w:r>
        <w:rPr>
          <w:rStyle w:val="VerbatimChar"/>
        </w:rPr>
        <w:t xml:space="preserve">document_manager.Document</w:t>
      </w:r>
      <w:r>
        <w:t xml:space="preserve"> </w:t>
      </w:r>
      <w:r>
        <w:t xml:space="preserve">id=3,</w:t>
      </w:r>
      <w:r>
        <w:t xml:space="preserve"> </w:t>
      </w:r>
      <w:r>
        <w:rPr>
          <w:b/>
        </w:rPr>
        <w:t xml:space="preserve">jurée le 21 octobre 2019 par Élise Marie Ayoub</w:t>
      </w:r>
      <w:r>
        <w:t xml:space="preserve">,</w:t>
      </w:r>
      <w:r>
        <w:t xml:space="preserve"> </w:t>
      </w:r>
      <w:r>
        <w:rPr>
          <w:b/>
        </w:rPr>
        <w:t xml:space="preserve">rédigée par Me Marie-Josée Ayoub</w:t>
      </w:r>
      <w:r>
        <w:t xml:space="preserve">.</w:t>
      </w:r>
    </w:p>
    <w:p>
      <w:pPr>
        <w:pStyle w:val="Heading2"/>
      </w:pPr>
      <w:bookmarkStart w:id="150" w:name="objectif-de-démonstration-5"/>
      <w:r>
        <w:t xml:space="preserve">2. Objectif de démonstration</w:t>
      </w:r>
      <w:bookmarkEnd w:id="150"/>
    </w:p>
    <w:p>
      <w:pPr>
        <w:pStyle w:val="FirstParagraph"/>
      </w:pPr>
      <w:r>
        <w:rPr>
          <w:b/>
        </w:rPr>
        <w:t xml:space="preserve">Classification : 🔴 affirmativement contredit (documentaire).</w:t>
      </w:r>
    </w:p>
    <w:p>
      <w:pPr>
        <w:pStyle w:val="BodyText"/>
      </w:pPr>
      <w:r>
        <w:t xml:space="preserve">Le §20 affirme que le défendeur s’est</w:t>
      </w:r>
      <w:r>
        <w:t xml:space="preserve"> </w:t>
      </w:r>
      <w:r>
        <w:rPr>
          <w:b/>
        </w:rPr>
        <w:t xml:space="preserve">opposé</w:t>
      </w:r>
      <w:r>
        <w:t xml:space="preserve"> </w:t>
      </w:r>
      <w:r>
        <w:t xml:space="preserve">à la contribution financière de sa propre mère. Le courriel du 6 juin 2019 établit l’</w:t>
      </w:r>
      <w:r>
        <w:rPr>
          <w:b/>
        </w:rPr>
        <w:t xml:space="preserve">inverse</w:t>
      </w:r>
      <w:r>
        <w:t xml:space="preserve"> </w:t>
      </w:r>
      <w:r>
        <w:t xml:space="preserve">: le défendeur</w:t>
      </w:r>
      <w:r>
        <w:t xml:space="preserve"> </w:t>
      </w:r>
      <w:r>
        <w:rPr>
          <w:b/>
        </w:rPr>
        <w:t xml:space="preserve">informe</w:t>
      </w:r>
      <w:r>
        <w:t xml:space="preserve"> </w:t>
      </w:r>
      <w:r>
        <w:t xml:space="preserve">l’avocate adverse de la contribution, l’a</w:t>
      </w:r>
      <w:r>
        <w:t xml:space="preserve"> </w:t>
      </w:r>
      <w:r>
        <w:rPr>
          <w:b/>
        </w:rPr>
        <w:t xml:space="preserve">lui-même transmise</w:t>
      </w:r>
      <w:r>
        <w:t xml:space="preserve"> </w:t>
      </w:r>
      <w:r>
        <w:t xml:space="preserve">à Revenu Québec, et annonce qu’Élise va la recevoir.</w:t>
      </w:r>
      <w:r>
        <w:t xml:space="preserve"> </w:t>
      </w:r>
      <w:r>
        <w:rPr>
          <w:b/>
        </w:rPr>
        <w:t xml:space="preserve">Faciliter et transmettre activement une contribution est incompatible avec s’y opposer.</w:t>
      </w:r>
      <w:r>
        <w:t xml:space="preserve"> </w:t>
      </w:r>
      <w:r>
        <w:t xml:space="preserve">Le relevé de Revenu Québec confirme le crédit de 1 000 $ au dossier de pension dont Élise est créancière — la contribution s’est donc réalisée à son bénéfice.</w:t>
      </w:r>
    </w:p>
    <w:p>
      <w:pPr>
        <w:pStyle w:val="Heading2"/>
      </w:pPr>
      <w:bookmarkStart w:id="151" w:name="force-probatoire-4"/>
      <w:r>
        <w:t xml:space="preserve">3. Force probatoire</w:t>
      </w:r>
      <w:bookmarkEnd w:id="1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Cible</w:t>
            </w:r>
          </w:p>
        </w:tc>
        <w:tc>
          <w:tcPr>
            <w:tcBorders>
              <w:bottom w:val="single"/>
            </w:tcBorders>
            <w:vAlign w:val="bottom"/>
          </w:tcPr>
          <w:p>
            <w:pPr>
              <w:pStyle w:val="Compact"/>
              <w:jc w:val="left"/>
            </w:pPr>
            <w:r>
              <w:t xml:space="preserve">Force</w:t>
            </w:r>
          </w:p>
        </w:tc>
      </w:tr>
      <w:tr>
        <w:tc>
          <w:p>
            <w:pPr>
              <w:pStyle w:val="Compact"/>
              <w:jc w:val="left"/>
            </w:pPr>
            <w:r>
              <w:t xml:space="preserve">contre « s’est démontré en désaccord »</w:t>
            </w:r>
          </w:p>
        </w:tc>
        <w:tc>
          <w:p>
            <w:pPr>
              <w:pStyle w:val="Compact"/>
              <w:jc w:val="left"/>
            </w:pPr>
            <w:r>
              <w:rPr>
                <w:b/>
              </w:rPr>
              <w:t xml:space="preserve">très forte</w:t>
            </w:r>
            <w:r>
              <w:t xml:space="preserve"> </w:t>
            </w:r>
            <w:r>
              <w:t xml:space="preserve">— contradiction documentaire directe : le père facilite et transmet la contribution (courriel du 6 juin 2019)</w:t>
            </w:r>
          </w:p>
        </w:tc>
      </w:tr>
      <w:tr>
        <w:tc>
          <w:p>
            <w:pPr>
              <w:pStyle w:val="Compact"/>
              <w:jc w:val="left"/>
            </w:pPr>
            <w:r>
              <w:t xml:space="preserve">réalisation de la contribution</w:t>
            </w:r>
          </w:p>
        </w:tc>
        <w:tc>
          <w:p>
            <w:pPr>
              <w:pStyle w:val="Compact"/>
              <w:jc w:val="left"/>
            </w:pPr>
            <w:r>
              <w:rPr>
                <w:b/>
              </w:rPr>
              <w:t xml:space="preserve">forte</w:t>
            </w:r>
            <w:r>
              <w:t xml:space="preserve"> </w:t>
            </w:r>
            <w:r>
              <w:t xml:space="preserve">— relevé Revenu Québec : 1 000 $ crédités au 6 juin 2019 dans le dossier dont Élise est créancière</w:t>
            </w:r>
          </w:p>
        </w:tc>
      </w:tr>
      <w:tr>
        <w:tc>
          <w:p>
            <w:pPr>
              <w:pStyle w:val="Compact"/>
              <w:jc w:val="left"/>
            </w:pPr>
            <w:r>
              <w:t xml:space="preserve">connaissance (Me Ayoub)</w:t>
            </w:r>
          </w:p>
        </w:tc>
        <w:tc>
          <w:p>
            <w:pPr>
              <w:pStyle w:val="Compact"/>
              <w:jc w:val="left"/>
            </w:pPr>
            <w:r>
              <w:rPr>
                <w:b/>
              </w:rPr>
              <w:t xml:space="preserve">très forte</w:t>
            </w:r>
            <w:r>
              <w:t xml:space="preserve"> </w:t>
            </w:r>
            <w:r>
              <w:t xml:space="preserve">—</w:t>
            </w:r>
            <w:r>
              <w:t xml:space="preserve"> </w:t>
            </w:r>
            <w:r>
              <w:rPr>
                <w:b/>
              </w:rPr>
              <w:t xml:space="preserve">destinataire</w:t>
            </w:r>
            <w:r>
              <w:t xml:space="preserve"> </w:t>
            </w:r>
            <w:r>
              <w:t xml:space="preserve">du courriel du 6 juin 2019, ≈ 4,5 mois avant l’assermentation ; détenait personnellement la réfutation ; ne peut plaider l’ignorance d’un document qui lui était adressé</w:t>
            </w:r>
          </w:p>
        </w:tc>
      </w:tr>
      <w:tr>
        <w:tc>
          <w:p>
            <w:pPr>
              <w:pStyle w:val="Compact"/>
              <w:jc w:val="left"/>
            </w:pPr>
            <w:r>
              <w:t xml:space="preserve">connaissance (Élise)</w:t>
            </w:r>
          </w:p>
        </w:tc>
        <w:tc>
          <w:p>
            <w:pPr>
              <w:pStyle w:val="Compact"/>
              <w:jc w:val="left"/>
            </w:pPr>
            <w:r>
              <w:rPr>
                <w:b/>
              </w:rPr>
              <w:t xml:space="preserve">forte</w:t>
            </w:r>
            <w:r>
              <w:t xml:space="preserve"> </w:t>
            </w:r>
            <w:r>
              <w:t xml:space="preserve">— bénéficiaire directe : la contribution figure à son crédit dans son propre dossier de pension (relevé RQ)</w:t>
            </w:r>
          </w:p>
        </w:tc>
      </w:tr>
      <w:tr>
        <w:tc>
          <w:p>
            <w:pPr>
              <w:pStyle w:val="Compact"/>
              <w:jc w:val="left"/>
            </w:pPr>
            <w:r>
              <w:t xml:space="preserve">pour affirmer qu’Élise a</w:t>
            </w:r>
            <w:r>
              <w:t xml:space="preserve"> </w:t>
            </w:r>
            <w:r>
              <w:rPr>
                <w:b/>
              </w:rPr>
              <w:t xml:space="preserve">vu le courriel</w:t>
            </w:r>
            <w:r>
              <w:t xml:space="preserve"> </w:t>
            </w:r>
            <w:r>
              <w:t xml:space="preserve">du 6 juin</w:t>
            </w:r>
          </w:p>
        </w:tc>
        <w:tc>
          <w:p>
            <w:pPr>
              <w:pStyle w:val="Compact"/>
              <w:jc w:val="left"/>
            </w:pPr>
            <w:r>
              <w:rPr>
                <w:b/>
              </w:rPr>
              <w:t xml:space="preserve">non requise</w:t>
            </w:r>
            <w:r>
              <w:t xml:space="preserve"> </w:t>
            </w:r>
            <w:r>
              <w:t xml:space="preserve">— on plaide qu’elle certifie un désaccord pour une contribution</w:t>
            </w:r>
            <w:r>
              <w:t xml:space="preserve"> </w:t>
            </w:r>
            <w:r>
              <w:rPr>
                <w:b/>
              </w:rPr>
              <w:t xml:space="preserve">portée à son crédit</w:t>
            </w:r>
            <w:r>
              <w:t xml:space="preserve">, non qu’elle a lu le courriel</w:t>
            </w:r>
          </w:p>
        </w:tc>
      </w:tr>
    </w:tbl>
    <w:p>
      <w:pPr>
        <w:pStyle w:val="Heading2"/>
      </w:pPr>
      <w:bookmarkStart w:id="152" w:name="faits-essentiels-plaidables-5"/>
      <w:r>
        <w:t xml:space="preserve">4. Faits essentiels plaidables</w:t>
      </w:r>
      <w:bookmarkEnd w:id="152"/>
    </w:p>
    <w:p>
      <w:pPr>
        <w:pStyle w:val="FirstParagraph"/>
      </w:pPr>
      <w:r>
        <w:rPr>
          <w:i/>
        </w:rPr>
        <w:t xml:space="preserve">(chronologiques, plats, sourcés — art. 99 CPC)</w:t>
      </w:r>
    </w:p>
    <w:p>
      <w:pPr>
        <w:numPr>
          <w:numId w:val="1049"/>
          <w:ilvl w:val="0"/>
        </w:numPr>
      </w:pPr>
      <w:r>
        <w:t xml:space="preserve">Le 6 juin 2019, le défendeur écrit à Me Ayoub (objet « pension ») : « Salut, ma mère donne aux enfants 1000 $, je l’ai envoyé à Revenu Québec, Élise devrait le recevoir sous peu » (</w:t>
      </w:r>
      <w:hyperlink r:id="rId153">
        <w:r>
          <w:rPr>
            <w:rStyle w:val="Hyperlink"/>
          </w:rPr>
          <w:t xml:space="preserve">piece_thread-119_email-484.md</w:t>
        </w:r>
      </w:hyperlink>
      <w:r>
        <w:t xml:space="preserve">).</w:t>
      </w:r>
    </w:p>
    <w:p>
      <w:pPr>
        <w:numPr>
          <w:numId w:val="1049"/>
          <w:ilvl w:val="0"/>
        </w:numPr>
      </w:pPr>
      <w:r>
        <w:t xml:space="preserve">Ce courriel est adressé à Me Marie-Josée Ayoub, procureure de la demanderesse (</w:t>
      </w:r>
      <w:hyperlink r:id="rId153">
        <w:r>
          <w:rPr>
            <w:rStyle w:val="Hyperlink"/>
          </w:rPr>
          <w:t xml:space="preserve">piece_thread-119_email-484.md</w:t>
        </w:r>
      </w:hyperlink>
      <w:r>
        <w:t xml:space="preserve">).</w:t>
      </w:r>
    </w:p>
    <w:p>
      <w:pPr>
        <w:numPr>
          <w:numId w:val="1049"/>
          <w:ilvl w:val="0"/>
        </w:numPr>
      </w:pPr>
      <w:r>
        <w:t xml:space="preserve">Le relevé de compte de Revenu Québec (dossier dont la créancière est Élise Marie Ayoub et le débiteur Louis Philippe David) porte, à la date de prise d’effet du 6 juin 2019, un « Paiement reçu » de 1 000 $ crédité (</w:t>
      </w:r>
      <w:hyperlink r:id="rId154">
        <w:r>
          <w:rPr>
            <w:rStyle w:val="Hyperlink"/>
          </w:rPr>
          <w:t xml:space="preserve">piece_pdf-81.md</w:t>
        </w:r>
      </w:hyperlink>
      <w:r>
        <w:t xml:space="preserve">).</w:t>
      </w:r>
    </w:p>
    <w:p>
      <w:pPr>
        <w:numPr>
          <w:numId w:val="1049"/>
          <w:ilvl w:val="0"/>
        </w:numPr>
      </w:pPr>
      <w:r>
        <w:t xml:space="preserve">Le 21 octobre 2019, la demanderesse signe la déclaration assermentée contenant le §20, soit environ quatre mois et demi après le courriel du 6 juin 2019 (</w:t>
      </w:r>
      <w:hyperlink r:id="rId65">
        <w:r>
          <w:rPr>
            <w:rStyle w:val="Hyperlink"/>
          </w:rPr>
          <w:t xml:space="preserve">piece_document-3.md</w:t>
        </w:r>
      </w:hyperlink>
      <w:r>
        <w:t xml:space="preserve">).</w:t>
      </w:r>
    </w:p>
    <w:p>
      <w:pPr>
        <w:pStyle w:val="Heading2"/>
      </w:pPr>
      <w:bookmarkStart w:id="155" w:name="inférences-réservées-aux-moyens-4"/>
      <w:r>
        <w:t xml:space="preserve">5. Inférences réservées aux moyens</w:t>
      </w:r>
      <w:bookmarkEnd w:id="155"/>
    </w:p>
    <w:p>
      <w:pPr>
        <w:pStyle w:val="Compact"/>
        <w:numPr>
          <w:numId w:val="1050"/>
          <w:ilvl w:val="0"/>
        </w:numPr>
      </w:pPr>
      <w:r>
        <w:rPr>
          <w:b/>
        </w:rPr>
        <w:t xml:space="preserve">Contradiction documentaire directe.</w:t>
      </w:r>
      <w:r>
        <w:t xml:space="preserve"> </w:t>
      </w:r>
      <w:r>
        <w:t xml:space="preserve">Un parent qui informe l’avocate adverse d’une contribution, en facilite l’exécution et la transmet à la mère des enfants adopte une conduite objectivement incompatible avec un désaccord envers cette contribution.</w:t>
      </w:r>
    </w:p>
    <w:p>
      <w:pPr>
        <w:pStyle w:val="Compact"/>
        <w:numPr>
          <w:numId w:val="1050"/>
          <w:ilvl w:val="0"/>
        </w:numPr>
      </w:pPr>
      <w:r>
        <w:rPr>
          <w:b/>
        </w:rPr>
        <w:t xml:space="preserve">Responsabilité à deux fondements distincts.</w:t>
      </w:r>
      <w:r>
        <w:t xml:space="preserve"> </w:t>
      </w:r>
      <w:r>
        <w:t xml:space="preserve">Pour Me Ayoub :</w:t>
      </w:r>
      <w:r>
        <w:t xml:space="preserve"> </w:t>
      </w:r>
      <w:r>
        <w:rPr>
          <w:b/>
        </w:rPr>
        <w:t xml:space="preserve">possession personnelle</w:t>
      </w:r>
      <w:r>
        <w:t xml:space="preserve"> </w:t>
      </w:r>
      <w:r>
        <w:t xml:space="preserve">du courriel contredisant l’allégation qu’elle rédige, quatre mois et demi plus tard. Pour Élise :</w:t>
      </w:r>
      <w:r>
        <w:t xml:space="preserve"> </w:t>
      </w:r>
      <w:r>
        <w:rPr>
          <w:b/>
        </w:rPr>
        <w:t xml:space="preserve">réception directe</w:t>
      </w:r>
      <w:r>
        <w:t xml:space="preserve"> </w:t>
      </w:r>
      <w:r>
        <w:t xml:space="preserve">de la contribution que le père a facilitée, portée à son crédit dans son propre dossier — difficilement conciliable avec le « désaccord » qu’elle certifie.</w:t>
      </w:r>
    </w:p>
    <w:p>
      <w:pPr>
        <w:pStyle w:val="Compact"/>
        <w:numPr>
          <w:numId w:val="1050"/>
          <w:ilvl w:val="0"/>
        </w:numPr>
      </w:pPr>
      <w:r>
        <w:rPr>
          <w:b/>
        </w:rPr>
        <w:t xml:space="preserve">Divergence substantielle.</w:t>
      </w:r>
      <w:r>
        <w:t xml:space="preserve"> </w:t>
      </w:r>
      <w:r>
        <w:t xml:space="preserve">Indépendamment de toute conclusion sur l’intention, l’écart entre l’allégation soumise au Tribunal et la réalité documentée demeure substantiel ; il appartient au décideur d’en apprécier la portée.</w:t>
      </w:r>
    </w:p>
    <w:p>
      <w:pPr>
        <w:pStyle w:val="Heading2"/>
      </w:pPr>
      <w:bookmarkStart w:id="156" w:name="inférences-exclues-4"/>
      <w:r>
        <w:t xml:space="preserve">6. Inférences exclues</w:t>
      </w:r>
      <w:bookmarkEnd w:id="156"/>
    </w:p>
    <w:p>
      <w:pPr>
        <w:pStyle w:val="Compact"/>
        <w:numPr>
          <w:numId w:val="1051"/>
          <w:ilvl w:val="0"/>
        </w:numPr>
      </w:pPr>
      <w:r>
        <w:t xml:space="preserve">Ne pas affirmer qu’Élise a</w:t>
      </w:r>
      <w:r>
        <w:t xml:space="preserve"> </w:t>
      </w:r>
      <w:r>
        <w:rPr>
          <w:b/>
        </w:rPr>
        <w:t xml:space="preserve">vu</w:t>
      </w:r>
      <w:r>
        <w:t xml:space="preserve"> </w:t>
      </w:r>
      <w:r>
        <w:t xml:space="preserve">le courriel du 6 juin : son scienter repose sur la contribution</w:t>
      </w:r>
      <w:r>
        <w:t xml:space="preserve"> </w:t>
      </w:r>
      <w:r>
        <w:rPr>
          <w:b/>
        </w:rPr>
        <w:t xml:space="preserve">portée à son crédit</w:t>
      </w:r>
      <w:r>
        <w:t xml:space="preserve"> </w:t>
      </w:r>
      <w:r>
        <w:t xml:space="preserve">(relevé RQ), non sur la lecture du courriel.</w:t>
      </w:r>
    </w:p>
    <w:p>
      <w:pPr>
        <w:pStyle w:val="Compact"/>
        <w:numPr>
          <w:numId w:val="1051"/>
          <w:ilvl w:val="0"/>
        </w:numPr>
      </w:pPr>
      <w:r>
        <w:t xml:space="preserve">Ne pas prétendre que le relevé</w:t>
      </w:r>
      <w:r>
        <w:t xml:space="preserve"> </w:t>
      </w:r>
      <w:r>
        <w:rPr>
          <w:b/>
        </w:rPr>
        <w:t xml:space="preserve">ventile la source</w:t>
      </w:r>
      <w:r>
        <w:t xml:space="preserve"> </w:t>
      </w:r>
      <w:r>
        <w:t xml:space="preserve">du dépôt (père vs grand-mère) : il établit le paiement et sa réalisation au bénéfice d’Élise, non la ventilation.</w:t>
      </w:r>
    </w:p>
    <w:p>
      <w:pPr>
        <w:pStyle w:val="Compact"/>
        <w:numPr>
          <w:numId w:val="1051"/>
          <w:ilvl w:val="0"/>
        </w:numPr>
      </w:pPr>
      <w:r>
        <w:t xml:space="preserve">Ne pas qualifier de parjure : réserver la qualification au Tribunal ; établir la contradiction documentaire + la possession (Me Ayoub) + la réception (Élise).</w:t>
      </w:r>
    </w:p>
    <w:p>
      <w:pPr>
        <w:pStyle w:val="Heading2"/>
      </w:pPr>
      <w:bookmarkStart w:id="157" w:name="pièces-nécessaires-5"/>
      <w:r>
        <w:t xml:space="preserve">7. Pièces nécessaires</w:t>
      </w:r>
      <w:bookmarkEnd w:id="1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Fait</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Statut</w:t>
            </w:r>
          </w:p>
        </w:tc>
      </w:tr>
      <w:tr>
        <w:tc>
          <w:p>
            <w:pPr>
              <w:pStyle w:val="Compact"/>
              <w:jc w:val="left"/>
            </w:pPr>
            <w:r>
              <w:t xml:space="preserve">1-2</w:t>
            </w:r>
          </w:p>
        </w:tc>
        <w:tc>
          <w:p>
            <w:pPr>
              <w:pStyle w:val="Compact"/>
              <w:jc w:val="left"/>
            </w:pPr>
            <w:hyperlink r:id="rId153">
              <w:r>
                <w:rPr>
                  <w:rStyle w:val="Hyperlink"/>
                </w:rPr>
                <w:t xml:space="preserve">piece_thread-119_email-484.md</w:t>
              </w:r>
            </w:hyperlink>
            <w:r>
              <w:t xml:space="preserve"> </w:t>
            </w:r>
            <w:r>
              <w:t xml:space="preserve">(courriel du 6 juin 2019, père → Me Ayoub)</w:t>
            </w:r>
          </w:p>
        </w:tc>
        <w:tc>
          <w:p>
            <w:pPr>
              <w:pStyle w:val="Compact"/>
              <w:jc w:val="left"/>
            </w:pPr>
            <w:r>
              <w:t xml:space="preserve">disponible</w:t>
            </w:r>
          </w:p>
        </w:tc>
      </w:tr>
      <w:tr>
        <w:tc>
          <w:p>
            <w:pPr>
              <w:pStyle w:val="Compact"/>
              <w:jc w:val="left"/>
            </w:pPr>
            <w:r>
              <w:t xml:space="preserve">3</w:t>
            </w:r>
          </w:p>
        </w:tc>
        <w:tc>
          <w:p>
            <w:pPr>
              <w:pStyle w:val="Compact"/>
              <w:jc w:val="left"/>
            </w:pPr>
            <w:hyperlink r:id="rId154">
              <w:r>
                <w:rPr>
                  <w:rStyle w:val="Hyperlink"/>
                </w:rPr>
                <w:t xml:space="preserve">piece_pdf-81.md</w:t>
              </w:r>
            </w:hyperlink>
            <w:r>
              <w:t xml:space="preserve"> </w:t>
            </w:r>
            <w:r>
              <w:t xml:space="preserve">(relevé Revenu Québec, crédit 1 000 $ au 6 juin 2019)</w:t>
            </w:r>
          </w:p>
        </w:tc>
        <w:tc>
          <w:p>
            <w:pPr>
              <w:pStyle w:val="Compact"/>
              <w:jc w:val="left"/>
            </w:pPr>
            <w:r>
              <w:t xml:space="preserve">disponible</w:t>
            </w:r>
          </w:p>
        </w:tc>
      </w:tr>
      <w:tr>
        <w:tc>
          <w:p>
            <w:pPr>
              <w:pStyle w:val="Compact"/>
              <w:jc w:val="left"/>
            </w:pPr>
            <w:r>
              <w:t xml:space="preserve">4</w:t>
            </w:r>
          </w:p>
        </w:tc>
        <w:tc>
          <w:p>
            <w:pPr>
              <w:pStyle w:val="Compact"/>
              <w:jc w:val="left"/>
            </w:pPr>
            <w:hyperlink r:id="rId65">
              <w:r>
                <w:rPr>
                  <w:rStyle w:val="Hyperlink"/>
                </w:rPr>
                <w:t xml:space="preserve">piece_document-3.md</w:t>
              </w:r>
            </w:hyperlink>
            <w:r>
              <w:t xml:space="preserve">, §20</w:t>
            </w:r>
          </w:p>
        </w:tc>
        <w:tc>
          <w:p>
            <w:pPr>
              <w:pStyle w:val="Compact"/>
              <w:jc w:val="left"/>
            </w:pPr>
            <w:r>
              <w:t xml:space="preserve">document reproduit ; cote finale à stabiliser</w:t>
            </w:r>
          </w:p>
        </w:tc>
      </w:tr>
    </w:tbl>
    <w:p>
      <w:pPr>
        <w:pStyle w:val="Heading2"/>
      </w:pPr>
      <w:bookmarkStart w:id="158" w:name="prudences-de-rédaction-5"/>
      <w:r>
        <w:t xml:space="preserve">8. Prudences de rédaction</w:t>
      </w:r>
      <w:bookmarkEnd w:id="158"/>
    </w:p>
    <w:p>
      <w:pPr>
        <w:pStyle w:val="Compact"/>
        <w:numPr>
          <w:numId w:val="1052"/>
          <w:ilvl w:val="0"/>
        </w:numPr>
      </w:pPr>
      <w:r>
        <w:rPr>
          <w:b/>
        </w:rPr>
        <w:t xml:space="preserve">Mener avec le courriel du 6 juin 2019</w:t>
      </w:r>
      <w:r>
        <w:t xml:space="preserve"> </w:t>
      </w:r>
      <w:r>
        <w:t xml:space="preserve">: c’est la pièce qui réfute directement, et Me Ayoub en était destinataire.</w:t>
      </w:r>
    </w:p>
    <w:p>
      <w:pPr>
        <w:pStyle w:val="Compact"/>
        <w:numPr>
          <w:numId w:val="1052"/>
          <w:ilvl w:val="0"/>
        </w:numPr>
      </w:pPr>
      <w:r>
        <w:rPr>
          <w:b/>
        </w:rPr>
        <w:t xml:space="preserve">Autorat</w:t>
      </w:r>
      <w:r>
        <w:t xml:space="preserve"> </w:t>
      </w:r>
      <w:r>
        <w:t xml:space="preserve">: Me Ayoub rédige, Élise jure ; articuler les deux fondements de responsabilité distincts (possession vs réception).</w:t>
      </w:r>
    </w:p>
    <w:p>
      <w:pPr>
        <w:pStyle w:val="Compact"/>
        <w:numPr>
          <w:numId w:val="1052"/>
          <w:ilvl w:val="0"/>
        </w:numPr>
      </w:pPr>
      <w:r>
        <w:t xml:space="preserve">Employer « la contribution portée au crédit d’Élise » plutôt qu’« Élise a vu le courriel ».</w:t>
      </w:r>
    </w:p>
    <w:p>
      <w:pPr>
        <w:pStyle w:val="Compact"/>
        <w:numPr>
          <w:numId w:val="1052"/>
          <w:ilvl w:val="0"/>
        </w:numPr>
      </w:pPr>
      <w:r>
        <w:t xml:space="preserve">C’est le paragraphe de 2019 le plus solide (pas de précondition, pas de négatif, pas de canal) — à mener en premier dans le volet 2019.</w:t>
      </w:r>
    </w:p>
    <w:p>
      <w:pPr>
        <w:pStyle w:val="Heading2"/>
      </w:pPr>
      <w:bookmarkStart w:id="159" w:name="version-procédurale-distillée-5"/>
      <w:r>
        <w:t xml:space="preserve">9. Version procédurale distillée</w:t>
      </w:r>
      <w:bookmarkEnd w:id="159"/>
    </w:p>
    <w:p>
      <w:pPr>
        <w:pStyle w:val="Compact"/>
        <w:numPr>
          <w:numId w:val="1053"/>
          <w:ilvl w:val="0"/>
        </w:numPr>
      </w:pPr>
      <w:r>
        <w:t xml:space="preserve">Le §20 affirme que le défendeur s’est démontré en désaccord avec la contribution financière de sa mère au bénéfice des enfants.</w:t>
      </w:r>
    </w:p>
    <w:p>
      <w:pPr>
        <w:pStyle w:val="Compact"/>
        <w:numPr>
          <w:numId w:val="1053"/>
          <w:ilvl w:val="0"/>
        </w:numPr>
      </w:pPr>
      <w:r>
        <w:t xml:space="preserve">Le 6 juin 2019, le défendeur a lui-même écrit à Me Ayoub que sa mère donnait 1 000 $ aux enfants, qu’il l’avait envoyé à Revenu Québec et qu’Élise le recevrait sous peu.</w:t>
      </w:r>
    </w:p>
    <w:p>
      <w:pPr>
        <w:pStyle w:val="Compact"/>
        <w:numPr>
          <w:numId w:val="1053"/>
          <w:ilvl w:val="0"/>
        </w:numPr>
      </w:pPr>
      <w:r>
        <w:t xml:space="preserve">Le relevé de Revenu Québec confirme le crédit de 1 000 $ au 6 juin 2019 dans le dossier de pension dont Élise est la créancière.</w:t>
      </w:r>
    </w:p>
    <w:p>
      <w:pPr>
        <w:pStyle w:val="Compact"/>
        <w:numPr>
          <w:numId w:val="1053"/>
          <w:ilvl w:val="0"/>
        </w:numPr>
      </w:pPr>
      <w:r>
        <w:t xml:space="preserve">Me Ayoub, destinataire de ce courriel quatre mois et demi avant l’assermentation, détenait personnellement la réfutation de l’allégation qu’elle a rédigée ; Élise a reçu à son crédit la contribution qu’elle certifie contestée.</w:t>
      </w:r>
    </w:p>
    <w:p>
      <w:pPr>
        <w:pStyle w:val="Heading2"/>
      </w:pPr>
      <w:bookmarkStart w:id="160" w:name="usage-dans-la-demande-introductive-5"/>
      <w:r>
        <w:t xml:space="preserve">10. Usage dans la demande introductive</w:t>
      </w:r>
      <w:bookmarkEnd w:id="160"/>
    </w:p>
    <w:p>
      <w:pPr>
        <w:pStyle w:val="FirstParagraph"/>
      </w:pPr>
      <w:r>
        <w:t xml:space="preserve">Élément du volet 2019, à</w:t>
      </w:r>
      <w:r>
        <w:t xml:space="preserve"> </w:t>
      </w:r>
      <w:r>
        <w:rPr>
          <w:b/>
        </w:rPr>
        <w:t xml:space="preserve">mener en tête</w:t>
      </w:r>
      <w:r>
        <w:t xml:space="preserve"> </w:t>
      </w:r>
      <w:r>
        <w:t xml:space="preserve">de ce volet comme démonstration la plus nette : une allégation discrète réfutée par une pièce précise détenue par la rédactrice elle-même. Sert d’ancrage au fil « scienter » (possession + réception). Qualification réservée au Tribunal.</w:t>
      </w:r>
    </w:p>
    <w:p>
      <w:r>
        <w:pict>
          <v:rect style="width:0;height:1.5pt" o:hralign="center" o:hrstd="t" o:hr="t"/>
        </w:pict>
      </w:r>
    </w:p>
    <w:p>
      <w:pPr>
        <w:pStyle w:val="Heading1"/>
      </w:pPr>
      <w:bookmarkStart w:id="161" w:name="Xc1591c04031740758ba86c35c6c66f0316c5299"/>
      <w:r>
        <w:t xml:space="preserve">MOYENS DE DROIT — volet 2019 : ce que la procédure civile exige</w:t>
      </w:r>
      <w:r>
        <w:t xml:space="preserve"> </w:t>
      </w:r>
      <w:r>
        <w:rPr>
          <w:i/>
        </w:rPr>
        <w:t xml:space="preserve">en sus</w:t>
      </w:r>
      <w:r>
        <w:t xml:space="preserve"> </w:t>
      </w:r>
      <w:r>
        <w:t xml:space="preserve">des faits numérotés</w:t>
      </w:r>
      <w:bookmarkEnd w:id="161"/>
    </w:p>
    <w:p>
      <w:pPr>
        <w:pStyle w:val="BlockText"/>
      </w:pPr>
      <w:r>
        <w:rPr>
          <w:b/>
        </w:rPr>
        <w:t xml:space="preserve">STATUT : brouillon de travail.</w:t>
      </w:r>
      <w:r>
        <w:t xml:space="preserve"> </w:t>
      </w:r>
      <w:r>
        <w:t xml:space="preserve">Les</w:t>
      </w:r>
      <w:r>
        <w:t xml:space="preserve"> </w:t>
      </w:r>
      <w:r>
        <w:rPr>
          <w:b/>
        </w:rPr>
        <w:t xml:space="preserve">numéros d’articles</w:t>
      </w:r>
      <w:r>
        <w:t xml:space="preserve"> </w:t>
      </w:r>
      <w:r>
        <w:t xml:space="preserve">(C.p.c. / C.c.Q.) sont à</w:t>
      </w:r>
      <w:r>
        <w:t xml:space="preserve"> </w:t>
      </w:r>
      <w:r>
        <w:rPr>
          <w:b/>
        </w:rPr>
        <w:t xml:space="preserve">vérifier</w:t>
      </w:r>
      <w:r>
        <w:t xml:space="preserve"> </w:t>
      </w:r>
      <w:r>
        <w:t xml:space="preserve">contre le texte en vigueur avant tout usage. Cette section rassemble les « inférences réservées aux moyens » des six ponts ci-dessus. Pendant du bloc MOYENS de</w:t>
      </w:r>
      <w:r>
        <w:t xml:space="preserve"> </w:t>
      </w:r>
      <w:hyperlink r:id="rId21">
        <w:r>
          <w:rPr>
            <w:rStyle w:val="Hyperlink"/>
          </w:rPr>
          <w:t xml:space="preserve">ponts_requete_2015_consolides.md</w:t>
        </w:r>
      </w:hyperlink>
      <w:r>
        <w:t xml:space="preserve">, adapté au forum de 2019 : la</w:t>
      </w:r>
      <w:r>
        <w:t xml:space="preserve"> </w:t>
      </w:r>
      <w:r>
        <w:rPr>
          <w:b/>
        </w:rPr>
        <w:t xml:space="preserve">pension</w:t>
      </w:r>
      <w:r>
        <w:t xml:space="preserve"> </w:t>
      </w:r>
      <w:r>
        <w:t xml:space="preserve">(et non la garde).</w:t>
      </w:r>
    </w:p>
    <w:p>
      <w:pPr>
        <w:pStyle w:val="Heading2"/>
      </w:pPr>
      <w:bookmarkStart w:id="162" w:name="le-principe-les-faits-ne-suffisent-pas"/>
      <w:r>
        <w:t xml:space="preserve">0. Le principe — les faits ne suffisent pas</w:t>
      </w:r>
      <w:bookmarkEnd w:id="162"/>
    </w:p>
    <w:p>
      <w:pPr>
        <w:pStyle w:val="FirstParagraph"/>
      </w:pPr>
      <w:r>
        <w:t xml:space="preserve">La DA-2019 intervient dans le</w:t>
      </w:r>
      <w:r>
        <w:t xml:space="preserve"> </w:t>
      </w:r>
      <w:r>
        <w:rPr>
          <w:b/>
        </w:rPr>
        <w:t xml:space="preserve">forum alimentaire</w:t>
      </w:r>
      <w:r>
        <w:t xml:space="preserve"> </w:t>
      </w:r>
      <w:r>
        <w:t xml:space="preserve">(fixation/exécution de la pension). La décision y est régie par l’</w:t>
      </w:r>
      <w:r>
        <w:rPr>
          <w:b/>
        </w:rPr>
        <w:t xml:space="preserve">intérêt de l’enfant</w:t>
      </w:r>
      <w:r>
        <w:t xml:space="preserve"> </w:t>
      </w:r>
      <w:r>
        <w:t xml:space="preserve">(art. 33 C.c.Q.) et par la</w:t>
      </w:r>
      <w:r>
        <w:t xml:space="preserve"> </w:t>
      </w:r>
      <w:r>
        <w:rPr>
          <w:b/>
        </w:rPr>
        <w:t xml:space="preserve">capacité réelle de payer</w:t>
      </w:r>
      <w:r>
        <w:t xml:space="preserve"> </w:t>
      </w:r>
      <w:r>
        <w:t xml:space="preserve">(art. 585-587 C.c.Q. ; Règlement sur la fixation des pensions alimentaires pour enfants). Une</w:t>
      </w:r>
      <w:r>
        <w:t xml:space="preserve"> </w:t>
      </w:r>
      <w:r>
        <w:rPr>
          <w:b/>
        </w:rPr>
        <w:t xml:space="preserve">déclaration assermentée</w:t>
      </w:r>
      <w:r>
        <w:t xml:space="preserve"> </w:t>
      </w:r>
      <w:r>
        <w:t xml:space="preserve">y ajoute une obligation propre : n’affirmer sous serment que ce que l’on tient pour vrai, et ne pas maintenir une allégation contestée sans produire la preuve que le fardeau impose (art. 2803 C.c.Q.). Les faits numérotés des ponts sont</w:t>
      </w:r>
      <w:r>
        <w:t xml:space="preserve"> </w:t>
      </w:r>
      <w:r>
        <w:rPr>
          <w:b/>
        </w:rPr>
        <w:t xml:space="preserve">nécessaires mais non suffisants</w:t>
      </w:r>
      <w:r>
        <w:t xml:space="preserve"> </w:t>
      </w:r>
      <w:r>
        <w:t xml:space="preserve">; l’acte doit encore articuler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Exigence (en sus des faits)</w:t>
            </w:r>
          </w:p>
        </w:tc>
        <w:tc>
          <w:tcPr>
            <w:tcBorders>
              <w:bottom w:val="single"/>
            </w:tcBorders>
            <w:vAlign w:val="bottom"/>
          </w:tcPr>
          <w:p>
            <w:pPr>
              <w:pStyle w:val="Compact"/>
              <w:jc w:val="left"/>
            </w:pPr>
            <w:r>
              <w:t xml:space="preserve">Fondement (à vérifier)</w:t>
            </w:r>
          </w:p>
        </w:tc>
        <w:tc>
          <w:tcPr>
            <w:tcBorders>
              <w:bottom w:val="single"/>
            </w:tcBorders>
            <w:vAlign w:val="bottom"/>
          </w:tcPr>
          <w:p>
            <w:pPr>
              <w:pStyle w:val="Compact"/>
              <w:jc w:val="left"/>
            </w:pPr>
            <w:r>
              <w:t xml:space="preserve">Où</w:t>
            </w:r>
          </w:p>
        </w:tc>
      </w:tr>
      <w:tr>
        <w:tc>
          <w:p>
            <w:pPr>
              <w:pStyle w:val="Compact"/>
              <w:jc w:val="left"/>
            </w:pPr>
            <w:r>
              <w:rPr>
                <w:b/>
              </w:rPr>
              <w:t xml:space="preserve">Qualification / nature de l’action</w:t>
            </w:r>
          </w:p>
        </w:tc>
        <w:tc>
          <w:p>
            <w:pPr>
              <w:pStyle w:val="Compact"/>
              <w:jc w:val="left"/>
            </w:pPr>
            <w:r>
              <w:t xml:space="preserve">art. 99, 141 C.p.c.</w:t>
            </w:r>
          </w:p>
        </w:tc>
        <w:tc>
          <w:p>
            <w:pPr>
              <w:pStyle w:val="Compact"/>
              <w:jc w:val="left"/>
            </w:pPr>
            <w:r>
              <w:t xml:space="preserve">responsabilité civile (1457 C.c.Q.), faute =</w:t>
            </w:r>
            <w:r>
              <w:t xml:space="preserve"> </w:t>
            </w:r>
            <w:r>
              <w:rPr>
                <w:b/>
              </w:rPr>
              <w:t xml:space="preserve">abus de procédure</w:t>
            </w:r>
            <w:r>
              <w:t xml:space="preserve"> </w:t>
            </w:r>
            <w:r>
              <w:t xml:space="preserve">(51-54 C.p.c.) et</w:t>
            </w:r>
            <w:r>
              <w:t xml:space="preserve"> </w:t>
            </w:r>
            <w:r>
              <w:rPr>
                <w:b/>
              </w:rPr>
              <w:t xml:space="preserve">affirmations fausses/maintenues sous serment</w:t>
            </w:r>
          </w:p>
        </w:tc>
      </w:tr>
      <w:tr>
        <w:tc>
          <w:p>
            <w:pPr>
              <w:pStyle w:val="Compact"/>
              <w:jc w:val="left"/>
            </w:pPr>
            <w:r>
              <w:rPr>
                <w:b/>
              </w:rPr>
              <w:t xml:space="preserve">Les trois éléments de 1457</w:t>
            </w:r>
            <w:r>
              <w:t xml:space="preserve"> </w:t>
            </w:r>
            <w:r>
              <w:t xml:space="preserve">: faute, préjudice, lien de causalité</w:t>
            </w:r>
          </w:p>
        </w:tc>
        <w:tc>
          <w:p>
            <w:pPr>
              <w:pStyle w:val="Compact"/>
              <w:jc w:val="left"/>
            </w:pPr>
            <w:r>
              <w:t xml:space="preserve">art. 1457 C.c.Q.</w:t>
            </w:r>
          </w:p>
        </w:tc>
        <w:tc>
          <w:p>
            <w:pPr>
              <w:pStyle w:val="Compact"/>
              <w:jc w:val="left"/>
            </w:pPr>
            <w:r>
              <w:t xml:space="preserve">§§ D, F ci-dessous</w:t>
            </w:r>
          </w:p>
        </w:tc>
      </w:tr>
      <w:tr>
        <w:tc>
          <w:p>
            <w:pPr>
              <w:pStyle w:val="Compact"/>
              <w:jc w:val="left"/>
            </w:pPr>
            <w:r>
              <w:rPr>
                <w:b/>
              </w:rPr>
              <w:t xml:space="preserve">Conclusions recherchées</w:t>
            </w:r>
            <w:r>
              <w:t xml:space="preserve">, chiffrables</w:t>
            </w:r>
          </w:p>
        </w:tc>
        <w:tc>
          <w:p>
            <w:pPr>
              <w:pStyle w:val="Compact"/>
              <w:jc w:val="left"/>
            </w:pPr>
            <w:r>
              <w:t xml:space="preserve">art. 99, 141 C.p.c.</w:t>
            </w:r>
          </w:p>
        </w:tc>
        <w:tc>
          <w:p>
            <w:pPr>
              <w:pStyle w:val="Compact"/>
              <w:jc w:val="left"/>
            </w:pPr>
            <w:r>
              <w:t xml:space="preserve">dommages patrimoniaux + moraux (à chiffrer)</w:t>
            </w:r>
          </w:p>
        </w:tc>
      </w:tr>
      <w:tr>
        <w:tc>
          <w:p>
            <w:pPr>
              <w:pStyle w:val="Compact"/>
              <w:jc w:val="left"/>
            </w:pPr>
            <w:r>
              <w:rPr>
                <w:b/>
              </w:rPr>
              <w:t xml:space="preserve">Fondement de la solidarité</w:t>
            </w:r>
          </w:p>
        </w:tc>
        <w:tc>
          <w:p>
            <w:pPr>
              <w:pStyle w:val="Compact"/>
              <w:jc w:val="left"/>
            </w:pPr>
            <w:r>
              <w:t xml:space="preserve">art. 1526 C.c.Q.</w:t>
            </w:r>
          </w:p>
        </w:tc>
        <w:tc>
          <w:p>
            <w:pPr>
              <w:pStyle w:val="Compact"/>
              <w:jc w:val="left"/>
            </w:pPr>
            <w:r>
              <w:t xml:space="preserve">§E</w:t>
            </w:r>
          </w:p>
        </w:tc>
      </w:tr>
      <w:tr>
        <w:tc>
          <w:p>
            <w:pPr>
              <w:pStyle w:val="Compact"/>
              <w:jc w:val="left"/>
            </w:pPr>
            <w:r>
              <w:rPr>
                <w:b/>
              </w:rPr>
              <w:t xml:space="preserve">Prescription</w:t>
            </w:r>
            <w:r>
              <w:t xml:space="preserve"> </w:t>
            </w:r>
            <w:r>
              <w:t xml:space="preserve">(obstacle apparent)</w:t>
            </w:r>
          </w:p>
        </w:tc>
        <w:tc>
          <w:p>
            <w:pPr>
              <w:pStyle w:val="Compact"/>
              <w:jc w:val="left"/>
            </w:pPr>
            <w:r>
              <w:t xml:space="preserve">art. 2925, 2926, 2929, 2892 C.c.Q.</w:t>
            </w:r>
          </w:p>
        </w:tc>
        <w:tc>
          <w:p>
            <w:pPr>
              <w:pStyle w:val="Compact"/>
              <w:jc w:val="left"/>
            </w:pPr>
            <w:r>
              <w:t xml:space="preserve">§G — les actes de 2019 sont</w:t>
            </w:r>
            <w:r>
              <w:t xml:space="preserve"> </w:t>
            </w:r>
            <w:r>
              <w:rPr>
                <w:i/>
              </w:rPr>
              <w:t xml:space="preserve">prima facie</w:t>
            </w:r>
            <w:r>
              <w:t xml:space="preserve"> </w:t>
            </w:r>
            <w:r>
              <w:t xml:space="preserve">prescrits</w:t>
            </w:r>
          </w:p>
        </w:tc>
      </w:tr>
      <w:tr>
        <w:tc>
          <w:p>
            <w:pPr>
              <w:pStyle w:val="Compact"/>
              <w:jc w:val="left"/>
            </w:pPr>
            <w:r>
              <w:rPr>
                <w:b/>
              </w:rPr>
              <w:t xml:space="preserve">Communication des pièces + avis</w:t>
            </w:r>
          </w:p>
        </w:tc>
        <w:tc>
          <w:p>
            <w:pPr>
              <w:pStyle w:val="Compact"/>
              <w:jc w:val="left"/>
            </w:pPr>
            <w:r>
              <w:t xml:space="preserve">art. 99, 107, 145 C.p.c.</w:t>
            </w:r>
          </w:p>
        </w:tc>
        <w:tc>
          <w:p>
            <w:pPr>
              <w:pStyle w:val="Compact"/>
              <w:jc w:val="left"/>
            </w:pPr>
            <w:r>
              <w:t xml:space="preserve">bordereau (à finaliser)</w:t>
            </w:r>
          </w:p>
        </w:tc>
      </w:tr>
    </w:tbl>
    <w:p>
      <w:pPr>
        <w:pStyle w:val="Heading2"/>
      </w:pPr>
      <w:bookmarkStart w:id="163" w:name="X0a7fc7ce40bbe8f754198052626df14d306f37f"/>
      <w:r>
        <w:t xml:space="preserve">A. Le standard appliqué à une déclaration assermentée (art. 51-54 C.p.c.)</w:t>
      </w:r>
      <w:bookmarkEnd w:id="163"/>
    </w:p>
    <w:p>
      <w:pPr>
        <w:pStyle w:val="FirstParagraph"/>
      </w:pPr>
      <w:r>
        <w:t xml:space="preserve">L’abus ne se confond pas avec le fait de succomber ; il vise le</w:t>
      </w:r>
      <w:r>
        <w:t xml:space="preserve"> </w:t>
      </w:r>
      <w:r>
        <w:rPr>
          <w:b/>
        </w:rPr>
        <w:t xml:space="preserve">détournement des fins</w:t>
      </w:r>
      <w:r>
        <w:t xml:space="preserve">, l’usage</w:t>
      </w:r>
      <w:r>
        <w:t xml:space="preserve"> </w:t>
      </w:r>
      <w:r>
        <w:rPr>
          <w:b/>
        </w:rPr>
        <w:t xml:space="preserve">excessif ou déraisonnable</w:t>
      </w:r>
      <w:r>
        <w:t xml:space="preserve"> </w:t>
      </w:r>
      <w:r>
        <w:t xml:space="preserve">et la</w:t>
      </w:r>
      <w:r>
        <w:t xml:space="preserve"> </w:t>
      </w:r>
      <w:r>
        <w:rPr>
          <w:b/>
        </w:rPr>
        <w:t xml:space="preserve">mauvaise foi</w:t>
      </w:r>
      <w:r>
        <w:t xml:space="preserve"> </w:t>
      </w:r>
      <w:r>
        <w:t xml:space="preserve">(art. 51). Dans le forum alimentaire, la décision doit reposer sur les</w:t>
      </w:r>
      <w:r>
        <w:t xml:space="preserve"> </w:t>
      </w:r>
      <w:r>
        <w:rPr>
          <w:b/>
        </w:rPr>
        <w:t xml:space="preserve">besoins réels</w:t>
      </w:r>
      <w:r>
        <w:t xml:space="preserve"> </w:t>
      </w:r>
      <w:r>
        <w:t xml:space="preserve">des enfants et la</w:t>
      </w:r>
      <w:r>
        <w:t xml:space="preserve"> </w:t>
      </w:r>
      <w:r>
        <w:rPr>
          <w:b/>
        </w:rPr>
        <w:t xml:space="preserve">capacité réelle</w:t>
      </w:r>
      <w:r>
        <w:t xml:space="preserve"> </w:t>
      </w:r>
      <w:r>
        <w:t xml:space="preserve">des parties. Le fardeau de l’alléguante (art. 2803) et la bonne foi présumée mais</w:t>
      </w:r>
      <w:r>
        <w:t xml:space="preserve"> </w:t>
      </w:r>
      <w:r>
        <w:rPr>
          <w:b/>
        </w:rPr>
        <w:t xml:space="preserve">renversable</w:t>
      </w:r>
      <w:r>
        <w:t xml:space="preserve"> </w:t>
      </w:r>
      <w:r>
        <w:t xml:space="preserve">(art. 2805 → 2849) encadrent l’appréciation.</w:t>
      </w:r>
      <w:r>
        <w:t xml:space="preserve"> </w:t>
      </w:r>
      <w:r>
        <w:rPr>
          <w:b/>
        </w:rPr>
        <w:t xml:space="preserve">Fardeau</w:t>
      </w:r>
      <w:r>
        <w:t xml:space="preserve"> </w:t>
      </w:r>
      <w:r>
        <w:t xml:space="preserve">: dans l’action en dommages (1457), la faute se démontre par</w:t>
      </w:r>
      <w:r>
        <w:t xml:space="preserve"> </w:t>
      </w:r>
      <w:r>
        <w:rPr>
          <w:b/>
        </w:rPr>
        <w:t xml:space="preserve">prépondérance</w:t>
      </w:r>
      <w:r>
        <w:t xml:space="preserve"> </w:t>
      </w:r>
      <w:r>
        <w:t xml:space="preserve">; le scienter, par</w:t>
      </w:r>
      <w:r>
        <w:t xml:space="preserve"> </w:t>
      </w:r>
      <w:r>
        <w:rPr>
          <w:b/>
        </w:rPr>
        <w:t xml:space="preserve">présomptions graves, précises et concordantes</w:t>
      </w:r>
      <w:r>
        <w:t xml:space="preserve"> </w:t>
      </w:r>
      <w:r>
        <w:t xml:space="preserve">(art. 2849).</w:t>
      </w:r>
    </w:p>
    <w:p>
      <w:pPr>
        <w:pStyle w:val="Heading2"/>
      </w:pPr>
      <w:bookmarkStart w:id="164" w:name="X7e97da36ecde41fd6dc0a9b628d73be2489e9cc"/>
      <w:r>
        <w:t xml:space="preserve">B. Les quatre types de faute du volet 2019 (taxonomie — chacun réfuté par son pont)</w:t>
      </w:r>
      <w:bookmarkEnd w:id="164"/>
    </w:p>
    <w:p>
      <w:pPr>
        <w:pStyle w:val="Compact"/>
        <w:numPr>
          <w:numId w:val="1054"/>
          <w:ilvl w:val="0"/>
        </w:numPr>
      </w:pPr>
      <w:r>
        <w:rPr>
          <w:b/>
        </w:rPr>
        <w:t xml:space="preserve">Affirmation fausse connue — §20.</w:t>
      </w:r>
      <w:r>
        <w:t xml:space="preserve"> </w:t>
      </w:r>
      <w:r>
        <w:t xml:space="preserve">Contradiction documentaire directe (le père facilite et transmet la contribution qu’on lui prête d’avoir contestée). Registre le plus fort ; scienter direct (possession du courriel).</w:t>
      </w:r>
    </w:p>
    <w:p>
      <w:pPr>
        <w:pStyle w:val="Compact"/>
        <w:numPr>
          <w:numId w:val="1054"/>
          <w:ilvl w:val="0"/>
        </w:numPr>
      </w:pPr>
      <w:r>
        <w:rPr>
          <w:b/>
        </w:rPr>
        <w:t xml:space="preserve">Allégation maintenue sous serment sans la preuve requise — §6.3 et §7.</w:t>
      </w:r>
      <w:r>
        <w:t xml:space="preserve"> </w:t>
      </w:r>
      <w:r>
        <w:t xml:space="preserve">Un « refus » suppose une offre ; un « non-remboursement malgré demandes » suppose des demandes + pièces. Aucune n’est documentée, sous le fardeau de l’alléguante (art. 2803). ⚠️ À plaider comme</w:t>
      </w:r>
      <w:r>
        <w:t xml:space="preserve"> </w:t>
      </w:r>
      <w:r>
        <w:rPr>
          <w:b/>
        </w:rPr>
        <w:t xml:space="preserve">maintien sans preuve produite</w:t>
      </w:r>
      <w:r>
        <w:t xml:space="preserve"> </w:t>
      </w:r>
      <w:r>
        <w:t xml:space="preserve">(au §7, malgré une</w:t>
      </w:r>
      <w:r>
        <w:t xml:space="preserve"> </w:t>
      </w:r>
      <w:r>
        <w:rPr>
          <w:b/>
        </w:rPr>
        <w:t xml:space="preserve">demande explicite de preuve</w:t>
      </w:r>
      <w:r>
        <w:t xml:space="preserve"> </w:t>
      </w:r>
      <w:r>
        <w:t xml:space="preserve">restée sans réponse) —</w:t>
      </w:r>
      <w:r>
        <w:t xml:space="preserve"> </w:t>
      </w:r>
      <w:r>
        <w:rPr>
          <w:b/>
        </w:rPr>
        <w:t xml:space="preserve">jamais</w:t>
      </w:r>
      <w:r>
        <w:t xml:space="preserve"> </w:t>
      </w:r>
      <w:r>
        <w:t xml:space="preserve">comme « impossibilité » de communiquer ni « défaut de vérifier » (interne, inconnaissable).</w:t>
      </w:r>
    </w:p>
    <w:p>
      <w:pPr>
        <w:pStyle w:val="Compact"/>
        <w:numPr>
          <w:numId w:val="1054"/>
          <w:ilvl w:val="0"/>
        </w:numPr>
      </w:pPr>
      <w:r>
        <w:rPr>
          <w:b/>
        </w:rPr>
        <w:t xml:space="preserve">Imputation de capacité sans prédicat — §14-15.</w:t>
      </w:r>
      <w:r>
        <w:t xml:space="preserve"> </w:t>
      </w:r>
      <w:r>
        <w:t xml:space="preserve">Le chiffre de capacité (64 028 $) est</w:t>
      </w:r>
      <w:r>
        <w:t xml:space="preserve"> </w:t>
      </w:r>
      <w:r>
        <w:rPr>
          <w:b/>
        </w:rPr>
        <w:t xml:space="preserve">auto-réfutant</w:t>
      </w:r>
      <w:r>
        <w:t xml:space="preserve"> </w:t>
      </w:r>
      <w:r>
        <w:t xml:space="preserve">(salaire d’un poste jugé inadéquat + chômage non récurrent) et sans</w:t>
      </w:r>
      <w:r>
        <w:t xml:space="preserve"> </w:t>
      </w:r>
      <w:r>
        <w:rPr>
          <w:b/>
        </w:rPr>
        <w:t xml:space="preserve">prédicat d’imputation</w:t>
      </w:r>
      <w:r>
        <w:t xml:space="preserve"> </w:t>
      </w:r>
      <w:r>
        <w:t xml:space="preserve">(art. 446 C.p.c.) ; les offres à l’appui valent ~30 k, déposées par</w:t>
      </w:r>
      <w:r>
        <w:t xml:space="preserve"> </w:t>
      </w:r>
      <w:r>
        <w:rPr>
          <w:b/>
        </w:rPr>
        <w:t xml:space="preserve">surprise</w:t>
      </w:r>
      <w:r>
        <w:t xml:space="preserve"> </w:t>
      </w:r>
      <w:r>
        <w:t xml:space="preserve">(défendeur non représenté), salaires</w:t>
      </w:r>
      <w:r>
        <w:t xml:space="preserve"> </w:t>
      </w:r>
      <w:r>
        <w:rPr>
          <w:b/>
        </w:rPr>
        <w:t xml:space="preserve">non retenus</w:t>
      </w:r>
      <w:r>
        <w:t xml:space="preserve"> </w:t>
      </w:r>
      <w:r>
        <w:t xml:space="preserve">par le tribunal.</w:t>
      </w:r>
    </w:p>
    <w:p>
      <w:pPr>
        <w:pStyle w:val="Compact"/>
        <w:numPr>
          <w:numId w:val="1054"/>
          <w:ilvl w:val="0"/>
        </w:numPr>
      </w:pPr>
      <w:r>
        <w:rPr>
          <w:b/>
        </w:rPr>
        <w:t xml:space="preserve">Réécriture causale de la saisine — §3.</w:t>
      </w:r>
      <w:r>
        <w:t xml:space="preserve"> </w:t>
      </w:r>
      <w:r>
        <w:t xml:space="preserve">Fausse</w:t>
      </w:r>
      <w:r>
        <w:t xml:space="preserve"> </w:t>
      </w:r>
      <w:r>
        <w:rPr>
          <w:b/>
        </w:rPr>
        <w:t xml:space="preserve">cause</w:t>
      </w:r>
      <w:r>
        <w:t xml:space="preserve"> </w:t>
      </w:r>
      <w:r>
        <w:t xml:space="preserve">(le refus paternel présenté comme la cause de la saisine, alors qu’il négociait) et fausse</w:t>
      </w:r>
      <w:r>
        <w:t xml:space="preserve"> </w:t>
      </w:r>
      <w:r>
        <w:rPr>
          <w:b/>
        </w:rPr>
        <w:t xml:space="preserve">finalité</w:t>
      </w:r>
      <w:r>
        <w:t xml:space="preserve"> </w:t>
      </w:r>
      <w:r>
        <w:t xml:space="preserve">(procédure présentée comme défense des droits des enfants alors qu’une représentation connue fausse a été substituée à leur réalité). Détail :</w:t>
      </w:r>
      <w:r>
        <w:t xml:space="preserve"> </w:t>
      </w:r>
      <w:hyperlink r:id="rId165">
        <w:r>
          <w:rPr>
            <w:rStyle w:val="Hyperlink"/>
          </w:rPr>
          <w:t xml:space="preserve">pont_par3_2019.md</w:t>
        </w:r>
      </w:hyperlink>
      <w:r>
        <w:t xml:space="preserve">.</w:t>
      </w:r>
    </w:p>
    <w:p>
      <w:pPr>
        <w:pStyle w:val="FirstParagraph"/>
      </w:pPr>
      <w:r>
        <w:rPr>
          <w:i/>
        </w:rPr>
        <w:t xml:space="preserve">(Le §6.6-6.7 est</w:t>
      </w:r>
      <w:r>
        <w:rPr>
          <w:i/>
        </w:rPr>
        <w:t xml:space="preserve"> </w:t>
      </w:r>
      <w:r>
        <w:rPr>
          <w:b/>
          <w:i/>
        </w:rPr>
        <w:t xml:space="preserve">abandonné</w:t>
      </w:r>
      <w:r>
        <w:rPr>
          <w:i/>
        </w:rPr>
        <w:t xml:space="preserve"> </w:t>
      </w:r>
      <w:r>
        <w:rPr>
          <w:i/>
        </w:rPr>
        <w:t xml:space="preserve">— §6.6 vrai à concéder, §6.7 mixte ; non plaidé.)</w:t>
      </w:r>
    </w:p>
    <w:p>
      <w:pPr>
        <w:pStyle w:val="Heading2"/>
      </w:pPr>
      <w:bookmarkStart w:id="166" w:name="X100a9de4bd575c7d596c215454422a3fc386260"/>
      <w:r>
        <w:t xml:space="preserve">C. Le fil commun — la substitution du substrat décisif</w:t>
      </w:r>
      <w:bookmarkEnd w:id="166"/>
    </w:p>
    <w:p>
      <w:pPr>
        <w:pStyle w:val="FirstParagraph"/>
      </w:pPr>
      <w:r>
        <w:t xml:space="preserve">Comme en 2015, la décision (ici</w:t>
      </w:r>
      <w:r>
        <w:t xml:space="preserve"> </w:t>
      </w:r>
      <w:r>
        <w:rPr>
          <w:b/>
        </w:rPr>
        <w:t xml:space="preserve">la pension</w:t>
      </w:r>
      <w:r>
        <w:t xml:space="preserve">) doit reposer sur les besoins réels des enfants et la capacité réelle des parties. La DA-2019 substitue, sur les</w:t>
      </w:r>
      <w:r>
        <w:t xml:space="preserve"> </w:t>
      </w:r>
      <w:r>
        <w:rPr>
          <w:b/>
        </w:rPr>
        <w:t xml:space="preserve">axes décisifs</w:t>
      </w:r>
      <w:r>
        <w:t xml:space="preserve">, un substrat factuel faux : la</w:t>
      </w:r>
      <w:r>
        <w:t xml:space="preserve"> </w:t>
      </w:r>
      <w:r>
        <w:rPr>
          <w:b/>
        </w:rPr>
        <w:t xml:space="preserve">capacité du père</w:t>
      </w:r>
      <w:r>
        <w:t xml:space="preserve"> </w:t>
      </w:r>
      <w:r>
        <w:t xml:space="preserve">est gonflée (§14-15), sa</w:t>
      </w:r>
      <w:r>
        <w:t xml:space="preserve"> </w:t>
      </w:r>
      <w:r>
        <w:rPr>
          <w:b/>
        </w:rPr>
        <w:t xml:space="preserve">coopération</w:t>
      </w:r>
      <w:r>
        <w:t xml:space="preserve"> </w:t>
      </w:r>
      <w:r>
        <w:t xml:space="preserve">niée (§6.3, §7, §20), et le §3</w:t>
      </w:r>
      <w:r>
        <w:t xml:space="preserve"> </w:t>
      </w:r>
      <w:r>
        <w:rPr>
          <w:b/>
        </w:rPr>
        <w:t xml:space="preserve">réécrit l’histoire causale</w:t>
      </w:r>
      <w:r>
        <w:t xml:space="preserve"> </w:t>
      </w:r>
      <w:r>
        <w:t xml:space="preserve">de la saisine. Le détournement est le même que celui du volet 2015, appliqué au forum alimentaire : faire reposer la décision sur autre chose que la réalité que la norme commande d’apprécier.</w:t>
      </w:r>
      <w:r>
        <w:t xml:space="preserve"> </w:t>
      </w:r>
      <w:r>
        <w:rPr>
          <w:i/>
        </w:rPr>
        <w:t xml:space="preserve">(Présuppose la fausseté/le caractère trompeur de chaque composante, établis par les ponts ; jamais déduits de la seule répétition.)</w:t>
      </w:r>
    </w:p>
    <w:p>
      <w:pPr>
        <w:pStyle w:val="Heading2"/>
      </w:pPr>
      <w:bookmarkStart w:id="167" w:name="X352453404502bc3a58cf656d3a57b2ddfb6ffd0"/>
      <w:r>
        <w:t xml:space="preserve">D. La connaissance (scienter) — deux fondements distincts</w:t>
      </w:r>
      <w:bookmarkEnd w:id="167"/>
    </w:p>
    <w:p>
      <w:pPr>
        <w:pStyle w:val="Compact"/>
        <w:numPr>
          <w:numId w:val="1055"/>
          <w:ilvl w:val="0"/>
        </w:numPr>
      </w:pPr>
      <w:r>
        <w:rPr>
          <w:b/>
        </w:rPr>
        <w:t xml:space="preserve">Me Marie-Josée Ayoub — possession et autorat.</w:t>
      </w:r>
      <w:r>
        <w:t xml:space="preserve"> </w:t>
      </w:r>
      <w:r>
        <w:t xml:space="preserve">Rédactrice de la DA-2019 ;</w:t>
      </w:r>
      <w:r>
        <w:t xml:space="preserve"> </w:t>
      </w:r>
      <w:r>
        <w:rPr>
          <w:b/>
        </w:rPr>
        <w:t xml:space="preserve">destinataire</w:t>
      </w:r>
      <w:r>
        <w:t xml:space="preserve"> </w:t>
      </w:r>
      <w:r>
        <w:t xml:space="preserve">du courriel du 6 juin 2019 (§20) et des contestations du 21 octobre 2019 (§6.3, §7) ;</w:t>
      </w:r>
      <w:r>
        <w:t xml:space="preserve"> </w:t>
      </w:r>
      <w:r>
        <w:rPr>
          <w:b/>
        </w:rPr>
        <w:t xml:space="preserve">autrice du dépôt</w:t>
      </w:r>
      <w:r>
        <w:t xml:space="preserve"> </w:t>
      </w:r>
      <w:r>
        <w:t xml:space="preserve">de P-2 (§14-15). Elle détenait, avant ou le jour de l’assermentation, les pièces qui contredisent ou privent d’assise les allégations.</w:t>
      </w:r>
    </w:p>
    <w:p>
      <w:pPr>
        <w:pStyle w:val="Compact"/>
        <w:numPr>
          <w:numId w:val="1055"/>
          <w:ilvl w:val="0"/>
        </w:numPr>
      </w:pPr>
      <w:r>
        <w:rPr>
          <w:b/>
        </w:rPr>
        <w:t xml:space="preserve">Élise Marie Ayoub — connaissance directe.</w:t>
      </w:r>
      <w:r>
        <w:t xml:space="preserve"> </w:t>
      </w:r>
      <w:r>
        <w:t xml:space="preserve">Déclarante ;</w:t>
      </w:r>
      <w:r>
        <w:t xml:space="preserve"> </w:t>
      </w:r>
      <w:r>
        <w:rPr>
          <w:b/>
        </w:rPr>
        <w:t xml:space="preserve">bénéficiaire</w:t>
      </w:r>
      <w:r>
        <w:t xml:space="preserve"> </w:t>
      </w:r>
      <w:r>
        <w:t xml:space="preserve">de la contribution portée à son crédit (§20, relevé RQ) ;</w:t>
      </w:r>
      <w:r>
        <w:t xml:space="preserve"> </w:t>
      </w:r>
      <w:r>
        <w:rPr>
          <w:b/>
        </w:rPr>
        <w:t xml:space="preserve">autrice de la cessation</w:t>
      </w:r>
      <w:r>
        <w:t xml:space="preserve"> </w:t>
      </w:r>
      <w:r>
        <w:t xml:space="preserve">de communication de 2016 (§6.3, §7), sachant n’avoir formulé aucune offre/demande documentée.</w:t>
      </w:r>
    </w:p>
    <w:p>
      <w:pPr>
        <w:pStyle w:val="FirstParagraph"/>
      </w:pPr>
      <w:r>
        <w:t xml:space="preserve">Le scienter se démontre</w:t>
      </w:r>
      <w:r>
        <w:t xml:space="preserve"> </w:t>
      </w:r>
      <w:r>
        <w:rPr>
          <w:b/>
        </w:rPr>
        <w:t xml:space="preserve">par paragraphe</w:t>
      </w:r>
      <w:r>
        <w:t xml:space="preserve"> </w:t>
      </w:r>
      <w:r>
        <w:t xml:space="preserve">; il ne se présume pas (art. 2805 → 2849).</w:t>
      </w:r>
    </w:p>
    <w:p>
      <w:pPr>
        <w:pStyle w:val="Heading2"/>
      </w:pPr>
      <w:bookmarkStart w:id="168" w:name="e.-la-solidarité-art.-1526-c.c.q."/>
      <w:r>
        <w:t xml:space="preserve">E. La solidarité (art. 1526 C.c.Q.)</w:t>
      </w:r>
      <w:bookmarkEnd w:id="168"/>
    </w:p>
    <w:p>
      <w:pPr>
        <w:pStyle w:val="FirstParagraph"/>
      </w:pPr>
      <w:r>
        <w:t xml:space="preserve">Faute commune/concertée : l’avocate (rédactrice de la DA et du dépôt de P-2) et la cliente (déclarante). Il faut identifier la</w:t>
      </w:r>
      <w:r>
        <w:t xml:space="preserve"> </w:t>
      </w:r>
      <w:r>
        <w:rPr>
          <w:b/>
        </w:rPr>
        <w:t xml:space="preserve">faute personnelle de chacune</w:t>
      </w:r>
      <w:r>
        <w:t xml:space="preserve">, son</w:t>
      </w:r>
      <w:r>
        <w:t xml:space="preserve"> </w:t>
      </w:r>
      <w:r>
        <w:rPr>
          <w:b/>
        </w:rPr>
        <w:t xml:space="preserve">lien causal</w:t>
      </w:r>
      <w:r>
        <w:t xml:space="preserve"> </w:t>
      </w:r>
      <w:r>
        <w:t xml:space="preserve">avec le même préjudice et les obstacles propres à la responsabilité</w:t>
      </w:r>
      <w:r>
        <w:t xml:space="preserve"> </w:t>
      </w:r>
      <w:r>
        <w:rPr>
          <w:b/>
        </w:rPr>
        <w:t xml:space="preserve">professionnelle</w:t>
      </w:r>
      <w:r>
        <w:t xml:space="preserve">. La solidarité demeure une</w:t>
      </w:r>
      <w:r>
        <w:t xml:space="preserve"> </w:t>
      </w:r>
      <w:r>
        <w:rPr>
          <w:b/>
        </w:rPr>
        <w:t xml:space="preserve">décision stratégique à valider</w:t>
      </w:r>
      <w:r>
        <w:t xml:space="preserve">.</w:t>
      </w:r>
    </w:p>
    <w:p>
      <w:pPr>
        <w:pStyle w:val="Heading2"/>
      </w:pPr>
      <w:bookmarkStart w:id="169" w:name="X22eb28de842aa3d10450705a5d3f4868b756ebd"/>
      <w:r>
        <w:t xml:space="preserve">F. Le préjudice et le lien de causalité (art. 1457 C.c.Q.)</w:t>
      </w:r>
      <w:bookmarkEnd w:id="169"/>
    </w:p>
    <w:p>
      <w:pPr>
        <w:pStyle w:val="FirstParagraph"/>
      </w:pPr>
      <w:r>
        <w:t xml:space="preserve">Le volet 2019 est le</w:t>
      </w:r>
      <w:r>
        <w:t xml:space="preserve"> </w:t>
      </w:r>
      <w:r>
        <w:rPr>
          <w:b/>
        </w:rPr>
        <w:t xml:space="preserve">siège du préjudice patrimonial</w:t>
      </w:r>
      <w:r>
        <w:t xml:space="preserve"> </w:t>
      </w:r>
      <w:r>
        <w:t xml:space="preserve">: la pension a été fixée puis maintenue sur une</w:t>
      </w:r>
      <w:r>
        <w:t xml:space="preserve"> </w:t>
      </w:r>
      <w:r>
        <w:rPr>
          <w:b/>
        </w:rPr>
        <w:t xml:space="preserve">capacité de gain non soutenue</w:t>
      </w:r>
      <w:r>
        <w:t xml:space="preserve"> </w:t>
      </w:r>
      <w:r>
        <w:t xml:space="preserve">(§14-15) et, conjointement avec le</w:t>
      </w:r>
      <w:r>
        <w:t xml:space="preserve"> </w:t>
      </w:r>
      <w:r>
        <w:rPr>
          <w:b/>
        </w:rPr>
        <w:t xml:space="preserve">revenu maternel</w:t>
      </w:r>
      <w:r>
        <w:t xml:space="preserve"> </w:t>
      </w:r>
      <w:r>
        <w:t xml:space="preserve">(formulaire de 2019 : revenu</w:t>
      </w:r>
      <w:r>
        <w:t xml:space="preserve"> </w:t>
      </w:r>
      <w:r>
        <w:rPr>
          <w:b/>
        </w:rPr>
        <w:t xml:space="preserve">net</w:t>
      </w:r>
      <w:r>
        <w:t xml:space="preserve"> </w:t>
      </w:r>
      <w:r>
        <w:t xml:space="preserve">juré comme « salaire brut »), sur un substrat faussé. Articuler :</w:t>
      </w:r>
      <w:r>
        <w:t xml:space="preserve"> </w:t>
      </w:r>
      <w:r>
        <w:rPr>
          <w:i/>
        </w:rPr>
        <w:t xml:space="preserve">(a)</w:t>
      </w:r>
      <w:r>
        <w:t xml:space="preserve"> </w:t>
      </w:r>
      <w:r>
        <w:t xml:space="preserve">préjudice</w:t>
      </w:r>
      <w:r>
        <w:t xml:space="preserve"> </w:t>
      </w:r>
      <w:r>
        <w:rPr>
          <w:b/>
        </w:rPr>
        <w:t xml:space="preserve">patrimonial</w:t>
      </w:r>
      <w:r>
        <w:t xml:space="preserve"> </w:t>
      </w:r>
      <w:r>
        <w:t xml:space="preserve">(pension calculée sur une réalité altérée ; saisies ; arrérages) ;</w:t>
      </w:r>
      <w:r>
        <w:t xml:space="preserve"> </w:t>
      </w:r>
      <w:r>
        <w:rPr>
          <w:i/>
        </w:rPr>
        <w:t xml:space="preserve">(b)</w:t>
      </w:r>
      <w:r>
        <w:t xml:space="preserve"> </w:t>
      </w:r>
      <w:r>
        <w:t xml:space="preserve">atteinte à la</w:t>
      </w:r>
      <w:r>
        <w:t xml:space="preserve"> </w:t>
      </w:r>
      <w:r>
        <w:rPr>
          <w:b/>
        </w:rPr>
        <w:t xml:space="preserve">réputation/dignité</w:t>
      </w:r>
      <w:r>
        <w:t xml:space="preserve"> </w:t>
      </w:r>
      <w:r>
        <w:t xml:space="preserve">(père présenté comme obstructif et sous-employé volontaire) ;</w:t>
      </w:r>
      <w:r>
        <w:t xml:space="preserve"> </w:t>
      </w:r>
      <w:r>
        <w:rPr>
          <w:i/>
        </w:rPr>
        <w:t xml:space="preserve">(c)</w:t>
      </w:r>
      <w:r>
        <w:t xml:space="preserve"> </w:t>
      </w:r>
      <w:r>
        <w:t xml:space="preserve">préjudice</w:t>
      </w:r>
      <w:r>
        <w:t xml:space="preserve"> </w:t>
      </w:r>
      <w:r>
        <w:rPr>
          <w:b/>
        </w:rPr>
        <w:t xml:space="preserve">moral</w:t>
      </w:r>
      <w:r>
        <w:t xml:space="preserve"> </w:t>
      </w:r>
      <w:r>
        <w:t xml:space="preserve">aggravé.</w:t>
      </w:r>
      <w:r>
        <w:t xml:space="preserve"> </w:t>
      </w:r>
      <w:r>
        <w:rPr>
          <w:b/>
        </w:rPr>
        <w:t xml:space="preserve">Causalité :</w:t>
      </w:r>
      <w:r>
        <w:t xml:space="preserve"> </w:t>
      </w:r>
      <w:r>
        <w:t xml:space="preserve">à</w:t>
      </w:r>
      <w:r>
        <w:t xml:space="preserve"> </w:t>
      </w:r>
      <w:r>
        <w:rPr>
          <w:b/>
        </w:rPr>
        <w:t xml:space="preserve">prouver, non présumer</w:t>
      </w:r>
      <w:r>
        <w:t xml:space="preserve"> </w:t>
      </w:r>
      <w:r>
        <w:t xml:space="preserve">— le caractère par défaut ou consensuel des jugements de 2019 ne démontre pas seul le lien ; il doit être établi.</w:t>
      </w:r>
    </w:p>
    <w:p>
      <w:pPr>
        <w:pStyle w:val="Heading2"/>
      </w:pPr>
      <w:bookmarkStart w:id="170" w:name="Xbae90be5779c53b15eb6cb22a75abb01de41d70"/>
      <w:r>
        <w:t xml:space="preserve">G. Prescription — les actes de 2019 sont</w:t>
      </w:r>
      <w:r>
        <w:t xml:space="preserve"> </w:t>
      </w:r>
      <w:r>
        <w:rPr>
          <w:i/>
        </w:rPr>
        <w:t xml:space="preserve">prima facie</w:t>
      </w:r>
      <w:r>
        <w:t xml:space="preserve"> </w:t>
      </w:r>
      <w:r>
        <w:t xml:space="preserve">prescrits</w:t>
      </w:r>
      <w:bookmarkEnd w:id="170"/>
    </w:p>
    <w:p>
      <w:pPr>
        <w:pStyle w:val="FirstParagraph"/>
      </w:pPr>
      <w:r>
        <w:t xml:space="preserve">Un délai de trois ans (art. 2925) courant depuis 2019 serait</w:t>
      </w:r>
      <w:r>
        <w:t xml:space="preserve"> </w:t>
      </w:r>
      <w:r>
        <w:rPr>
          <w:b/>
        </w:rPr>
        <w:t xml:space="preserve">expiré depuis 2022</w:t>
      </w:r>
      <w:r>
        <w:t xml:space="preserve">. Les actes de 2019 ne sont donc atteignables qu’au titre d’une</w:t>
      </w:r>
      <w:r>
        <w:t xml:space="preserve"> </w:t>
      </w:r>
      <w:r>
        <w:rPr>
          <w:b/>
        </w:rPr>
        <w:t xml:space="preserve">faute continue</w:t>
      </w:r>
      <w:r>
        <w:t xml:space="preserve"> </w:t>
      </w:r>
      <w:r>
        <w:t xml:space="preserve">(art. 2926) et par l’</w:t>
      </w:r>
      <w:r>
        <w:rPr>
          <w:b/>
        </w:rPr>
        <w:t xml:space="preserve">ancrage sur la dénonciation de 2023</w:t>
      </w:r>
      <w:r>
        <w:t xml:space="preserve">, avec dépôt</w:t>
      </w:r>
      <w:r>
        <w:t xml:space="preserve"> </w:t>
      </w:r>
      <w:r>
        <w:rPr>
          <w:b/>
        </w:rPr>
        <w:t xml:space="preserve">avant le 21 juillet 2026</w:t>
      </w:r>
      <w:r>
        <w:t xml:space="preserve"> </w:t>
      </w:r>
      <w:r>
        <w:t xml:space="preserve">(interruption, art. 2892). Caractériser en</w:t>
      </w:r>
      <w:r>
        <w:t xml:space="preserve"> </w:t>
      </w:r>
      <w:r>
        <w:rPr>
          <w:b/>
        </w:rPr>
        <w:t xml:space="preserve">abus/responsabilité</w:t>
      </w:r>
      <w:r>
        <w:t xml:space="preserve"> </w:t>
      </w:r>
      <w:r>
        <w:t xml:space="preserve">(2925), non en diffamation (2929, un an). Renvoi :</w:t>
      </w:r>
      <w:r>
        <w:t xml:space="preserve"> </w:t>
      </w:r>
      <w:r>
        <w:rPr>
          <w:rStyle w:val="VerbatimChar"/>
        </w:rPr>
        <w:t xml:space="preserve">these_prescription.md</w:t>
      </w:r>
      <w:r>
        <w:t xml:space="preserve">. La date du 21 juillet 2026 ne doit pas être traitée comme acquise sans avis juridique immédiat.</w:t>
      </w:r>
    </w:p>
    <w:p>
      <w:pPr>
        <w:pStyle w:val="Heading2"/>
      </w:pPr>
      <w:bookmarkStart w:id="171" w:name="h.-ce-qui-demeure-réservé-à-établir"/>
      <w:r>
        <w:t xml:space="preserve">H. Ce qui demeure réservé / à établir</w:t>
      </w:r>
      <w:bookmarkEnd w:id="171"/>
    </w:p>
    <w:p>
      <w:pPr>
        <w:pStyle w:val="Compact"/>
        <w:numPr>
          <w:numId w:val="1056"/>
          <w:ilvl w:val="0"/>
        </w:numPr>
      </w:pPr>
      <w:r>
        <w:rPr>
          <w:b/>
        </w:rPr>
        <w:t xml:space="preserve">Recevabilité / privilèges</w:t>
      </w:r>
      <w:r>
        <w:t xml:space="preserve"> </w:t>
      </w:r>
      <w:r>
        <w:t xml:space="preserve">: secret professionnel relatif à P-1 (contexte 2013) ; communications du défendeur avec ses avocats ; privilège relatif aux règlements pour les lettres de négociation citées au §3.</w:t>
      </w:r>
    </w:p>
    <w:p>
      <w:pPr>
        <w:pStyle w:val="Compact"/>
        <w:numPr>
          <w:numId w:val="1056"/>
          <w:ilvl w:val="0"/>
        </w:numPr>
      </w:pPr>
      <w:r>
        <w:rPr>
          <w:b/>
        </w:rPr>
        <w:t xml:space="preserve">Autorité des jugements de 2019</w:t>
      </w:r>
      <w:r>
        <w:t xml:space="preserve"> </w:t>
      </w:r>
      <w:r>
        <w:t xml:space="preserve">: déterminer si certains moyens constitueraient une</w:t>
      </w:r>
      <w:r>
        <w:t xml:space="preserve"> </w:t>
      </w:r>
      <w:r>
        <w:rPr>
          <w:b/>
        </w:rPr>
        <w:t xml:space="preserve">attaque collatérale</w:t>
      </w:r>
      <w:r>
        <w:t xml:space="preserve"> </w:t>
      </w:r>
      <w:r>
        <w:t xml:space="preserve">des jugements de 2019 (27 sept. / 4 nov.) et si une action autonome en dommages est disponible pour chaque chef.</w:t>
      </w:r>
    </w:p>
    <w:p>
      <w:pPr>
        <w:pStyle w:val="Compact"/>
        <w:numPr>
          <w:numId w:val="1056"/>
          <w:ilvl w:val="0"/>
        </w:numPr>
      </w:pPr>
      <w:r>
        <w:rPr>
          <w:b/>
        </w:rPr>
        <w:t xml:space="preserve">Immunité relative et faute professionnelle</w:t>
      </w:r>
      <w:r>
        <w:t xml:space="preserve"> </w:t>
      </w:r>
      <w:r>
        <w:t xml:space="preserve">: obtenir la jurisprudence avant de conclure qu’une preuve de mauvaise foi suffit à engager la responsabilité de la cliente ou de l’avocate.</w:t>
      </w:r>
    </w:p>
    <w:p>
      <w:pPr>
        <w:pStyle w:val="Compact"/>
        <w:numPr>
          <w:numId w:val="1056"/>
          <w:ilvl w:val="0"/>
        </w:numPr>
      </w:pPr>
      <w:r>
        <w:rPr>
          <w:b/>
        </w:rPr>
        <w:t xml:space="preserve">Textes à vérifier</w:t>
      </w:r>
      <w:r>
        <w:t xml:space="preserve"> </w:t>
      </w:r>
      <w:r>
        <w:t xml:space="preserve">: art. 51, 54, 99, 141, 446 C.p.c. ; art. 33, 585-587, 1457, 1526, 2803, 2805, 2849, 2925, 2926 C.c.Q. ; Règlement sur la fixation des pensions alimentaires pour enfants.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21">
    <w:nsid w:val="4fbe019a"/>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7">
    <w:nsid w:val="91a27d85"/>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5">
    <w:nsid w:val="615f1ed2"/>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hyperlink" Id="rId69" Target="../analyse/Responsabilit%C3%A9%20civile/courriel%2011%20juin%202013%20-%20responsabilite%20de%20Me%20Ayoub.md" TargetMode="External" /><Relationship Type="http://schemas.openxmlformats.org/officeDocument/2006/relationships/hyperlink" Id="rId148" Target="../faits/faits_par20_2019.md" TargetMode="External" /><Relationship Type="http://schemas.openxmlformats.org/officeDocument/2006/relationships/hyperlink" Id="rId26" Target="../faits/faits_par3_2019.md" TargetMode="External" /><Relationship Type="http://schemas.openxmlformats.org/officeDocument/2006/relationships/hyperlink" Id="rId130" Target="../faits_par14-15_2019.md" TargetMode="External" /><Relationship Type="http://schemas.openxmlformats.org/officeDocument/2006/relationships/hyperlink" Id="rId88" Target="../faits_par6-3_2019.md" TargetMode="External" /><Relationship Type="http://schemas.openxmlformats.org/officeDocument/2006/relationships/hyperlink" Id="rId105" Target="../faits_par6-6-7_2019.md" TargetMode="External" /><Relationship Type="http://schemas.openxmlformats.org/officeDocument/2006/relationships/hyperlink" Id="rId117" Target="../faits_par7_2019.md" TargetMode="External" /><Relationship Type="http://schemas.openxmlformats.org/officeDocument/2006/relationships/hyperlink" Id="rId135" Target="../piece_avis_cotisation_pere_2018.md" TargetMode="External" /><Relationship Type="http://schemas.openxmlformats.org/officeDocument/2006/relationships/hyperlink" Id="rId137" Target="../piece_avis_cotisation_pere_2019.md" TargetMode="External" /><Relationship Type="http://schemas.openxmlformats.org/officeDocument/2006/relationships/hyperlink" Id="rId54" Target="../piece_document-1.md" TargetMode="External" /><Relationship Type="http://schemas.openxmlformats.org/officeDocument/2006/relationships/hyperlink" Id="rId65" Target="../piece_document-3.md" TargetMode="External" /><Relationship Type="http://schemas.openxmlformats.org/officeDocument/2006/relationships/hyperlink" Id="rId52" Target="../piece_pdf-1.md" TargetMode="External" /><Relationship Type="http://schemas.openxmlformats.org/officeDocument/2006/relationships/hyperlink" Id="rId139" Target="../piece_pdf-12.md" TargetMode="External" /><Relationship Type="http://schemas.openxmlformats.org/officeDocument/2006/relationships/hyperlink" Id="rId138" Target="../piece_pdf-13.md" TargetMode="External" /><Relationship Type="http://schemas.openxmlformats.org/officeDocument/2006/relationships/hyperlink" Id="rId64" Target="../piece_pdf-14.md" TargetMode="External" /><Relationship Type="http://schemas.openxmlformats.org/officeDocument/2006/relationships/hyperlink" Id="rId98" Target="../piece_pdf-15.md" TargetMode="External" /><Relationship Type="http://schemas.openxmlformats.org/officeDocument/2006/relationships/hyperlink" Id="rId104" Target="../piece_pdf-16.md" TargetMode="External" /><Relationship Type="http://schemas.openxmlformats.org/officeDocument/2006/relationships/hyperlink" Id="rId57" Target="../piece_pdf-2.md" TargetMode="External" /><Relationship Type="http://schemas.openxmlformats.org/officeDocument/2006/relationships/hyperlink" Id="rId58" Target="../piece_pdf-3.md" TargetMode="External" /><Relationship Type="http://schemas.openxmlformats.org/officeDocument/2006/relationships/hyperlink" Id="rId60" Target="../piece_pdf-5.md" TargetMode="External" /><Relationship Type="http://schemas.openxmlformats.org/officeDocument/2006/relationships/hyperlink" Id="rId61" Target="../piece_pdf-6.md" TargetMode="External" /><Relationship Type="http://schemas.openxmlformats.org/officeDocument/2006/relationships/hyperlink" Id="rId154" Target="../piece_pdf-81.md" TargetMode="External" /><Relationship Type="http://schemas.openxmlformats.org/officeDocument/2006/relationships/hyperlink" Id="rId59" Target="../piece_thread-100_email-399.md" TargetMode="External" /><Relationship Type="http://schemas.openxmlformats.org/officeDocument/2006/relationships/hyperlink" Id="rId136" Target="../piece_thread-111_congediement_bnc.md" TargetMode="External" /><Relationship Type="http://schemas.openxmlformats.org/officeDocument/2006/relationships/hyperlink" Id="rId46" Target="../piece_thread-116_email-475.md" TargetMode="External" /><Relationship Type="http://schemas.openxmlformats.org/officeDocument/2006/relationships/hyperlink" Id="rId153" Target="../piece_thread-119_email-484.md" TargetMode="External" /><Relationship Type="http://schemas.openxmlformats.org/officeDocument/2006/relationships/hyperlink" Id="rId122" Target="../piece_thread-120_email-485.md" TargetMode="External" /><Relationship Type="http://schemas.openxmlformats.org/officeDocument/2006/relationships/hyperlink" Id="rId94" Target="../piece_thread-121_email-486.md" TargetMode="External" /><Relationship Type="http://schemas.openxmlformats.org/officeDocument/2006/relationships/hyperlink" Id="rId93" Target="../piece_thread-5_email-5.md" TargetMode="External" /><Relationship Type="http://schemas.openxmlformats.org/officeDocument/2006/relationships/hyperlink" Id="rId45" Target="../piece_thread-89_email-365.md" TargetMode="External" /><Relationship Type="http://schemas.openxmlformats.org/officeDocument/2006/relationships/hyperlink" Id="rId23" Target="../synthese_abus_diffamation_requete2015.md" TargetMode="External" /><Relationship Type="http://schemas.openxmlformats.org/officeDocument/2006/relationships/hyperlink" Id="rId27" Target="../these_2019_saisine_amiable.md" TargetMode="External" /><Relationship Type="http://schemas.openxmlformats.org/officeDocument/2006/relationships/hyperlink" Id="rId24" Target="../these_patron_abstrait.md" TargetMode="External" /><Relationship Type="http://schemas.openxmlformats.org/officeDocument/2006/relationships/hyperlink" Id="rId141" Target="../these_revenu_mere_verifiabilite.md" TargetMode="External" /><Relationship Type="http://schemas.openxmlformats.org/officeDocument/2006/relationships/hyperlink" Id="rId165" Target="pont/pont_par3_2019.md" TargetMode="External" /><Relationship Type="http://schemas.openxmlformats.org/officeDocument/2006/relationships/hyperlink" Id="rId32" Target="pont_par14-17_2015.md" TargetMode="External" /><Relationship Type="http://schemas.openxmlformats.org/officeDocument/2006/relationships/hyperlink" Id="rId33" Target="pont_par18_2015.md" TargetMode="External" /><Relationship Type="http://schemas.openxmlformats.org/officeDocument/2006/relationships/hyperlink" Id="rId55" Target="pont_par20-21_2015.md" TargetMode="External" /><Relationship Type="http://schemas.openxmlformats.org/officeDocument/2006/relationships/hyperlink" Id="rId34" Target="pont_par30-31_2015.md" TargetMode="External" /><Relationship Type="http://schemas.openxmlformats.org/officeDocument/2006/relationships/hyperlink" Id="rId29" Target="pont_par4-5-6_2015.md" TargetMode="External" /><Relationship Type="http://schemas.openxmlformats.org/officeDocument/2006/relationships/hyperlink" Id="rId35" Target="pont_par56-57_2015.md" TargetMode="External" /><Relationship Type="http://schemas.openxmlformats.org/officeDocument/2006/relationships/hyperlink" Id="rId30" Target="pont_par7_2015.md" TargetMode="External" /><Relationship Type="http://schemas.openxmlformats.org/officeDocument/2006/relationships/hyperlink" Id="rId31" Target="pont_par9_2015.md" TargetMode="External" /><Relationship Type="http://schemas.openxmlformats.org/officeDocument/2006/relationships/hyperlink" Id="rId21" Target="ponts_requete_2015_consolides.md" TargetMode="External" /></Relationships>
</file>

<file path=word/_rels/footnotes.xml.rels><?xml version="1.0" encoding="UTF-8"?>
<Relationships xmlns="http://schemas.openxmlformats.org/package/2006/relationships"><Relationship Type="http://schemas.openxmlformats.org/officeDocument/2006/relationships/hyperlink" Id="rId69" Target="../analyse/Responsabilit%C3%A9%20civile/courriel%2011%20juin%202013%20-%20responsabilite%20de%20Me%20Ayoub.md" TargetMode="External" /><Relationship Type="http://schemas.openxmlformats.org/officeDocument/2006/relationships/hyperlink" Id="rId148" Target="../faits/faits_par20_2019.md" TargetMode="External" /><Relationship Type="http://schemas.openxmlformats.org/officeDocument/2006/relationships/hyperlink" Id="rId26" Target="../faits/faits_par3_2019.md" TargetMode="External" /><Relationship Type="http://schemas.openxmlformats.org/officeDocument/2006/relationships/hyperlink" Id="rId130" Target="../faits_par14-15_2019.md" TargetMode="External" /><Relationship Type="http://schemas.openxmlformats.org/officeDocument/2006/relationships/hyperlink" Id="rId88" Target="../faits_par6-3_2019.md" TargetMode="External" /><Relationship Type="http://schemas.openxmlformats.org/officeDocument/2006/relationships/hyperlink" Id="rId105" Target="../faits_par6-6-7_2019.md" TargetMode="External" /><Relationship Type="http://schemas.openxmlformats.org/officeDocument/2006/relationships/hyperlink" Id="rId117" Target="../faits_par7_2019.md" TargetMode="External" /><Relationship Type="http://schemas.openxmlformats.org/officeDocument/2006/relationships/hyperlink" Id="rId135" Target="../piece_avis_cotisation_pere_2018.md" TargetMode="External" /><Relationship Type="http://schemas.openxmlformats.org/officeDocument/2006/relationships/hyperlink" Id="rId137" Target="../piece_avis_cotisation_pere_2019.md" TargetMode="External" /><Relationship Type="http://schemas.openxmlformats.org/officeDocument/2006/relationships/hyperlink" Id="rId54" Target="../piece_document-1.md" TargetMode="External" /><Relationship Type="http://schemas.openxmlformats.org/officeDocument/2006/relationships/hyperlink" Id="rId65" Target="../piece_document-3.md" TargetMode="External" /><Relationship Type="http://schemas.openxmlformats.org/officeDocument/2006/relationships/hyperlink" Id="rId52" Target="../piece_pdf-1.md" TargetMode="External" /><Relationship Type="http://schemas.openxmlformats.org/officeDocument/2006/relationships/hyperlink" Id="rId139" Target="../piece_pdf-12.md" TargetMode="External" /><Relationship Type="http://schemas.openxmlformats.org/officeDocument/2006/relationships/hyperlink" Id="rId138" Target="../piece_pdf-13.md" TargetMode="External" /><Relationship Type="http://schemas.openxmlformats.org/officeDocument/2006/relationships/hyperlink" Id="rId64" Target="../piece_pdf-14.md" TargetMode="External" /><Relationship Type="http://schemas.openxmlformats.org/officeDocument/2006/relationships/hyperlink" Id="rId98" Target="../piece_pdf-15.md" TargetMode="External" /><Relationship Type="http://schemas.openxmlformats.org/officeDocument/2006/relationships/hyperlink" Id="rId104" Target="../piece_pdf-16.md" TargetMode="External" /><Relationship Type="http://schemas.openxmlformats.org/officeDocument/2006/relationships/hyperlink" Id="rId57" Target="../piece_pdf-2.md" TargetMode="External" /><Relationship Type="http://schemas.openxmlformats.org/officeDocument/2006/relationships/hyperlink" Id="rId58" Target="../piece_pdf-3.md" TargetMode="External" /><Relationship Type="http://schemas.openxmlformats.org/officeDocument/2006/relationships/hyperlink" Id="rId60" Target="../piece_pdf-5.md" TargetMode="External" /><Relationship Type="http://schemas.openxmlformats.org/officeDocument/2006/relationships/hyperlink" Id="rId61" Target="../piece_pdf-6.md" TargetMode="External" /><Relationship Type="http://schemas.openxmlformats.org/officeDocument/2006/relationships/hyperlink" Id="rId154" Target="../piece_pdf-81.md" TargetMode="External" /><Relationship Type="http://schemas.openxmlformats.org/officeDocument/2006/relationships/hyperlink" Id="rId59" Target="../piece_thread-100_email-399.md" TargetMode="External" /><Relationship Type="http://schemas.openxmlformats.org/officeDocument/2006/relationships/hyperlink" Id="rId136" Target="../piece_thread-111_congediement_bnc.md" TargetMode="External" /><Relationship Type="http://schemas.openxmlformats.org/officeDocument/2006/relationships/hyperlink" Id="rId46" Target="../piece_thread-116_email-475.md" TargetMode="External" /><Relationship Type="http://schemas.openxmlformats.org/officeDocument/2006/relationships/hyperlink" Id="rId153" Target="../piece_thread-119_email-484.md" TargetMode="External" /><Relationship Type="http://schemas.openxmlformats.org/officeDocument/2006/relationships/hyperlink" Id="rId122" Target="../piece_thread-120_email-485.md" TargetMode="External" /><Relationship Type="http://schemas.openxmlformats.org/officeDocument/2006/relationships/hyperlink" Id="rId94" Target="../piece_thread-121_email-486.md" TargetMode="External" /><Relationship Type="http://schemas.openxmlformats.org/officeDocument/2006/relationships/hyperlink" Id="rId93" Target="../piece_thread-5_email-5.md" TargetMode="External" /><Relationship Type="http://schemas.openxmlformats.org/officeDocument/2006/relationships/hyperlink" Id="rId45" Target="../piece_thread-89_email-365.md" TargetMode="External" /><Relationship Type="http://schemas.openxmlformats.org/officeDocument/2006/relationships/hyperlink" Id="rId23" Target="../synthese_abus_diffamation_requete2015.md" TargetMode="External" /><Relationship Type="http://schemas.openxmlformats.org/officeDocument/2006/relationships/hyperlink" Id="rId27" Target="../these_2019_saisine_amiable.md" TargetMode="External" /><Relationship Type="http://schemas.openxmlformats.org/officeDocument/2006/relationships/hyperlink" Id="rId24" Target="../these_patron_abstrait.md" TargetMode="External" /><Relationship Type="http://schemas.openxmlformats.org/officeDocument/2006/relationships/hyperlink" Id="rId141" Target="../these_revenu_mere_verifiabilite.md" TargetMode="External" /><Relationship Type="http://schemas.openxmlformats.org/officeDocument/2006/relationships/hyperlink" Id="rId165" Target="pont/pont_par3_2019.md" TargetMode="External" /><Relationship Type="http://schemas.openxmlformats.org/officeDocument/2006/relationships/hyperlink" Id="rId32" Target="pont_par14-17_2015.md" TargetMode="External" /><Relationship Type="http://schemas.openxmlformats.org/officeDocument/2006/relationships/hyperlink" Id="rId33" Target="pont_par18_2015.md" TargetMode="External" /><Relationship Type="http://schemas.openxmlformats.org/officeDocument/2006/relationships/hyperlink" Id="rId55" Target="pont_par20-21_2015.md" TargetMode="External" /><Relationship Type="http://schemas.openxmlformats.org/officeDocument/2006/relationships/hyperlink" Id="rId34" Target="pont_par30-31_2015.md" TargetMode="External" /><Relationship Type="http://schemas.openxmlformats.org/officeDocument/2006/relationships/hyperlink" Id="rId29" Target="pont_par4-5-6_2015.md" TargetMode="External" /><Relationship Type="http://schemas.openxmlformats.org/officeDocument/2006/relationships/hyperlink" Id="rId35" Target="pont_par56-57_2015.md" TargetMode="External" /><Relationship Type="http://schemas.openxmlformats.org/officeDocument/2006/relationships/hyperlink" Id="rId30" Target="pont_par7_2015.md" TargetMode="External" /><Relationship Type="http://schemas.openxmlformats.org/officeDocument/2006/relationships/hyperlink" Id="rId31" Target="pont_par9_2015.md" TargetMode="External" /><Relationship Type="http://schemas.openxmlformats.org/officeDocument/2006/relationships/hyperlink" Id="rId21" Target="ponts_requete_2015_consoli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2026-07-11T20:58:06Z</dcterms:created>
  <dcterms:modified xsi:type="dcterms:W3CDTF">2026-07-11T20:58:06Z</dcterms:modified>
</cp:coreProperties>
</file>

<file path=docProps/custom.xml><?xml version="1.0" encoding="utf-8"?>
<Properties xmlns="http://schemas.openxmlformats.org/officeDocument/2006/custom-properties" xmlns:vt="http://schemas.openxmlformats.org/officeDocument/2006/docPropsVTypes"/>
</file>