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9475ffdc974b9a644ee450e03910fac98aabdc"/>
      <w:r>
        <w:t xml:space="preserve">PONTS CONSOLIDÉS — Dénonciation d’un moyen déclinatoire (21 juillet 2023)</w:t>
      </w:r>
      <w:bookmarkEnd w:id="20"/>
    </w:p>
    <w:p>
      <w:pPr>
        <w:pStyle w:val="BlockText"/>
      </w:pPr>
      <w:r>
        <w:rPr>
          <w:b/>
        </w:rPr>
        <w:t xml:space="preserve">Fichier généré par concaténation.</w:t>
      </w:r>
      <w:r>
        <w:t xml:space="preserve"> </w:t>
      </w:r>
      <w:r>
        <w:t xml:space="preserve">Troisième volet, avec</w:t>
      </w:r>
      <w:r>
        <w:t xml:space="preserve"> </w:t>
      </w:r>
      <w:hyperlink r:id="rId21">
        <w:r>
          <w:rPr>
            <w:rStyle w:val="Hyperlink"/>
          </w:rPr>
          <w:t xml:space="preserve">ponts_requete_2015_consolides.md</w:t>
        </w:r>
      </w:hyperlink>
      <w:r>
        <w:t xml:space="preserve"> </w:t>
      </w:r>
      <w:r>
        <w:t xml:space="preserve">et</w:t>
      </w:r>
      <w:r>
        <w:t xml:space="preserve"> </w:t>
      </w:r>
      <w:hyperlink r:id="rId22">
        <w:r>
          <w:rPr>
            <w:rStyle w:val="Hyperlink"/>
          </w:rPr>
          <w:t xml:space="preserve">ponts_requete_2019_consolides.md</w:t>
        </w:r>
      </w:hyperlink>
      <w:r>
        <w:t xml:space="preserve">. La dénonciation de 2023 (doc-2) ne contient qu’un cluster contesté :</w:t>
      </w:r>
      <w:r>
        <w:t xml:space="preserve"> </w:t>
      </w:r>
      <w:r>
        <w:rPr>
          <w:b/>
        </w:rPr>
        <w:t xml:space="preserve">§7-8</w:t>
      </w:r>
      <w:r>
        <w:t xml:space="preserve"> </w:t>
      </w:r>
      <w:r>
        <w:t xml:space="preserve">(le §6 y est un aveu incorporé au pont).</w:t>
      </w:r>
      <w:r>
        <w:t xml:space="preserve"> </w:t>
      </w:r>
      <w:r>
        <w:rPr>
          <w:b/>
        </w:rPr>
        <w:t xml:space="preserve">Ne pas éditer ici</w:t>
      </w:r>
      <w:r>
        <w:t xml:space="preserve"> </w:t>
      </w:r>
      <w:r>
        <w:t xml:space="preserve">— la section de pont est copiée de</w:t>
      </w:r>
      <w:r>
        <w:t xml:space="preserve"> </w:t>
      </w:r>
      <w:r>
        <w:rPr>
          <w:rStyle w:val="VerbatimChar"/>
        </w:rPr>
        <w:t xml:space="preserve">legal/pont/pont_par7-8_2023.md</w:t>
      </w:r>
      <w:r>
        <w:t xml:space="preserve"> </w:t>
      </w:r>
      <w:r>
        <w:t xml:space="preserve">; modifier le source, puis régénérer.</w:t>
      </w:r>
    </w:p>
    <w:p>
      <w:pPr>
        <w:pStyle w:val="BlockText"/>
      </w:pPr>
      <w:r>
        <w:rPr>
          <w:b/>
        </w:rPr>
        <w:t xml:space="preserve">Autorat (dénonciation 2023) :</w:t>
      </w:r>
      <w:r>
        <w:t xml:space="preserve"> </w:t>
      </w:r>
      <w:r>
        <w:t xml:space="preserve">Me Marie-Josée Ayoub</w:t>
      </w:r>
      <w:r>
        <w:t xml:space="preserve"> </w:t>
      </w:r>
      <w:r>
        <w:rPr>
          <w:b/>
        </w:rPr>
        <w:t xml:space="preserve">rédige</w:t>
      </w:r>
      <w:r>
        <w:t xml:space="preserve"> </w:t>
      </w:r>
      <w:r>
        <w:t xml:space="preserve">(son propre écrit — à la différence de la Requête de 2015, Ferreira) ; Élise Marie Ayoub</w:t>
      </w:r>
      <w:r>
        <w:t xml:space="preserve"> </w:t>
      </w:r>
      <w:r>
        <w:rPr>
          <w:b/>
        </w:rPr>
        <w:t xml:space="preserve">jure</w:t>
      </w:r>
      <w:r>
        <w:t xml:space="preserve"> </w:t>
      </w:r>
      <w:r>
        <w:t xml:space="preserve">(art. 106 C.p.c.).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Clé de voûte du recours.</w:t>
      </w:r>
      <w:r>
        <w:t xml:space="preserve"> </w:t>
      </w:r>
      <w:r>
        <w:t xml:space="preserve">L’acte du 21 juillet 2023 porte trois piliers :</w:t>
      </w:r>
      <w:r>
        <w:t xml:space="preserve"> </w:t>
      </w:r>
      <w:r>
        <w:rPr>
          <w:i/>
        </w:rPr>
        <w:t xml:space="preserve">(1)</w:t>
      </w:r>
      <w:r>
        <w:t xml:space="preserve"> </w:t>
      </w:r>
      <w:r>
        <w:rPr>
          <w:b/>
        </w:rPr>
        <w:t xml:space="preserve">diffamation</w:t>
      </w:r>
      <w:r>
        <w:t xml:space="preserve"> </w:t>
      </w:r>
      <w:r>
        <w:t xml:space="preserve">(cause d’action) ;</w:t>
      </w:r>
      <w:r>
        <w:t xml:space="preserve"> </w:t>
      </w:r>
      <w:r>
        <w:rPr>
          <w:i/>
        </w:rPr>
        <w:t xml:space="preserve">(2)</w:t>
      </w:r>
      <w:r>
        <w:t xml:space="preserve"> </w:t>
      </w:r>
      <w:r>
        <w:rPr>
          <w:b/>
        </w:rPr>
        <w:t xml:space="preserve">ancre de prescription</w:t>
      </w:r>
      <w:r>
        <w:t xml:space="preserve"> </w:t>
      </w:r>
      <w:r>
        <w:t xml:space="preserve">(fait générateur dans la fenêtre de 3 ans) ;</w:t>
      </w:r>
      <w:r>
        <w:t xml:space="preserve"> </w:t>
      </w:r>
      <w:r>
        <w:rPr>
          <w:i/>
        </w:rPr>
        <w:t xml:space="preserve">(3)</w:t>
      </w:r>
      <w:r>
        <w:t xml:space="preserve"> </w:t>
      </w:r>
      <w:r>
        <w:rPr>
          <w:b/>
        </w:rPr>
        <w:t xml:space="preserve">solidarité</w:t>
      </w:r>
      <w:r>
        <w:t xml:space="preserve"> </w:t>
      </w:r>
      <w:r>
        <w:t xml:space="preserve">(atteint les deux défenderesses sans dépendre de P-1).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Exception :</w:t>
      </w:r>
      <w:r>
        <w:t xml:space="preserve"> </w:t>
      </w:r>
      <w:r>
        <w:t xml:space="preserve">une section auteure —</w:t>
      </w:r>
      <w:r>
        <w:t xml:space="preserve"> </w:t>
      </w:r>
      <w:r>
        <w:rPr>
          <w:rStyle w:val="VerbatimChar"/>
        </w:rPr>
        <w:t xml:space="preserve">MOYENS DE DROIT — volet 2023</w:t>
      </w:r>
      <w:r>
        <w:t xml:space="preserve"> </w:t>
      </w:r>
      <w:r>
        <w:t xml:space="preserve">— est ajoutée</w:t>
      </w:r>
      <w:r>
        <w:t xml:space="preserve"> </w:t>
      </w:r>
      <w:r>
        <w:rPr>
          <w:b/>
        </w:rPr>
        <w:t xml:space="preserve">à la fin</w:t>
      </w:r>
      <w:r>
        <w:t xml:space="preserve"> </w:t>
      </w:r>
      <w:r>
        <w:t xml:space="preserve">du fichier (balises</w:t>
      </w:r>
      <w:r>
        <w:t xml:space="preserve"> </w:t>
      </w:r>
      <w:r>
        <w:rPr>
          <w:rStyle w:val="VerbatimChar"/>
        </w:rPr>
        <w:t xml:space="preserve">SECTION RÉDIGÉE (NON CONCATÉNÉE)</w:t>
      </w:r>
      <w:r>
        <w:t xml:space="preserve">). Elle n’est copiée d’aucun source ;</w:t>
      </w:r>
      <w:r>
        <w:t xml:space="preserve"> </w:t>
      </w:r>
      <w:r>
        <w:rPr>
          <w:b/>
        </w:rPr>
        <w:t xml:space="preserve">la préserver</w:t>
      </w:r>
      <w:r>
        <w:t xml:space="preserve"> </w:t>
      </w:r>
      <w:r>
        <w:t xml:space="preserve">en cas de régénération.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31a670f0a067ae811adfc871896f88a21ef7f2a"/>
      <w:r>
        <w:t xml:space="preserve">Pont — §7 et §8 de la Dénonciation d’un moyen déclinatoire (21 juillet 2023)</w:t>
      </w:r>
      <w:bookmarkEnd w:id="23"/>
    </w:p>
    <w:p>
      <w:pPr>
        <w:pStyle w:val="BlockText"/>
      </w:pPr>
      <w:r>
        <w:rPr>
          <w:b/>
        </w:rPr>
        <w:t xml:space="preserve">Statut particulier — clé de voûte.</w:t>
      </w:r>
      <w:r>
        <w:t xml:space="preserve"> </w:t>
      </w:r>
      <w:r>
        <w:t xml:space="preserve">Ce pont ne réfute pas seulement une allégation : il porte</w:t>
      </w:r>
      <w:r>
        <w:t xml:space="preserve"> </w:t>
      </w:r>
      <w:r>
        <w:rPr>
          <w:b/>
        </w:rPr>
        <w:t xml:space="preserve">trois piliers porteurs de tout le recours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(1)</w:t>
      </w:r>
      <w:r>
        <w:t xml:space="preserve"> </w:t>
      </w:r>
      <w:r>
        <w:t xml:space="preserve">la</w:t>
      </w:r>
      <w:r>
        <w:t xml:space="preserve"> </w:t>
      </w:r>
      <w:r>
        <w:rPr>
          <w:b/>
        </w:rPr>
        <w:t xml:space="preserve">diffamation</w:t>
      </w:r>
      <w:r>
        <w:t xml:space="preserve"> </w:t>
      </w:r>
      <w:r>
        <w:t xml:space="preserve">(cause d’action) ;</w:t>
      </w:r>
      <w:r>
        <w:t xml:space="preserve"> </w:t>
      </w:r>
      <w:r>
        <w:rPr>
          <w:i/>
        </w:rPr>
        <w:t xml:space="preserve">(2)</w:t>
      </w:r>
      <w:r>
        <w:t xml:space="preserve"> </w:t>
      </w:r>
      <w:r>
        <w:t xml:space="preserve">l’</w:t>
      </w:r>
      <w:r>
        <w:rPr>
          <w:b/>
        </w:rPr>
        <w:t xml:space="preserve">ancre de prescription</w:t>
      </w:r>
      <w:r>
        <w:t xml:space="preserve"> </w:t>
      </w:r>
      <w:r>
        <w:t xml:space="preserve">(acte assermenté du 21 juillet 2023, dans la fenêtre de 3 ans) ;</w:t>
      </w:r>
      <w:r>
        <w:t xml:space="preserve"> </w:t>
      </w:r>
      <w:r>
        <w:rPr>
          <w:i/>
        </w:rPr>
        <w:t xml:space="preserve">(3)</w:t>
      </w:r>
      <w:r>
        <w:t xml:space="preserve"> </w:t>
      </w:r>
      <w:r>
        <w:t xml:space="preserve">la</w:t>
      </w:r>
      <w:r>
        <w:t xml:space="preserve"> </w:t>
      </w:r>
      <w:r>
        <w:rPr>
          <w:b/>
        </w:rPr>
        <w:t xml:space="preserve">solidarité</w:t>
      </w:r>
      <w:r>
        <w:t xml:space="preserve"> </w:t>
      </w:r>
      <w:r>
        <w:t xml:space="preserve">(l’acte atteint</w:t>
      </w:r>
      <w:r>
        <w:t xml:space="preserve"> </w:t>
      </w:r>
      <w:r>
        <w:rPr>
          <w:b/>
        </w:rPr>
        <w:t xml:space="preserve">les deux</w:t>
      </w:r>
      <w:r>
        <w:t xml:space="preserve"> </w:t>
      </w:r>
      <w:r>
        <w:t xml:space="preserve">défenderesses sans dépendre de P-1). Voir §§ 6-8 ci-dessous.</w:t>
      </w:r>
    </w:p>
    <w:p>
      <w:pPr>
        <w:pStyle w:val="Heading2"/>
      </w:pPr>
      <w:bookmarkStart w:id="24" w:name="allégations-visées"/>
      <w:r>
        <w:t xml:space="preserve">1. Allégations visées</w:t>
      </w:r>
      <w:bookmarkEnd w:id="24"/>
    </w:p>
    <w:p>
      <w:pPr>
        <w:pStyle w:val="BlockText"/>
      </w:pPr>
      <w:r>
        <w:rPr>
          <w:b/>
        </w:rPr>
        <w:t xml:space="preserve">§7</w:t>
      </w:r>
      <w:r>
        <w:t xml:space="preserve"> </w:t>
      </w:r>
      <w:r>
        <w:t xml:space="preserve">— « Lors de l’audition du 4 novembre 2019, il a été mis en preuve qu’une liste de plus de quatre cents offres d’emploi étaient disponibles pour des candidats ayant le profil académique et professionnel du demandeur. »</w:t>
      </w:r>
    </w:p>
    <w:p>
      <w:pPr>
        <w:pStyle w:val="BlockText"/>
      </w:pPr>
      <w:r>
        <w:rPr>
          <w:b/>
        </w:rPr>
        <w:t xml:space="preserve">§8</w:t>
      </w:r>
      <w:r>
        <w:t xml:space="preserve"> </w:t>
      </w:r>
      <w:r>
        <w:t xml:space="preserve">— « Le demandeur a fait le choix de ne pas travailler pour subvenir aux besoins de ses enfants. »</w:t>
      </w:r>
    </w:p>
    <w:p>
      <w:pPr>
        <w:pStyle w:val="FirstParagraph"/>
      </w:pPr>
      <w:r>
        <w:t xml:space="preserve">Source :</w:t>
      </w:r>
      <w:r>
        <w:t xml:space="preserve"> </w:t>
      </w:r>
      <w:hyperlink r:id="rId25">
        <w:r>
          <w:rPr>
            <w:rStyle w:val="Hyperlink"/>
          </w:rPr>
          <w:t xml:space="preserve">piece_denonciation_declinatoire_2023.md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document_manager.Document</w:t>
      </w:r>
      <w:r>
        <w:t xml:space="preserve"> </w:t>
      </w:r>
      <w:r>
        <w:t xml:space="preserve">id=2). Faits bruts :</w:t>
      </w:r>
      <w:r>
        <w:t xml:space="preserve"> </w:t>
      </w:r>
      <w:hyperlink r:id="rId26">
        <w:r>
          <w:rPr>
            <w:rStyle w:val="Hyperlink"/>
          </w:rPr>
          <w:t xml:space="preserve">faits_par7-8_2023.md</w:t>
        </w:r>
      </w:hyperlink>
      <w:r>
        <w:t xml:space="preserve"> </w:t>
      </w:r>
      <w:r>
        <w:t xml:space="preserve">(§195-241). Rédigée par</w:t>
      </w:r>
      <w:r>
        <w:t xml:space="preserve"> </w:t>
      </w:r>
      <w:r>
        <w:rPr>
          <w:b/>
        </w:rPr>
        <w:t xml:space="preserve">Me Marie-Josée Ayoub</w:t>
      </w:r>
      <w:r>
        <w:t xml:space="preserve">, jurée par</w:t>
      </w:r>
      <w:r>
        <w:t xml:space="preserve"> </w:t>
      </w:r>
      <w:r>
        <w:rPr>
          <w:b/>
        </w:rPr>
        <w:t xml:space="preserve">Élise Marie Ayoub</w:t>
      </w:r>
      <w:r>
        <w:t xml:space="preserve"> </w:t>
      </w:r>
      <w:r>
        <w:t xml:space="preserve">(serment art. 106 C.p.c.).</w:t>
      </w:r>
    </w:p>
    <w:p>
      <w:pPr>
        <w:pStyle w:val="Heading2"/>
      </w:pPr>
      <w:bookmarkStart w:id="27" w:name="Xc4478b25163294d50d07b552a44c69a15507d07"/>
      <w:r>
        <w:t xml:space="preserve">2. Objectif de démonstration — l’ordre de la démonstration</w:t>
      </w:r>
      <w:bookmarkEnd w:id="27"/>
    </w:p>
    <w:p>
      <w:pPr>
        <w:pStyle w:val="FirstParagraph"/>
      </w:pPr>
      <w:r>
        <w:rPr>
          <w:b/>
        </w:rPr>
        <w:t xml:space="preserve">Le concept légal (à poser en premier).</w:t>
      </w:r>
      <w:r>
        <w:t xml:space="preserve"> </w:t>
      </w:r>
      <w:r>
        <w:t xml:space="preserve">Un allégué inséré dans un acte de procédure n’est légitime — et couvert par l’</w:t>
      </w:r>
      <w:r>
        <w:rPr>
          <w:b/>
        </w:rPr>
        <w:t xml:space="preserve">immunité relative</w:t>
      </w:r>
      <w:r>
        <w:t xml:space="preserve"> </w:t>
      </w:r>
      <w:r>
        <w:t xml:space="preserve">des propos judiciaires — que s’il est</w:t>
      </w:r>
      <w:r>
        <w:t xml:space="preserve"> </w:t>
      </w:r>
      <w:r>
        <w:rPr>
          <w:b/>
        </w:rPr>
        <w:t xml:space="preserve">pertinent</w:t>
      </w:r>
      <w:r>
        <w:t xml:space="preserve"> </w:t>
      </w:r>
      <w:r>
        <w:t xml:space="preserve">au litige et fait de</w:t>
      </w:r>
      <w:r>
        <w:t xml:space="preserve"> </w:t>
      </w:r>
      <w:r>
        <w:rPr>
          <w:b/>
        </w:rPr>
        <w:t xml:space="preserve">bonne foi</w:t>
      </w:r>
      <w:r>
        <w:t xml:space="preserve">. À défaut, il constitue une</w:t>
      </w:r>
      <w:r>
        <w:t xml:space="preserve"> </w:t>
      </w:r>
      <w:r>
        <w:rPr>
          <w:b/>
        </w:rPr>
        <w:t xml:space="preserve">diffamation</w:t>
      </w:r>
      <w:r>
        <w:t xml:space="preserve"> </w:t>
      </w:r>
      <w:r>
        <w:t xml:space="preserve">(art. 1457 C.c.Q. ; art. 4 et 35 Charte québécoise) et un</w:t>
      </w:r>
      <w:r>
        <w:t xml:space="preserve"> </w:t>
      </w:r>
      <w:r>
        <w:rPr>
          <w:b/>
        </w:rPr>
        <w:t xml:space="preserve">abus de procédure</w:t>
      </w:r>
      <w:r>
        <w:t xml:space="preserve"> </w:t>
      </w:r>
      <w:r>
        <w:t xml:space="preserve">(art. 51-56 C.p.c.), l’immunité tombant pour non-pertinence et mauvaise foi. La démonstration se fait</w:t>
      </w:r>
      <w:r>
        <w:t xml:space="preserve"> </w:t>
      </w:r>
      <w:r>
        <w:rPr>
          <w:b/>
        </w:rPr>
        <w:t xml:space="preserve">dans cet ordre</w:t>
      </w:r>
      <w:r>
        <w:t xml:space="preserve"> </w:t>
      </w:r>
      <w:r>
        <w:t xml:space="preserve">:</w:t>
      </w:r>
    </w:p>
    <w:p>
      <w:pPr>
        <w:pStyle w:val="BodyText"/>
      </w:pPr>
      <w:r>
        <w:rPr>
          <w:b/>
        </w:rPr>
        <w:t xml:space="preserve">1er temps — la spécification est inutile, et son inutilité révèle une caractérisation émotive destinée à aggraver les répercussions.</w:t>
      </w:r>
      <w:r>
        <w:t xml:space="preserve"> </w:t>
      </w:r>
      <w:r>
        <w:t xml:space="preserve">Les §7-§8 ne servent</w:t>
      </w:r>
      <w:r>
        <w:t xml:space="preserve"> </w:t>
      </w:r>
      <w:r>
        <w:rPr>
          <w:b/>
        </w:rPr>
        <w:t xml:space="preserve">en rien</w:t>
      </w:r>
      <w:r>
        <w:t xml:space="preserve"> </w:t>
      </w:r>
      <w:r>
        <w:t xml:space="preserve">le moyen déclinatoire, tranché sur le seul domicile (§9-§11) —</w:t>
      </w:r>
      <w:r>
        <w:t xml:space="preserve"> </w:t>
      </w:r>
      <w:r>
        <w:rPr>
          <w:i/>
        </w:rPr>
        <w:t xml:space="preserve">acquis</w:t>
      </w:r>
      <w:r>
        <w:t xml:space="preserve">. Or un allégué</w:t>
      </w:r>
      <w:r>
        <w:t xml:space="preserve"> </w:t>
      </w:r>
      <w:r>
        <w:rPr>
          <w:b/>
        </w:rPr>
        <w:t xml:space="preserve">juré</w:t>
      </w:r>
      <w:r>
        <w:t xml:space="preserve"> </w:t>
      </w:r>
      <w:r>
        <w:t xml:space="preserve">mais</w:t>
      </w:r>
      <w:r>
        <w:t xml:space="preserve"> </w:t>
      </w:r>
      <w:r>
        <w:rPr>
          <w:b/>
        </w:rPr>
        <w:t xml:space="preserve">sans aucune utilité procédurale</w:t>
      </w:r>
      <w:r>
        <w:t xml:space="preserve"> </w:t>
      </w:r>
      <w:r>
        <w:t xml:space="preserve">doit servir</w:t>
      </w:r>
      <w:r>
        <w:t xml:space="preserve"> </w:t>
      </w:r>
      <w:r>
        <w:rPr>
          <w:b/>
        </w:rPr>
        <w:t xml:space="preserve">une autre fin</w:t>
      </w:r>
      <w:r>
        <w:t xml:space="preserve">. Cette fin est ici</w:t>
      </w:r>
      <w:r>
        <w:t xml:space="preserve"> </w:t>
      </w:r>
      <w:r>
        <w:rPr>
          <w:b/>
        </w:rPr>
        <w:t xml:space="preserve">émotive</w:t>
      </w:r>
      <w:r>
        <w:t xml:space="preserve"> </w:t>
      </w:r>
      <w:r>
        <w:t xml:space="preserve">: la formule « il a fait le</w:t>
      </w:r>
      <w:r>
        <w:t xml:space="preserve"> </w:t>
      </w:r>
      <w:r>
        <w:rPr>
          <w:b/>
        </w:rPr>
        <w:t xml:space="preserve">choix</w:t>
      </w:r>
      <w:r>
        <w:t xml:space="preserve"> </w:t>
      </w:r>
      <w:r>
        <w:t xml:space="preserve">de ne pas travailler</w:t>
      </w:r>
      <w:r>
        <w:t xml:space="preserve"> </w:t>
      </w:r>
      <w:r>
        <w:rPr>
          <w:b/>
        </w:rPr>
        <w:t xml:space="preserve">pour subvenir aux besoins de ses enfants</w:t>
      </w:r>
      <w:r>
        <w:t xml:space="preserve"> </w:t>
      </w:r>
      <w:r>
        <w:t xml:space="preserve">» construit l’image d’un père qui</w:t>
      </w:r>
      <w:r>
        <w:t xml:space="preserve"> </w:t>
      </w:r>
      <w:r>
        <w:rPr>
          <w:b/>
        </w:rPr>
        <w:t xml:space="preserve">abandonne délibérément ses propres enfants</w:t>
      </w:r>
      <w:r>
        <w:t xml:space="preserve"> </w:t>
      </w:r>
      <w:r>
        <w:t xml:space="preserve">— l’une des caractérisations les plus infamantes en droit familial. Sa</w:t>
      </w:r>
      <w:r>
        <w:t xml:space="preserve"> </w:t>
      </w:r>
      <w:r>
        <w:rPr>
          <w:b/>
        </w:rPr>
        <w:t xml:space="preserve">seule</w:t>
      </w:r>
      <w:r>
        <w:t xml:space="preserve"> </w:t>
      </w:r>
      <w:r>
        <w:t xml:space="preserve">fonction, faute d’utilité juridique, est d’</w:t>
      </w:r>
      <w:r>
        <w:rPr>
          <w:b/>
        </w:rPr>
        <w:t xml:space="preserve">aggraver les répercussions</w:t>
      </w:r>
      <w:r>
        <w:t xml:space="preserve"> </w:t>
      </w:r>
      <w:r>
        <w:t xml:space="preserve">:</w:t>
      </w:r>
      <w:r>
        <w:t xml:space="preserve"> </w:t>
      </w:r>
      <w:r>
        <w:rPr>
          <w:i/>
        </w:rPr>
        <w:t xml:space="preserve">(a)</w:t>
      </w:r>
      <w:r>
        <w:t xml:space="preserve"> </w:t>
      </w:r>
      <w:r>
        <w:t xml:space="preserve">préjudice moral et réputationnel (diffamation) ;</w:t>
      </w:r>
      <w:r>
        <w:t xml:space="preserve"> </w:t>
      </w:r>
      <w:r>
        <w:rPr>
          <w:i/>
        </w:rPr>
        <w:t xml:space="preserve">(b)</w:t>
      </w:r>
      <w:r>
        <w:t xml:space="preserve"> </w:t>
      </w:r>
      <w:r>
        <w:t xml:space="preserve">préjudice dans le litige familial en cours (empoisonner l’appréciation parentale) ;</w:t>
      </w:r>
      <w:r>
        <w:t xml:space="preserve"> </w:t>
      </w:r>
      <w:r>
        <w:rPr>
          <w:i/>
        </w:rPr>
        <w:t xml:space="preserve">(c)</w:t>
      </w:r>
      <w:r>
        <w:t xml:space="preserve"> </w:t>
      </w:r>
      <w:r>
        <w:t xml:space="preserve">le poids d’un</w:t>
      </w:r>
      <w:r>
        <w:t xml:space="preserve"> </w:t>
      </w:r>
      <w:r>
        <w:rPr>
          <w:b/>
        </w:rPr>
        <w:t xml:space="preserve">fait juré</w:t>
      </w:r>
      <w:r>
        <w:t xml:space="preserve"> </w:t>
      </w:r>
      <w:r>
        <w:t xml:space="preserve">(art. 106 C.p.c.).</w:t>
      </w:r>
      <w:r>
        <w:t xml:space="preserve"> </w:t>
      </w:r>
      <w:r>
        <w:rPr>
          <w:b/>
        </w:rPr>
        <w:t xml:space="preserve">L’inutilité juridique est la preuve que la fonction visée était le dommage, non le droit</w:t>
      </w:r>
      <w:r>
        <w:t xml:space="preserve"> </w:t>
      </w:r>
      <w:r>
        <w:t xml:space="preserve">— ce qui fait tomber l’immunité (non-pertinence) et révèle la</w:t>
      </w:r>
      <w:r>
        <w:t xml:space="preserve"> </w:t>
      </w:r>
      <w:r>
        <w:rPr>
          <w:b/>
        </w:rPr>
        <w:t xml:space="preserve">fin étrangère</w:t>
      </w:r>
      <w:r>
        <w:t xml:space="preserve"> </w:t>
      </w:r>
      <w:r>
        <w:t xml:space="preserve">(abus, art. 51).</w:t>
      </w:r>
      <w:r>
        <w:t xml:space="preserve"> </w:t>
      </w:r>
      <w:r>
        <w:rPr>
          <w:i/>
        </w:rPr>
        <w:t xml:space="preserve">(Développé au pilier 6.)</w:t>
      </w:r>
    </w:p>
    <w:p>
      <w:pPr>
        <w:pStyle w:val="BodyText"/>
      </w:pPr>
      <w:r>
        <w:rPr>
          <w:b/>
        </w:rPr>
        <w:t xml:space="preserve">2e temps — les allégations sont fausses, sur des bases solides.</w:t>
      </w:r>
      <w:r>
        <w:t xml:space="preserve"> </w:t>
      </w:r>
      <w:r>
        <w:t xml:space="preserve">§8 est faux par</w:t>
      </w:r>
      <w:r>
        <w:t xml:space="preserve"> </w:t>
      </w:r>
      <w:r>
        <w:rPr>
          <w:b/>
        </w:rPr>
        <w:t xml:space="preserve">finalité inversée</w:t>
      </w:r>
      <w:r>
        <w:t xml:space="preserve"> </w:t>
      </w:r>
      <w:r>
        <w:t xml:space="preserve">(les emplois invoqués auraient</w:t>
      </w:r>
      <w:r>
        <w:t xml:space="preserve"> </w:t>
      </w:r>
      <w:r>
        <w:rPr>
          <w:i/>
        </w:rPr>
        <w:t xml:space="preserve">abaissé</w:t>
      </w:r>
      <w:r>
        <w:t xml:space="preserve"> </w:t>
      </w:r>
      <w:r>
        <w:t xml:space="preserve">la pension) et par</w:t>
      </w:r>
      <w:r>
        <w:t xml:space="preserve"> </w:t>
      </w:r>
      <w:r>
        <w:rPr>
          <w:b/>
        </w:rPr>
        <w:t xml:space="preserve">contradiction interne</w:t>
      </w:r>
      <w:r>
        <w:t xml:space="preserve"> </w:t>
      </w:r>
      <w:r>
        <w:t xml:space="preserve">(l’aveu du §6 : « perte importante de revenus », « précarité financière »).</w:t>
      </w:r>
      <w:r>
        <w:t xml:space="preserve"> </w:t>
      </w:r>
      <w:r>
        <w:rPr>
          <w:i/>
        </w:rPr>
        <w:t xml:space="preserve">(Développé à la section 3.)</w:t>
      </w:r>
    </w:p>
    <w:p>
      <w:pPr>
        <w:pStyle w:val="BodyText"/>
      </w:pPr>
      <w:r>
        <w:rPr>
          <w:b/>
        </w:rPr>
        <w:t xml:space="preserve">3e temps — leur fausseté était sue (scienter).</w:t>
      </w:r>
      <w:r>
        <w:t xml:space="preserve"> </w:t>
      </w:r>
      <w:r>
        <w:t xml:space="preserve">Les deux autrices détenaient, en 2023, l’information contredisant §7-8.</w:t>
      </w:r>
      <w:r>
        <w:t xml:space="preserve"> </w:t>
      </w:r>
      <w:r>
        <w:rPr>
          <w:i/>
        </w:rPr>
        <w:t xml:space="preserve">(Développé à la section 5.)</w:t>
      </w:r>
    </w:p>
    <w:p>
      <w:pPr>
        <w:pStyle w:val="BodyText"/>
      </w:pPr>
      <w:r>
        <w:rPr>
          <w:b/>
        </w:rPr>
        <w:t xml:space="preserve">Découpage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§8</w:t>
      </w:r>
      <w:r>
        <w:t xml:space="preserve"> </w:t>
      </w:r>
      <w:r>
        <w:t xml:space="preserve">= brique propre (affirmation de fait, falsifiable, diffamatoire) →</w:t>
      </w:r>
      <w:r>
        <w:t xml:space="preserve"> </w:t>
      </w:r>
      <w:r>
        <w:rPr>
          <w:b/>
        </w:rPr>
        <w:t xml:space="preserve">mener avec §8</w:t>
      </w:r>
      <w:r>
        <w:t xml:space="preserve"> </w:t>
      </w:r>
      <w:r>
        <w:t xml:space="preserve">;</w:t>
      </w:r>
      <w:r>
        <w:t xml:space="preserve"> </w:t>
      </w:r>
      <w:r>
        <w:rPr>
          <w:b/>
        </w:rPr>
        <w:t xml:space="preserve">§7</w:t>
      </w:r>
      <w:r>
        <w:t xml:space="preserve"> </w:t>
      </w:r>
      <w:r>
        <w:t xml:space="preserve">= support (« 400+ offres », renvoi au dossier 2019), plus fragile, entaché d’un</w:t>
      </w:r>
      <w:r>
        <w:t xml:space="preserve"> </w:t>
      </w:r>
      <w:r>
        <w:rPr>
          <w:b/>
        </w:rPr>
        <w:t xml:space="preserve">vice procédural</w:t>
      </w:r>
      <w:r>
        <w:t xml:space="preserve"> </w:t>
      </w:r>
      <w:r>
        <w:t xml:space="preserve">— à n’invoquer que pour ce vice et la partition des catégories.</w:t>
      </w:r>
    </w:p>
    <w:p>
      <w:pPr>
        <w:pStyle w:val="Heading2"/>
      </w:pPr>
      <w:bookmarkStart w:id="28" w:name="force-probatoire"/>
      <w:r>
        <w:t xml:space="preserve">3. Force probatoire</w:t>
      </w:r>
      <w:bookmarkEnd w:id="28"/>
    </w:p>
    <w:p>
      <w:pPr>
        <w:pStyle w:val="FirstParagraph"/>
      </w:pPr>
      <w:r>
        <w:rPr>
          <w:b/>
        </w:rPr>
        <w:t xml:space="preserve">Très forte</w:t>
      </w:r>
      <w:r>
        <w:t xml:space="preserve"> </w:t>
      </w:r>
      <w:r>
        <w:t xml:space="preserve">— deux socles admissibles et auto-suffisants, indépendants de toute contestation de crédibilité :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L’incohérence auto-destructrice (le cœur).</w:t>
      </w:r>
      <w:r>
        <w:t xml:space="preserve"> </w:t>
      </w:r>
      <w:r>
        <w:t xml:space="preserve">Les emplois du profil que la Défenderesse a</w:t>
      </w:r>
      <w:r>
        <w:t xml:space="preserve"> </w:t>
      </w:r>
      <w:r>
        <w:rPr>
          <w:b/>
        </w:rPr>
        <w:t xml:space="preserve">elle-même</w:t>
      </w:r>
      <w:r>
        <w:t xml:space="preserve"> </w:t>
      </w:r>
      <w:r>
        <w:t xml:space="preserve">défini (DA-2019 §15 : analyste / technicien de laboratoire / service à la clientèle) ont des salaires médians</w:t>
      </w:r>
      <w:r>
        <w:t xml:space="preserve"> </w:t>
      </w:r>
      <w:r>
        <w:rPr>
          <w:b/>
        </w:rPr>
        <w:t xml:space="preserve">inférieurs</w:t>
      </w:r>
      <w:r>
        <w:t xml:space="preserve"> </w:t>
      </w:r>
      <w:r>
        <w:t xml:space="preserve">au revenu réel déclaré du demandeur (46 743,58 $ en 2019 ; 47 520,51 $ d’emploi en 2018). Occuper l’un de ces emplois aurait</w:t>
      </w:r>
      <w:r>
        <w:t xml:space="preserve"> </w:t>
      </w:r>
      <w:r>
        <w:rPr>
          <w:b/>
        </w:rPr>
        <w:t xml:space="preserve">abaissé</w:t>
      </w:r>
      <w:r>
        <w:t xml:space="preserve"> </w:t>
      </w:r>
      <w:r>
        <w:t xml:space="preserve">la base de la pension →</w:t>
      </w:r>
      <w:r>
        <w:t xml:space="preserve"> </w:t>
      </w:r>
      <w:r>
        <w:rPr>
          <w:b/>
        </w:rPr>
        <w:t xml:space="preserve">l’inverse</w:t>
      </w:r>
      <w:r>
        <w:t xml:space="preserve"> </w:t>
      </w:r>
      <w:r>
        <w:t xml:space="preserve">de « subvenir aux besoins des enfants ». §8 qualifie de manquement une conduite qui aurait</w:t>
      </w:r>
      <w:r>
        <w:t xml:space="preserve"> </w:t>
      </w:r>
      <w:r>
        <w:rPr>
          <w:b/>
        </w:rPr>
        <w:t xml:space="preserve">nui</w:t>
      </w:r>
      <w:r>
        <w:t xml:space="preserve"> </w:t>
      </w:r>
      <w:r>
        <w:t xml:space="preserve">à l’intérêt qu’elle invoque.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L’aveu interne du §6.</w:t>
      </w:r>
      <w:r>
        <w:t xml:space="preserve"> </w:t>
      </w:r>
      <w:r>
        <w:t xml:space="preserve">Dans le</w:t>
      </w:r>
      <w:r>
        <w:t xml:space="preserve"> </w:t>
      </w:r>
      <w:r>
        <w:rPr>
          <w:b/>
        </w:rPr>
        <w:t xml:space="preserve">même document</w:t>
      </w:r>
      <w:r>
        <w:t xml:space="preserve">, la Défenderesse admet « sa</w:t>
      </w:r>
      <w:r>
        <w:t xml:space="preserve"> </w:t>
      </w:r>
      <w:r>
        <w:rPr>
          <w:b/>
        </w:rPr>
        <w:t xml:space="preserve">perte importante de revenus</w:t>
      </w:r>
      <w:r>
        <w:t xml:space="preserve"> </w:t>
      </w:r>
      <w:r>
        <w:t xml:space="preserve">» et « les prétentions du demandeur eu égard à sa</w:t>
      </w:r>
      <w:r>
        <w:t xml:space="preserve"> </w:t>
      </w:r>
      <w:r>
        <w:rPr>
          <w:b/>
        </w:rPr>
        <w:t xml:space="preserve">précarité financière</w:t>
      </w:r>
      <w:r>
        <w:t xml:space="preserve"> </w:t>
      </w:r>
      <w:r>
        <w:t xml:space="preserve">» (§6). Le §8 (« a fait le</w:t>
      </w:r>
      <w:r>
        <w:t xml:space="preserve"> </w:t>
      </w:r>
      <w:r>
        <w:rPr>
          <w:b/>
        </w:rPr>
        <w:t xml:space="preserve">choix</w:t>
      </w:r>
      <w:r>
        <w:t xml:space="preserve"> </w:t>
      </w:r>
      <w:r>
        <w:t xml:space="preserve">de ne pas travailler ») contredit le §6 (perte subie, précarité) — contradiction</w:t>
      </w:r>
      <w:r>
        <w:t xml:space="preserve"> </w:t>
      </w:r>
      <w:r>
        <w:rPr>
          <w:b/>
        </w:rPr>
        <w:t xml:space="preserve">interne à la dénonciation</w:t>
      </w:r>
      <w:r>
        <w:t xml:space="preserve">, sans pièce externe.</w:t>
      </w:r>
    </w:p>
    <w:p>
      <w:pPr>
        <w:pStyle w:val="FirstParagraph"/>
      </w:pPr>
      <w:r>
        <w:t xml:space="preserve">Renforts : bonne foi documentée et non contestée (6 jours d’analyse sans reproche) ; scienter (les deux autrices détenaient l’information contredisant §7-8) ; vice procédural de la P-2.</w:t>
      </w:r>
    </w:p>
    <w:p>
      <w:pPr>
        <w:pStyle w:val="Heading2"/>
      </w:pPr>
      <w:bookmarkStart w:id="29" w:name="faits-essentiels-plaidables"/>
      <w:r>
        <w:t xml:space="preserve">4. Faits essentiels plaidables</w:t>
      </w:r>
      <w:bookmarkEnd w:id="29"/>
    </w:p>
    <w:p>
      <w:pPr>
        <w:pStyle w:val="FirstParagraph"/>
      </w:pPr>
      <w:r>
        <w:rPr>
          <w:i/>
        </w:rPr>
        <w:t xml:space="preserve">(strictement chronologiques et plats)</w:t>
      </w:r>
    </w:p>
    <w:p>
      <w:pPr>
        <w:pStyle w:val="Compact"/>
        <w:numPr>
          <w:numId w:val="1002"/>
          <w:ilvl w:val="0"/>
        </w:numPr>
      </w:pPr>
      <w:r>
        <w:t xml:space="preserve">En juin 2018, le demandeur a perdu son emploi.</w:t>
      </w:r>
    </w:p>
    <w:p>
      <w:pPr>
        <w:pStyle w:val="Compact"/>
        <w:numPr>
          <w:numId w:val="1002"/>
          <w:ilvl w:val="0"/>
        </w:numPr>
      </w:pPr>
      <w:r>
        <w:t xml:space="preserve">Le revenu d’emploi du demandeur pour 2018 était de 47 520,51 $ ; son revenu total, de 64 028,34 $.</w:t>
      </w:r>
    </w:p>
    <w:p>
      <w:pPr>
        <w:pStyle w:val="Compact"/>
        <w:numPr>
          <w:numId w:val="1002"/>
          <w:ilvl w:val="0"/>
        </w:numPr>
      </w:pPr>
      <w:r>
        <w:t xml:space="preserve">Le 27 septembre 2019, un jugement intérimaire a suspendu la pension, constatant « que Monsieur n’a aucun revenu ».</w:t>
      </w:r>
    </w:p>
    <w:p>
      <w:pPr>
        <w:pStyle w:val="Compact"/>
        <w:numPr>
          <w:numId w:val="1002"/>
          <w:ilvl w:val="0"/>
        </w:numPr>
      </w:pPr>
      <w:r>
        <w:t xml:space="preserve">Le 15 octobre 2019, le demandeur a transmis à Me Ayoub ses demandes d’emploi (annexe et archive</w:t>
      </w:r>
      <w:r>
        <w:t xml:space="preserve"> </w:t>
      </w:r>
      <w:r>
        <w:rPr>
          <w:rStyle w:val="VerbatimChar"/>
        </w:rPr>
        <w:t xml:space="preserve">applications.mbox</w:t>
      </w:r>
      <w:r>
        <w:t xml:space="preserve">).</w:t>
      </w:r>
    </w:p>
    <w:p>
      <w:pPr>
        <w:pStyle w:val="Compact"/>
        <w:numPr>
          <w:numId w:val="1002"/>
          <w:ilvl w:val="0"/>
        </w:numPr>
      </w:pPr>
      <w:r>
        <w:t xml:space="preserve">Le 21 octobre 2019, la déclaration sous serment de la Défenderesse (DA-2019, rédigée par Me Ayoub) définissait le profil du demandeur comme analyste, technicien de laboratoire et représentant au service à la clientèle, et alléguait que des offres étaient disponibles.</w:t>
      </w:r>
    </w:p>
    <w:p>
      <w:pPr>
        <w:pStyle w:val="Compact"/>
        <w:numPr>
          <w:numId w:val="1002"/>
          <w:ilvl w:val="0"/>
        </w:numPr>
      </w:pPr>
      <w:r>
        <w:t xml:space="preserve">La DA-2019 ne formulait aucun reproche sur le volume, les domaines ou la sincérité des candidatures transmises.</w:t>
      </w:r>
    </w:p>
    <w:p>
      <w:pPr>
        <w:pStyle w:val="Compact"/>
        <w:numPr>
          <w:numId w:val="1002"/>
          <w:ilvl w:val="0"/>
        </w:numPr>
      </w:pPr>
      <w:r>
        <w:t xml:space="preserve">Le revenu total du demandeur pour 2019 était de 46 743,58 $, maintenu par un retrait de REER destiné à financer sa recherche d’emploi.</w:t>
      </w:r>
    </w:p>
    <w:p>
      <w:pPr>
        <w:pStyle w:val="Compact"/>
        <w:numPr>
          <w:numId w:val="1002"/>
          <w:ilvl w:val="0"/>
        </w:numPr>
      </w:pPr>
      <w:r>
        <w:t xml:space="preserve">Les salaires médians des emplois de technicien de laboratoire et de service à la clientèle étaient inférieurs à ce revenu réel.</w:t>
      </w:r>
    </w:p>
    <w:p>
      <w:pPr>
        <w:pStyle w:val="Compact"/>
        <w:numPr>
          <w:numId w:val="1002"/>
          <w:ilvl w:val="0"/>
        </w:numPr>
      </w:pPr>
      <w:r>
        <w:t xml:space="preserve">Le 4 novembre 2019, la liste des offres d’emploi (« P-2 ») a été déposée à 10 h 38 min 50 s, lors du témoignage de la Défenderesse interrogée par Me Ayoub.</w:t>
      </w:r>
    </w:p>
    <w:p>
      <w:pPr>
        <w:pStyle w:val="Compact"/>
        <w:numPr>
          <w:numId w:val="1002"/>
          <w:ilvl w:val="0"/>
        </w:numPr>
      </w:pPr>
      <w:r>
        <w:t xml:space="preserve">La preuve du demandeur, qui se représentait seul, était close depuis 10 h 29 ; il n’a pu répondre à cette pièce ni contester les salaires réels des emplois qu’elle contenait.</w:t>
      </w:r>
    </w:p>
    <w:p>
      <w:pPr>
        <w:pStyle w:val="Compact"/>
        <w:numPr>
          <w:numId w:val="1002"/>
          <w:ilvl w:val="0"/>
        </w:numPr>
      </w:pPr>
      <w:r>
        <w:t xml:space="preserve">Le 17 avril 2020, le demandeur a écrit à Me Ayoub personnellement qu’il arrivait à la fin de ses économies, qu’il ne s’était pas trouvé d’emploi à 65 000 $/an et qu’il était prêt à plaider coupable d’outrage.</w:t>
      </w:r>
    </w:p>
    <w:p>
      <w:pPr>
        <w:pStyle w:val="Compact"/>
        <w:numPr>
          <w:numId w:val="1002"/>
          <w:ilvl w:val="0"/>
        </w:numPr>
      </w:pPr>
      <w:r>
        <w:t xml:space="preserve">Le 22 juin 2020, le demandeur a écrit à la Défenderesse directement qu’il n’existait pas d’emploi de centre d’appels ou de technicien de laboratoire à 65 000 $/an et que son absence d’emploi à ce salaire n’était pas de mauvaise foi.</w:t>
      </w:r>
    </w:p>
    <w:p>
      <w:pPr>
        <w:pStyle w:val="Compact"/>
        <w:numPr>
          <w:numId w:val="1002"/>
          <w:ilvl w:val="0"/>
        </w:numPr>
      </w:pPr>
      <w:r>
        <w:t xml:space="preserve">Le 21 juillet 2023, Me Ayoub a rédigé, et la Défenderesse a signé sous serment, une dénonciation d’un moyen déclinatoire (transfert du dossier de Montréal à Longueuil).</w:t>
      </w:r>
    </w:p>
    <w:p>
      <w:pPr>
        <w:pStyle w:val="Compact"/>
        <w:numPr>
          <w:numId w:val="1002"/>
          <w:ilvl w:val="0"/>
        </w:numPr>
      </w:pPr>
      <w:r>
        <w:t xml:space="preserve">Au §6, cette dénonciation admet la « perte importante de revenus » et la « précarité financière » du demandeur.</w:t>
      </w:r>
    </w:p>
    <w:p>
      <w:pPr>
        <w:pStyle w:val="Compact"/>
        <w:numPr>
          <w:numId w:val="1002"/>
          <w:ilvl w:val="0"/>
        </w:numPr>
      </w:pPr>
      <w:r>
        <w:t xml:space="preserve">Aux §7-§8, elle allègue la liste de plus de 400 offres et que le demandeur « a fait le choix de ne pas travailler pour subvenir aux besoins de ses enfants ».</w:t>
      </w:r>
    </w:p>
    <w:p>
      <w:pPr>
        <w:pStyle w:val="Compact"/>
        <w:numPr>
          <w:numId w:val="1002"/>
          <w:ilvl w:val="0"/>
        </w:numPr>
      </w:pPr>
      <w:r>
        <w:t xml:space="preserve">Les §7-§8 ne portent pas sur le domicile des parties, seul fondement du moyen déclinatoire (§10-§11).</w:t>
      </w:r>
    </w:p>
    <w:p>
      <w:pPr>
        <w:pStyle w:val="Heading2"/>
      </w:pPr>
      <w:bookmarkStart w:id="30" w:name="inférences-réservées-aux-moyens"/>
      <w:r>
        <w:t xml:space="preserve">5. Inférences réservées aux moyens</w:t>
      </w:r>
      <w:bookmarkEnd w:id="30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Fausseté par finalité inversée.</w:t>
      </w:r>
      <w:r>
        <w:t xml:space="preserve"> </w:t>
      </w:r>
      <w:r>
        <w:t xml:space="preserve">Le « choix » reproché (ne pas prendre les emplois (b)/(c)) aurait</w:t>
      </w:r>
      <w:r>
        <w:t xml:space="preserve"> </w:t>
      </w:r>
      <w:r>
        <w:rPr>
          <w:b/>
        </w:rPr>
        <w:t xml:space="preserve">réduit</w:t>
      </w:r>
      <w:r>
        <w:t xml:space="preserve"> </w:t>
      </w:r>
      <w:r>
        <w:t xml:space="preserve">la base de pension ; §8 impute donc comme faute une conduite qui aurait desservi les enfants.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La partition des catégories (mécanique de l’insinuation).</w:t>
      </w:r>
      <w:r>
        <w:t xml:space="preserve"> </w:t>
      </w:r>
      <w:r>
        <w:t xml:space="preserve">Le profil se scinde en (a)</w:t>
      </w:r>
      <w:r>
        <w:t xml:space="preserve"> </w:t>
      </w:r>
      <w:r>
        <w:rPr>
          <w:i/>
        </w:rPr>
        <w:t xml:space="preserve">analyste</w:t>
      </w:r>
      <w:r>
        <w:t xml:space="preserve"> </w:t>
      </w:r>
      <w:r>
        <w:t xml:space="preserve">— qualifié, au seuil de 65 k$,</w:t>
      </w:r>
      <w:r>
        <w:t xml:space="preserve"> </w:t>
      </w:r>
      <w:r>
        <w:rPr>
          <w:b/>
        </w:rPr>
        <w:t xml:space="preserve">la catégorie où le demandeur postulait</w:t>
      </w:r>
      <w:r>
        <w:t xml:space="preserve"> </w:t>
      </w:r>
      <w:r>
        <w:t xml:space="preserve">— et (b)/(c)</w:t>
      </w:r>
      <w:r>
        <w:t xml:space="preserve"> </w:t>
      </w:r>
      <w:r>
        <w:rPr>
          <w:i/>
        </w:rPr>
        <w:t xml:space="preserve">technicien/service</w:t>
      </w:r>
      <w:r>
        <w:t xml:space="preserve"> </w:t>
      </w:r>
      <w:r>
        <w:t xml:space="preserve">— emplois étudiants sous-payés. On ne critique pas l’effort (bonne catégorie) ; on</w:t>
      </w:r>
      <w:r>
        <w:t xml:space="preserve"> </w:t>
      </w:r>
      <w:r>
        <w:rPr>
          <w:b/>
        </w:rPr>
        <w:t xml:space="preserve">signale</w:t>
      </w:r>
      <w:r>
        <w:t xml:space="preserve"> </w:t>
      </w:r>
      <w:r>
        <w:t xml:space="preserve">que (b)/(c) « sont disponibles » pour suggérer qu’il aurait pu les prendre — alors qu’ils auraient abaissé la pension.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L’insinuation est un piège.</w:t>
      </w:r>
      <w:r>
        <w:t xml:space="preserve"> </w:t>
      </w:r>
      <w:r>
        <w:t xml:space="preserve">Prendre un emploi (b)/(c) aurait exposé le demandeur au reproche d’avoir « réorienté sa carrière vers des activités moins rémunératrices pour se soustraire à ses obligations » — le comportement même que condamnent les tribunaux (</w:t>
      </w:r>
      <w:r>
        <w:rPr>
          <w:i/>
        </w:rPr>
        <w:t xml:space="preserve">C.S. c. M.G.</w:t>
      </w:r>
      <w:r>
        <w:t xml:space="preserve">, 2005 QCCA 702, ¶24). Le « remède » suggéré est la faute.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Scienter.</w:t>
      </w:r>
      <w:r>
        <w:t xml:space="preserve"> </w:t>
      </w:r>
      <w:r>
        <w:t xml:space="preserve">Me Ayoub a défini le profil (DA-2019)</w:t>
      </w:r>
      <w:r>
        <w:t xml:space="preserve"> </w:t>
      </w:r>
      <w:r>
        <w:rPr>
          <w:b/>
        </w:rPr>
        <w:t xml:space="preserve">et</w:t>
      </w:r>
      <w:r>
        <w:t xml:space="preserve"> </w:t>
      </w:r>
      <w:r>
        <w:t xml:space="preserve">reçu personnellement la démonstration de son inatteignabilité (P-384) ; la Défenderesse était destinataire directe du courriel du 22 juin 2020 (P-386). Les deux détenaient, en 2023, l’information contredisant §7-8.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Contradiction interne.</w:t>
      </w:r>
      <w:r>
        <w:t xml:space="preserve"> </w:t>
      </w:r>
      <w:r>
        <w:t xml:space="preserve">§8 (« choix de ne pas travailler ») ⊥ §6 (« perte importante de revenus » ; « précarité financière »), même document.</w:t>
      </w:r>
    </w:p>
    <w:p>
      <w:pPr>
        <w:pStyle w:val="Heading2"/>
      </w:pPr>
      <w:bookmarkStart w:id="31" w:name="X45fc0a34fe42ce0961b9c2eaca64b49bca10e06"/>
      <w:r>
        <w:t xml:space="preserve">6. Pilier — Immunité relative des propos judiciaires : elle tombe</w:t>
      </w:r>
      <w:bookmarkEnd w:id="31"/>
    </w:p>
    <w:p>
      <w:pPr>
        <w:pStyle w:val="FirstParagraph"/>
      </w:pPr>
      <w:r>
        <w:t xml:space="preserve">Les propos tenus dans une procédure bénéficient d’une</w:t>
      </w:r>
      <w:r>
        <w:t xml:space="preserve"> </w:t>
      </w:r>
      <w:r>
        <w:rPr>
          <w:b/>
        </w:rPr>
        <w:t xml:space="preserve">immunité relative</w:t>
      </w:r>
      <w:r>
        <w:t xml:space="preserve">. Elle</w:t>
      </w:r>
      <w:r>
        <w:t xml:space="preserve"> </w:t>
      </w:r>
      <w:r>
        <w:rPr>
          <w:b/>
        </w:rPr>
        <w:t xml:space="preserve">cède</w:t>
      </w:r>
      <w:r>
        <w:t xml:space="preserve"> </w:t>
      </w:r>
      <w:r>
        <w:t xml:space="preserve">lorsque les propos sont</w:t>
      </w:r>
      <w:r>
        <w:t xml:space="preserve"> </w:t>
      </w:r>
      <w:r>
        <w:rPr>
          <w:i/>
        </w:rPr>
        <w:t xml:space="preserve">(i)</w:t>
      </w:r>
      <w:r>
        <w:t xml:space="preserve"> </w:t>
      </w:r>
      <w:r>
        <w:rPr>
          <w:b/>
        </w:rPr>
        <w:t xml:space="preserve">étrangers au litige</w:t>
      </w:r>
      <w:r>
        <w:t xml:space="preserve"> </w:t>
      </w:r>
      <w:r>
        <w:t xml:space="preserve">(non pertinents)</w:t>
      </w:r>
      <w:r>
        <w:t xml:space="preserve"> </w:t>
      </w:r>
      <w:r>
        <w:rPr>
          <w:b/>
        </w:rPr>
        <w:t xml:space="preserve">et/ou</w:t>
      </w:r>
      <w:r>
        <w:t xml:space="preserve"> </w:t>
      </w:r>
      <w:r>
        <w:rPr>
          <w:i/>
        </w:rPr>
        <w:t xml:space="preserve">(ii)</w:t>
      </w:r>
      <w:r>
        <w:t xml:space="preserve"> </w:t>
      </w:r>
      <w:r>
        <w:t xml:space="preserve">tenus de</w:t>
      </w:r>
      <w:r>
        <w:t xml:space="preserve"> </w:t>
      </w:r>
      <w:r>
        <w:rPr>
          <w:b/>
        </w:rPr>
        <w:t xml:space="preserve">mauvaise foi</w:t>
      </w:r>
      <w:r>
        <w:t xml:space="preserve">.</w:t>
      </w:r>
    </w:p>
    <w:p>
      <w:pPr>
        <w:pStyle w:val="BodyText"/>
      </w:pPr>
      <w:r>
        <w:rPr>
          <w:b/>
        </w:rPr>
        <w:t xml:space="preserve">Confirmation textuelle de la non-pertinence (acquise).</w:t>
      </w:r>
      <w:r>
        <w:t xml:space="preserve"> </w:t>
      </w:r>
      <w:r>
        <w:t xml:space="preserve">Le moyen déclinatoire se tranche sur le</w:t>
      </w:r>
      <w:r>
        <w:t xml:space="preserve"> </w:t>
      </w:r>
      <w:r>
        <w:rPr>
          <w:b/>
        </w:rPr>
        <w:t xml:space="preserve">domicile</w:t>
      </w:r>
      <w:r>
        <w:t xml:space="preserve"> </w:t>
      </w:r>
      <w:r>
        <w:t xml:space="preserve">; les seuls motifs opératoires de la dénonciation sont §9-§11 (dossier à Longueuil ; parties et enfants domiciliés au 245 Macaulay ; élection de domicile).</w:t>
      </w:r>
      <w:r>
        <w:t xml:space="preserve"> </w:t>
      </w:r>
      <w:r>
        <w:rPr>
          <w:b/>
        </w:rPr>
        <w:t xml:space="preserve">Les §7-§8 sont retranchables intégralement sans affecter la conclusion recherchée</w:t>
      </w:r>
      <w:r>
        <w:t xml:space="preserve"> </w:t>
      </w:r>
      <w:r>
        <w:t xml:space="preserve">(« RENVOYER à Longueuil ») : la capacité de gain / le « choix de ne pas travailler » n’entrent dans aucune règle de compétence territoriale. Ils sont donc</w:t>
      </w:r>
      <w:r>
        <w:t xml:space="preserve"> </w:t>
      </w:r>
      <w:r>
        <w:rPr>
          <w:b/>
        </w:rPr>
        <w:t xml:space="preserve">gratuits</w:t>
      </w:r>
      <w:r>
        <w:t xml:space="preserve"> </w:t>
      </w:r>
      <w:r>
        <w:t xml:space="preserve">— structurellement encastrés entre le contexte (§2-§6) et le fondement réel (§9-§11), sans que ce fondement y renvoie.</w:t>
      </w:r>
      <w:r>
        <w:t xml:space="preserve"> </w:t>
      </w:r>
      <w:r>
        <w:rPr>
          <w:i/>
        </w:rPr>
        <w:t xml:space="preserve">(À citer : l’article du C.p.c. fixant la compétence territoriale familiale sur le domicile — pour poser noir sur blanc que le test est le domicile, non la capacité de gain.)</w:t>
      </w:r>
    </w:p>
    <w:p>
      <w:pPr>
        <w:pStyle w:val="BodyText"/>
      </w:pPr>
      <w:r>
        <w:rPr>
          <w:b/>
        </w:rPr>
        <w:t xml:space="preserve">La gratuité n’est pas neutre — elle révèle une fin émotive aggravante.</w:t>
      </w:r>
      <w:r>
        <w:t xml:space="preserve"> </w:t>
      </w:r>
      <w:r>
        <w:t xml:space="preserve">Un allégué</w:t>
      </w:r>
      <w:r>
        <w:t xml:space="preserve"> </w:t>
      </w:r>
      <w:r>
        <w:rPr>
          <w:b/>
        </w:rPr>
        <w:t xml:space="preserve">juré</w:t>
      </w:r>
      <w:r>
        <w:t xml:space="preserve"> </w:t>
      </w:r>
      <w:r>
        <w:t xml:space="preserve">mais</w:t>
      </w:r>
      <w:r>
        <w:t xml:space="preserve"> </w:t>
      </w:r>
      <w:r>
        <w:rPr>
          <w:b/>
        </w:rPr>
        <w:t xml:space="preserve">sans utilité procédurale</w:t>
      </w:r>
      <w:r>
        <w:t xml:space="preserve"> </w:t>
      </w:r>
      <w:r>
        <w:t xml:space="preserve">doit servir une autre fin. Faute d’utilité juridique, la fonction des §7-§8 est</w:t>
      </w:r>
      <w:r>
        <w:t xml:space="preserve"> </w:t>
      </w:r>
      <w:r>
        <w:rPr>
          <w:b/>
        </w:rPr>
        <w:t xml:space="preserve">émotive</w:t>
      </w:r>
      <w:r>
        <w:t xml:space="preserve"> </w:t>
      </w:r>
      <w:r>
        <w:t xml:space="preserve">: « choix de ne pas travailler</w:t>
      </w:r>
      <w:r>
        <w:t xml:space="preserve"> </w:t>
      </w:r>
      <w:r>
        <w:rPr>
          <w:b/>
        </w:rPr>
        <w:t xml:space="preserve">pour subvenir aux besoins de ses enfants</w:t>
      </w:r>
      <w:r>
        <w:t xml:space="preserve"> </w:t>
      </w:r>
      <w:r>
        <w:t xml:space="preserve">» caractérise le demandeur en père indigne, pour</w:t>
      </w:r>
      <w:r>
        <w:t xml:space="preserve"> </w:t>
      </w:r>
      <w:r>
        <w:rPr>
          <w:b/>
        </w:rPr>
        <w:t xml:space="preserve">aggraver les répercussions</w:t>
      </w:r>
      <w:r>
        <w:t xml:space="preserve"> </w:t>
      </w:r>
      <w:r>
        <w:t xml:space="preserve">— préjudice moral/réputationnel, préjudice dans le litige familial, poids du serment.</w:t>
      </w:r>
      <w:r>
        <w:t xml:space="preserve"> </w:t>
      </w:r>
      <w:r>
        <w:rPr>
          <w:b/>
        </w:rPr>
        <w:t xml:space="preserve">L’inutilité juridique est l’indice de la fin étrangère</w:t>
      </w:r>
      <w:r>
        <w:t xml:space="preserve"> </w:t>
      </w:r>
      <w:r>
        <w:t xml:space="preserve">(abus, art. 51-56 C.p.c.) et</w:t>
      </w:r>
      <w:r>
        <w:t xml:space="preserve"> </w:t>
      </w:r>
      <w:r>
        <w:rPr>
          <w:b/>
        </w:rPr>
        <w:t xml:space="preserve">la mesure de l’aggravation</w:t>
      </w:r>
      <w:r>
        <w:t xml:space="preserve"> </w:t>
      </w:r>
      <w:r>
        <w:t xml:space="preserve">du préjudice.</w:t>
      </w:r>
    </w:p>
    <w:p>
      <w:pPr>
        <w:pStyle w:val="BodyText"/>
      </w:pPr>
      <w:r>
        <w:t xml:space="preserve">➜ Non-pertinence + charge émotive + mauvaise foi (scienter)</w:t>
      </w:r>
      <w:r>
        <w:t xml:space="preserve"> </w:t>
      </w:r>
      <w:r>
        <w:rPr>
          <w:b/>
        </w:rPr>
        <w:t xml:space="preserve">déverrouillent</w:t>
      </w:r>
      <w:r>
        <w:t xml:space="preserve"> </w:t>
      </w:r>
      <w:r>
        <w:t xml:space="preserve">la diffamation malgré le contexte judiciaire,</w:t>
      </w:r>
      <w:r>
        <w:t xml:space="preserve"> </w:t>
      </w:r>
      <w:r>
        <w:rPr>
          <w:b/>
        </w:rPr>
        <w:t xml:space="preserve">et</w:t>
      </w:r>
      <w:r>
        <w:t xml:space="preserve"> </w:t>
      </w:r>
      <w:r>
        <w:t xml:space="preserve">aggravent le préjudice indemnisable.</w:t>
      </w:r>
      <w:r>
        <w:t xml:space="preserve"> </w:t>
      </w:r>
      <w:r>
        <w:rPr>
          <w:i/>
        </w:rPr>
        <w:t xml:space="preserve">(Test exact et jurisprudence québécoise sur la levée de l’immunité — à confirmer/citer avec le procureur.)</w:t>
      </w:r>
    </w:p>
    <w:p>
      <w:pPr>
        <w:pStyle w:val="Heading2"/>
      </w:pPr>
      <w:bookmarkStart w:id="32" w:name="pilier-prescription-lancre"/>
      <w:r>
        <w:t xml:space="preserve">7. Pilier — Prescription (l’ancre)</w:t>
      </w:r>
      <w:bookmarkEnd w:id="32"/>
    </w:p>
    <w:p>
      <w:pPr>
        <w:pStyle w:val="Compact"/>
        <w:numPr>
          <w:numId w:val="1004"/>
          <w:ilvl w:val="0"/>
        </w:numPr>
      </w:pPr>
      <w:r>
        <w:t xml:space="preserve">Diffamation : prescription</w:t>
      </w:r>
      <w:r>
        <w:t xml:space="preserve"> </w:t>
      </w:r>
      <w:r>
        <w:rPr>
          <w:b/>
        </w:rPr>
        <w:t xml:space="preserve">1 an</w:t>
      </w:r>
      <w:r>
        <w:t xml:space="preserve"> </w:t>
      </w:r>
      <w:r>
        <w:t xml:space="preserve">(art. 2929 C.c.Q.) ; responsabilité/abus :</w:t>
      </w:r>
      <w:r>
        <w:t xml:space="preserve"> </w:t>
      </w:r>
      <w:r>
        <w:rPr>
          <w:b/>
        </w:rPr>
        <w:t xml:space="preserve">3 ans</w:t>
      </w:r>
      <w:r>
        <w:t xml:space="preserve"> </w:t>
      </w:r>
      <w:r>
        <w:t xml:space="preserve">(art. 2925).</w:t>
      </w:r>
    </w:p>
    <w:p>
      <w:pPr>
        <w:pStyle w:val="Compact"/>
        <w:numPr>
          <w:numId w:val="1004"/>
          <w:ilvl w:val="0"/>
        </w:numPr>
      </w:pPr>
      <w:r>
        <w:t xml:space="preserve">La dénonciation est</w:t>
      </w:r>
      <w:r>
        <w:t xml:space="preserve"> </w:t>
      </w:r>
      <w:r>
        <w:rPr>
          <w:b/>
        </w:rPr>
        <w:t xml:space="preserve">assermentée le 21 juillet 2023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fait générateur autonome</w:t>
      </w:r>
      <w:r>
        <w:t xml:space="preserve"> </w:t>
      </w:r>
      <w:r>
        <w:t xml:space="preserve">dans la fenêtre de</w:t>
      </w:r>
      <w:r>
        <w:t xml:space="preserve"> </w:t>
      </w:r>
      <w:r>
        <w:rPr>
          <w:b/>
        </w:rPr>
        <w:t xml:space="preserve">3 ans</w:t>
      </w:r>
      <w:r>
        <w:t xml:space="preserve"> </w:t>
      </w:r>
      <w:r>
        <w:t xml:space="preserve">(art. 2925, si caractérisation</w:t>
      </w:r>
      <w:r>
        <w:t xml:space="preserve"> </w:t>
      </w:r>
      <w:r>
        <w:rPr>
          <w:b/>
        </w:rPr>
        <w:t xml:space="preserve">abus/responsabilité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pas</w:t>
      </w:r>
      <w:r>
        <w:t xml:space="preserve"> </w:t>
      </w:r>
      <w:r>
        <w:t xml:space="preserve">diffamation pure, dont le délai d’1 an [art. 2929] est déjà expiré). Les actes de 2013-2019,</w:t>
      </w:r>
      <w:r>
        <w:t xml:space="preserve"> </w:t>
      </w:r>
      <w:r>
        <w:rPr>
          <w:i/>
        </w:rPr>
        <w:t xml:space="preserve">prima facie</w:t>
      </w:r>
      <w:r>
        <w:t xml:space="preserve"> </w:t>
      </w:r>
      <w:r>
        <w:t xml:space="preserve">prescrits, se rattachent par la</w:t>
      </w:r>
      <w:r>
        <w:t xml:space="preserve"> </w:t>
      </w:r>
      <w:r>
        <w:rPr>
          <w:b/>
        </w:rPr>
        <w:t xml:space="preserve">faute continue</w:t>
      </w:r>
      <w:r>
        <w:t xml:space="preserve"> </w:t>
      </w:r>
      <w:r>
        <w:t xml:space="preserve">dont 2023 est la</w:t>
      </w:r>
      <w:r>
        <w:t xml:space="preserve"> </w:t>
      </w:r>
      <w:r>
        <w:rPr>
          <w:b/>
        </w:rPr>
        <w:t xml:space="preserve">dernière itération</w:t>
      </w:r>
      <w:r>
        <w:t xml:space="preserve">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⚠️ Délai de 3 ans : jusqu’au 21 juillet 2026.</w:t>
      </w:r>
      <w:r>
        <w:t xml:space="preserve"> </w:t>
      </w:r>
      <w:r>
        <w:t xml:space="preserve">Le dépôt interrompt (art. 2892). Analyse complète :</w:t>
      </w:r>
      <w:r>
        <w:t xml:space="preserve"> </w:t>
      </w:r>
      <w:hyperlink r:id="rId33">
        <w:r>
          <w:rPr>
            <w:rStyle w:val="Hyperlink"/>
          </w:rPr>
          <w:t xml:space="preserve">these_prescription.md</w:t>
        </w:r>
      </w:hyperlink>
      <w:r>
        <w:t xml:space="preserve">.</w:t>
      </w:r>
    </w:p>
    <w:p>
      <w:pPr>
        <w:pStyle w:val="Heading2"/>
      </w:pPr>
      <w:bookmarkStart w:id="34" w:name="Xe5b26f98a3ffa7b26cdaf7818e17e5bf0cc0f49"/>
      <w:r>
        <w:t xml:space="preserve">8. Pilier — Solidarité : l’acte atteint les deux défenderesses</w:t>
      </w:r>
      <w:bookmarkEnd w:id="34"/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Me Marie-Josée Ayoub</w:t>
      </w:r>
      <w:r>
        <w:t xml:space="preserve"> </w:t>
      </w:r>
      <w:r>
        <w:t xml:space="preserve">:</w:t>
      </w:r>
      <w:r>
        <w:t xml:space="preserve"> </w:t>
      </w:r>
      <w:r>
        <w:rPr>
          <w:b/>
        </w:rPr>
        <w:t xml:space="preserve">rédige et signe</w:t>
      </w:r>
      <w:r>
        <w:t xml:space="preserve"> </w:t>
      </w:r>
      <w:r>
        <w:t xml:space="preserve">la dénonciation (Ayoub Avocats Inc., « procureure de la demanderesse ») — faute personnelle, art. 1457 C.c.Q. ; standard aggravé par le Code de déontologie (art. 19 : écrit « faux ou qu’il devrait savoir faux » ; art. 113 : pas de procédure « dans le seul but de nuire ») —</w:t>
      </w:r>
      <w:r>
        <w:t xml:space="preserve"> </w:t>
      </w:r>
      <w:hyperlink r:id="rId35">
        <w:r>
          <w:rPr>
            <w:rStyle w:val="Hyperlink"/>
          </w:rPr>
          <w:t xml:space="preserve">piece_pdf-92.md</w:t>
        </w:r>
      </w:hyperlink>
      <w:r>
        <w:t xml:space="preserve">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Élise Marie Ayoub</w:t>
      </w:r>
      <w:r>
        <w:t xml:space="preserve"> </w:t>
      </w:r>
      <w:r>
        <w:t xml:space="preserve">:</w:t>
      </w:r>
      <w:r>
        <w:t xml:space="preserve"> </w:t>
      </w:r>
      <w:r>
        <w:rPr>
          <w:b/>
        </w:rPr>
        <w:t xml:space="preserve">jure</w:t>
      </w:r>
      <w:r>
        <w:t xml:space="preserve"> </w:t>
      </w:r>
      <w:r>
        <w:t xml:space="preserve">les faits « vrais » (art. 106 C.p.c.) — le</w:t>
      </w:r>
      <w:r>
        <w:t xml:space="preserve"> </w:t>
      </w:r>
      <w:r>
        <w:rPr>
          <w:b/>
        </w:rPr>
        <w:t xml:space="preserve">faux juré consommé</w:t>
      </w:r>
      <w:r>
        <w:t xml:space="preserve"> </w:t>
      </w:r>
      <w:r>
        <w:t xml:space="preserve">que l’affidavit de 2013 (jamais déposé) n’avait pas.</w:t>
      </w:r>
    </w:p>
    <w:p>
      <w:pPr>
        <w:pStyle w:val="Compact"/>
        <w:numPr>
          <w:numId w:val="1005"/>
          <w:ilvl w:val="0"/>
        </w:numPr>
      </w:pPr>
      <w:r>
        <w:t xml:space="preserve">Solidarité, art. 1526 C.c.Q.</w:t>
      </w:r>
      <w:r>
        <w:t xml:space="preserve"> </w:t>
      </w:r>
      <w:r>
        <w:rPr>
          <w:b/>
        </w:rPr>
        <w:t xml:space="preserve">Sans dépendre de P-1</w:t>
      </w:r>
      <w:r>
        <w:t xml:space="preserve"> </w:t>
      </w:r>
      <w:r>
        <w:t xml:space="preserve">(le secret professionnel de 2013) : 2023 atteint directement Me Ayoub par son propre écrit.</w:t>
      </w:r>
    </w:p>
    <w:p>
      <w:pPr>
        <w:pStyle w:val="Heading2"/>
      </w:pPr>
      <w:bookmarkStart w:id="36" w:name="inférences-exclues"/>
      <w:r>
        <w:t xml:space="preserve">9. Inférences exclues</w:t>
      </w:r>
      <w:bookmarkEnd w:id="36"/>
    </w:p>
    <w:p>
      <w:pPr>
        <w:pStyle w:val="Compact"/>
        <w:numPr>
          <w:numId w:val="1006"/>
          <w:ilvl w:val="0"/>
        </w:numPr>
      </w:pPr>
      <w:r>
        <w:t xml:space="preserve">Ne pas plaider que le demandeur n’a jamais eu à travailler ; le grief n’est pas qu’il</w:t>
      </w:r>
      <w:r>
        <w:t xml:space="preserve"> </w:t>
      </w:r>
      <w:r>
        <w:rPr>
          <w:i/>
        </w:rPr>
        <w:t xml:space="preserve">devait</w:t>
      </w:r>
      <w:r>
        <w:t xml:space="preserve"> </w:t>
      </w:r>
      <w:r>
        <w:t xml:space="preserve">rester sans emploi, mais que §8 qualifie faussement de « choix » une</w:t>
      </w:r>
      <w:r>
        <w:t xml:space="preserve"> </w:t>
      </w:r>
      <w:r>
        <w:rPr>
          <w:b/>
        </w:rPr>
        <w:t xml:space="preserve">perte subie</w:t>
      </w:r>
      <w:r>
        <w:t xml:space="preserve"> </w:t>
      </w:r>
      <w:r>
        <w:t xml:space="preserve">(§6) et que les emplois invoqués auraient</w:t>
      </w:r>
      <w:r>
        <w:t xml:space="preserve"> </w:t>
      </w:r>
      <w:r>
        <w:rPr>
          <w:b/>
        </w:rPr>
        <w:t xml:space="preserve">nui</w:t>
      </w:r>
      <w:r>
        <w:t xml:space="preserve"> </w:t>
      </w:r>
      <w:r>
        <w:t xml:space="preserve">aux enfants.</w:t>
      </w:r>
    </w:p>
    <w:p>
      <w:pPr>
        <w:pStyle w:val="Compact"/>
        <w:numPr>
          <w:numId w:val="1006"/>
          <w:ilvl w:val="0"/>
        </w:numPr>
      </w:pPr>
      <w:r>
        <w:t xml:space="preserve">Ne pas surétendre §7 : le « 400+ offres » renvoie au dossier de 2019 ;</w:t>
      </w:r>
      <w:r>
        <w:t xml:space="preserve"> </w:t>
      </w:r>
      <w:r>
        <w:rPr>
          <w:b/>
        </w:rPr>
        <w:t xml:space="preserve">mener avec §8</w:t>
      </w:r>
      <w:r>
        <w:t xml:space="preserve"> </w:t>
      </w:r>
      <w:r>
        <w:t xml:space="preserve">(affirmation propre) et n’invoquer §7 que pour le</w:t>
      </w:r>
      <w:r>
        <w:t xml:space="preserve"> </w:t>
      </w:r>
      <w:r>
        <w:rPr>
          <w:b/>
        </w:rPr>
        <w:t xml:space="preserve">vice procédural</w:t>
      </w:r>
      <w:r>
        <w:t xml:space="preserve"> </w:t>
      </w:r>
      <w:r>
        <w:t xml:space="preserve">et la partition des catégories.</w:t>
      </w:r>
    </w:p>
    <w:p>
      <w:pPr>
        <w:pStyle w:val="Compact"/>
        <w:numPr>
          <w:numId w:val="1006"/>
          <w:ilvl w:val="0"/>
        </w:numPr>
      </w:pPr>
      <w:r>
        <w:t xml:space="preserve">Ne pas plaider le retrait REER comme un aveu de non-travail : il a</w:t>
      </w:r>
      <w:r>
        <w:t xml:space="preserve"> </w:t>
      </w:r>
      <w:r>
        <w:rPr>
          <w:b/>
        </w:rPr>
        <w:t xml:space="preserve">maintenu</w:t>
      </w:r>
      <w:r>
        <w:t xml:space="preserve"> </w:t>
      </w:r>
      <w:r>
        <w:t xml:space="preserve">la base de pension (fait 7) — c’est un point favorable.</w:t>
      </w:r>
    </w:p>
    <w:p>
      <w:pPr>
        <w:pStyle w:val="Compact"/>
        <w:numPr>
          <w:numId w:val="1006"/>
          <w:ilvl w:val="0"/>
        </w:numPr>
      </w:pPr>
      <w:r>
        <w:t xml:space="preserve">Ne pas présumer la mauvaise foi : l’établir par la</w:t>
      </w:r>
      <w:r>
        <w:t xml:space="preserve"> </w:t>
      </w:r>
      <w:r>
        <w:rPr>
          <w:b/>
        </w:rPr>
        <w:t xml:space="preserve">conduite</w:t>
      </w:r>
      <w:r>
        <w:t xml:space="preserve"> </w:t>
      </w:r>
      <w:r>
        <w:t xml:space="preserve">(finalité inversée + aveu §6 + scienter documenté), non par l’accusation (art. 2805 → 2849 C.c.Q.).</w:t>
      </w:r>
    </w:p>
    <w:p>
      <w:pPr>
        <w:pStyle w:val="Compact"/>
        <w:numPr>
          <w:numId w:val="1006"/>
          <w:ilvl w:val="0"/>
        </w:numPr>
      </w:pPr>
      <w:r>
        <w:t xml:space="preserve">Ne pas tenir pour acquise la levée de l’immunité : la plaider (non-pertinence + gratuité), la faire valider.</w:t>
      </w:r>
    </w:p>
    <w:p>
      <w:pPr>
        <w:pStyle w:val="Heading2"/>
      </w:pPr>
      <w:bookmarkStart w:id="37" w:name="pièces-nécessaires"/>
      <w:r>
        <w:t xml:space="preserve">10. Pièces nécessaires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§7-8, §6, §10-11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piece_denonciation_declinatoire_2023.md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piece_thread-111_congediement_bnc.md</w:t>
            </w:r>
            <w:r>
              <w:t xml:space="preserve"> </w:t>
            </w:r>
            <w:r>
              <w:t xml:space="preserve">(perte d’emploi juin 2018)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piece_pdf-35.md</w:t>
            </w:r>
            <w:r>
              <w:t xml:space="preserve"> </w:t>
            </w:r>
            <w:r>
              <w:t xml:space="preserve">(avis cotisation 2018)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piece_pdf-15.md</w:t>
            </w:r>
            <w:r>
              <w:t xml:space="preserve"> </w:t>
            </w:r>
            <w:r>
              <w:t xml:space="preserve">(jugement intérimaire 27 sept. 2019, « aucun revenu »)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4, 6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piece_thread-156_email-615.md</w:t>
            </w:r>
            <w:r>
              <w:t xml:space="preserve"> </w:t>
            </w:r>
            <w:r>
              <w:t xml:space="preserve">(transmission candidatures +</w:t>
            </w:r>
            <w:r>
              <w:t xml:space="preserve"> </w:t>
            </w:r>
            <w:r>
              <w:rPr>
                <w:rStyle w:val="VerbatimChar"/>
              </w:rPr>
              <w:t xml:space="preserve">applications.mbox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disponible ;</w:t>
            </w:r>
            <w:r>
              <w:t xml:space="preserve"> </w:t>
            </w:r>
            <w:r>
              <w:rPr>
                <w:b/>
              </w:rPr>
              <w:t xml:space="preserve">contenu archive à verser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piece_document-3.md</w:t>
              </w:r>
            </w:hyperlink>
            <w:r>
              <w:t xml:space="preserve"> </w:t>
            </w:r>
            <w:r>
              <w:t xml:space="preserve">§14-15 (DA-2019)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piece_pdf-30.md</w:t>
            </w:r>
            <w:r>
              <w:t xml:space="preserve"> </w:t>
            </w:r>
            <w:r>
              <w:t xml:space="preserve">(avis cotisation 2019) ;</w:t>
            </w:r>
            <w:r>
              <w:t xml:space="preserve"> </w:t>
            </w:r>
            <w:r>
              <w:rPr>
                <w:rStyle w:val="VerbatimChar"/>
              </w:rPr>
              <w:t xml:space="preserve">piece_pdf-82.md</w:t>
            </w:r>
            <w:r>
              <w:t xml:space="preserve"> </w:t>
            </w:r>
            <w:r>
              <w:t xml:space="preserve">(formulaire père)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Guichet-Emplois (technicien/service)</w:t>
            </w:r>
          </w:p>
        </w:tc>
        <w:tc>
          <w:p>
            <w:pPr>
              <w:pStyle w:val="Compact"/>
              <w:jc w:val="left"/>
            </w:pPr>
            <w:r>
              <w:t xml:space="preserve">connaissance d’office ;</w:t>
            </w:r>
            <w:r>
              <w:t xml:space="preserve"> </w:t>
            </w:r>
            <w:r>
              <w:rPr>
                <w:b/>
              </w:rPr>
              <w:t xml:space="preserve">vérifier codes CNP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piece_pdf-13.md</w:t>
            </w:r>
            <w:r>
              <w:t xml:space="preserve"> </w:t>
            </w:r>
            <w:r>
              <w:t xml:space="preserve">(procès-verbal 4 nov. 2019, horodatage 10h38:50 / 10h29)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piece_thread-4_email-330.md</w:t>
            </w:r>
            <w:r>
              <w:t xml:space="preserve"> </w:t>
            </w:r>
            <w:r>
              <w:t xml:space="preserve">(P-384, 17 avr. 2020)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piece_thread-3_email-3.md</w:t>
            </w:r>
            <w:r>
              <w:t xml:space="preserve"> </w:t>
            </w:r>
            <w:r>
              <w:t xml:space="preserve">(P-386, 22 juin 2020)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Immunité</w:t>
            </w:r>
          </w:p>
        </w:tc>
        <w:tc>
          <w:p>
            <w:pPr>
              <w:pStyle w:val="Compact"/>
              <w:jc w:val="left"/>
            </w:pPr>
            <w:r>
              <w:t xml:space="preserve">jurisprudence sur la levée de l’immunité relative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à réunir</w:t>
            </w:r>
          </w:p>
        </w:tc>
      </w:tr>
    </w:tbl>
    <w:p>
      <w:pPr>
        <w:pStyle w:val="Heading2"/>
      </w:pPr>
      <w:bookmarkStart w:id="39" w:name="prudences-de-rédaction"/>
      <w:r>
        <w:t xml:space="preserve">11. Prudences de rédaction</w:t>
      </w:r>
      <w:bookmarkEnd w:id="39"/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Mener avec §8 + les deux socles admissibles</w:t>
      </w:r>
      <w:r>
        <w:t xml:space="preserve"> </w:t>
      </w:r>
      <w:r>
        <w:t xml:space="preserve">(finalité inversée ; aveu §6) : ils tiennent sans crédibilité ni pièce contestée.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Autorat</w:t>
      </w:r>
      <w:r>
        <w:t xml:space="preserve"> </w:t>
      </w:r>
      <w:r>
        <w:t xml:space="preserve">: Me Ayoub</w:t>
      </w:r>
      <w:r>
        <w:t xml:space="preserve"> </w:t>
      </w:r>
      <w:r>
        <w:rPr>
          <w:b/>
        </w:rPr>
        <w:t xml:space="preserve">rédige</w:t>
      </w:r>
      <w:r>
        <w:t xml:space="preserve"> </w:t>
      </w:r>
      <w:r>
        <w:t xml:space="preserve">(2023 = son acte, à la différence de la Requête de 2015 = Ferreira) ; Élise</w:t>
      </w:r>
      <w:r>
        <w:t xml:space="preserve"> </w:t>
      </w:r>
      <w:r>
        <w:rPr>
          <w:b/>
        </w:rPr>
        <w:t xml:space="preserve">jure</w:t>
      </w:r>
      <w:r>
        <w:t xml:space="preserve">. Nommer chacune pour son rôle.</w:t>
      </w:r>
    </w:p>
    <w:p>
      <w:pPr>
        <w:pStyle w:val="Compact"/>
        <w:numPr>
          <w:numId w:val="1007"/>
          <w:ilvl w:val="0"/>
        </w:numPr>
      </w:pPr>
      <w:r>
        <w:t xml:space="preserve">Réserver aux moyens la partition des catégories, le piège de l’insinuation et le scienter.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Trois fichiers compagnons à créer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these_prescription.md</w:t>
      </w:r>
      <w:r>
        <w:t xml:space="preserve"> </w:t>
      </w:r>
      <w:r>
        <w:t xml:space="preserve">(ancre + faute continue), le volet</w:t>
      </w:r>
      <w:r>
        <w:t xml:space="preserve"> </w:t>
      </w:r>
      <w:r>
        <w:rPr>
          <w:b/>
        </w:rPr>
        <w:t xml:space="preserve">immunité</w:t>
      </w:r>
      <w:r>
        <w:t xml:space="preserve"> </w:t>
      </w:r>
      <w:r>
        <w:t xml:space="preserve">(levée), et l’articulation</w:t>
      </w:r>
      <w:r>
        <w:t xml:space="preserve"> </w:t>
      </w:r>
      <w:r>
        <w:rPr>
          <w:b/>
        </w:rPr>
        <w:t xml:space="preserve">cause d’action + préjudice</w:t>
      </w:r>
      <w:r>
        <w:t xml:space="preserve"> </w:t>
      </w:r>
      <w:r>
        <w:t xml:space="preserve">(le §8 diffamatoire est le préjudice-pivot récent).</w:t>
      </w:r>
    </w:p>
    <w:p>
      <w:pPr>
        <w:pStyle w:val="Heading2"/>
      </w:pPr>
      <w:bookmarkStart w:id="40" w:name="version-procédurale-distillée"/>
      <w:r>
        <w:t xml:space="preserve">12. Version procédurale distillée</w:t>
      </w:r>
      <w:bookmarkEnd w:id="40"/>
    </w:p>
    <w:p>
      <w:pPr>
        <w:pStyle w:val="Compact"/>
        <w:numPr>
          <w:numId w:val="1008"/>
          <w:ilvl w:val="0"/>
        </w:numPr>
      </w:pPr>
      <w:r>
        <w:t xml:space="preserve">Le 21 juillet 2023, la Défenderesse a signé sous serment, et Me Marie-Josée Ayoub a rédigé, une dénonciation d’un moyen déclinatoire visant le transfert du dossier de Montréal à Longueuil.</w:t>
      </w:r>
    </w:p>
    <w:p>
      <w:pPr>
        <w:pStyle w:val="Compact"/>
        <w:numPr>
          <w:numId w:val="1008"/>
          <w:ilvl w:val="0"/>
        </w:numPr>
      </w:pPr>
      <w:r>
        <w:t xml:space="preserve">Au paragraphe 6 de ce document, la Défenderesse admet la « perte importante de revenus » et la « précarité financière » du demandeur.</w:t>
      </w:r>
    </w:p>
    <w:p>
      <w:pPr>
        <w:pStyle w:val="Compact"/>
        <w:numPr>
          <w:numId w:val="1008"/>
          <w:ilvl w:val="0"/>
        </w:numPr>
      </w:pPr>
      <w:r>
        <w:t xml:space="preserve">Aux paragraphes 7 et 8, elle allègue néanmoins qu’une liste de plus de quatre cents offres d’emploi convenait au profil du demandeur et que celui-ci « a fait le choix de ne pas travailler pour subvenir aux besoins de ses enfants ».</w:t>
      </w:r>
    </w:p>
    <w:p>
      <w:pPr>
        <w:pStyle w:val="Compact"/>
        <w:numPr>
          <w:numId w:val="1008"/>
          <w:ilvl w:val="0"/>
        </w:numPr>
      </w:pPr>
      <w:r>
        <w:t xml:space="preserve">Or les emplois correspondant au profil que la Défenderesse avait elle-même défini en 2019 comportaient des salaires inférieurs au revenu réel alors déclaré par le demandeur ; les occuper aurait abaissé la base de la pension due aux enfants.</w:t>
      </w:r>
    </w:p>
    <w:p>
      <w:pPr>
        <w:pStyle w:val="Compact"/>
        <w:numPr>
          <w:numId w:val="1008"/>
          <w:ilvl w:val="0"/>
        </w:numPr>
      </w:pPr>
      <w:r>
        <w:t xml:space="preserve">Le demandeur avait par ailleurs transmis ses candidatures sans qu’aucun reproche ne soit formulé, et informé les deux défenderesses, dès 2020, qu’aucun emploi de ce profil n’atteignait le revenu exigé.</w:t>
      </w:r>
    </w:p>
    <w:p>
      <w:pPr>
        <w:pStyle w:val="Compact"/>
        <w:numPr>
          <w:numId w:val="1008"/>
          <w:ilvl w:val="0"/>
        </w:numPr>
      </w:pPr>
      <w:r>
        <w:t xml:space="preserve">Les paragraphes 7 et 8 sont sans rapport avec le domicile des parties, seul fondement du moyen déclinatoire.</w:t>
      </w:r>
    </w:p>
    <w:p>
      <w:pPr>
        <w:pStyle w:val="Compact"/>
        <w:numPr>
          <w:numId w:val="1008"/>
          <w:ilvl w:val="0"/>
        </w:numPr>
      </w:pPr>
      <w:r>
        <w:t xml:space="preserve">L’imputation d’un « choix de ne pas travailler pour subvenir aux besoins de ses enfants », fausse et étrangère à l’objet de la procédure, a été formulée et jurée alors que ses autrices détenaient l’information la contredisant.</w:t>
      </w:r>
    </w:p>
    <w:p>
      <w:pPr>
        <w:pStyle w:val="Heading2"/>
      </w:pPr>
      <w:bookmarkStart w:id="41" w:name="usage-dans-la-demande-introductive"/>
      <w:r>
        <w:t xml:space="preserve">13. Usage dans la demande introductive</w:t>
      </w:r>
      <w:bookmarkEnd w:id="41"/>
    </w:p>
    <w:p>
      <w:pPr>
        <w:pStyle w:val="FirstParagraph"/>
      </w:pPr>
      <w:r>
        <w:t xml:space="preserve">Pièce</w:t>
      </w:r>
      <w:r>
        <w:t xml:space="preserve"> </w:t>
      </w:r>
      <w:r>
        <w:rPr>
          <w:b/>
        </w:rPr>
        <w:t xml:space="preserve">maîtresse et récente</w:t>
      </w:r>
      <w:r>
        <w:t xml:space="preserve"> </w:t>
      </w:r>
      <w:r>
        <w:t xml:space="preserve">du recours : elle fournit le</w:t>
      </w:r>
      <w:r>
        <w:t xml:space="preserve"> </w:t>
      </w:r>
      <w:r>
        <w:rPr>
          <w:b/>
        </w:rPr>
        <w:t xml:space="preserve">fait générateur non prescrit</w:t>
      </w:r>
      <w:r>
        <w:t xml:space="preserve">, atteint</w:t>
      </w:r>
      <w:r>
        <w:t xml:space="preserve"> </w:t>
      </w:r>
      <w:r>
        <w:rPr>
          <w:b/>
        </w:rPr>
        <w:t xml:space="preserve">les deux défenderesses</w:t>
      </w:r>
      <w:r>
        <w:t xml:space="preserve">, et illustre le</w:t>
      </w:r>
      <w:r>
        <w:t xml:space="preserve"> </w:t>
      </w:r>
      <w:r>
        <w:rPr>
          <w:b/>
        </w:rPr>
        <w:t xml:space="preserve">patron</w:t>
      </w:r>
      <w:r>
        <w:t xml:space="preserve"> </w:t>
      </w:r>
      <w:r>
        <w:t xml:space="preserve">(2013→2023) sous sa forme la plus consommée (faux</w:t>
      </w:r>
      <w:r>
        <w:t xml:space="preserve"> </w:t>
      </w:r>
      <w:r>
        <w:rPr>
          <w:b/>
        </w:rPr>
        <w:t xml:space="preserve">juré</w:t>
      </w:r>
      <w:r>
        <w:t xml:space="preserve">). À placer en</w:t>
      </w:r>
      <w:r>
        <w:t xml:space="preserve"> </w:t>
      </w:r>
      <w:r>
        <w:rPr>
          <w:b/>
        </w:rPr>
        <w:t xml:space="preserve">tête du volet responsabilité</w:t>
      </w:r>
      <w:r>
        <w:t xml:space="preserve"> </w:t>
      </w:r>
      <w:r>
        <w:t xml:space="preserve">(l’acte le plus proche), puis remonter le patron vers 2019/2015/2013 par la faute continue. Les développements</w:t>
      </w:r>
      <w:r>
        <w:t xml:space="preserve"> </w:t>
      </w:r>
      <w:r>
        <w:rPr>
          <w:i/>
        </w:rPr>
        <w:t xml:space="preserve">prescription</w:t>
      </w:r>
      <w:r>
        <w:t xml:space="preserve">,</w:t>
      </w:r>
      <w:r>
        <w:t xml:space="preserve"> </w:t>
      </w:r>
      <w:r>
        <w:rPr>
          <w:i/>
        </w:rPr>
        <w:t xml:space="preserve">immunité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préjudice</w:t>
      </w:r>
      <w:r>
        <w:t xml:space="preserve"> </w:t>
      </w:r>
      <w:r>
        <w:t xml:space="preserve">s’y rattachent directement.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X839d30d1aa4e07943d00ffce78ab94a319cc3a4"/>
      <w:r>
        <w:t xml:space="preserve">MOYENS DE DROIT — volet 2023 : ce que la procédure civile exige</w:t>
      </w:r>
      <w:r>
        <w:t xml:space="preserve"> </w:t>
      </w:r>
      <w:r>
        <w:rPr>
          <w:i/>
        </w:rPr>
        <w:t xml:space="preserve">en sus</w:t>
      </w:r>
      <w:r>
        <w:t xml:space="preserve"> </w:t>
      </w:r>
      <w:r>
        <w:t xml:space="preserve">des faits numérotés</w:t>
      </w:r>
      <w:bookmarkEnd w:id="42"/>
    </w:p>
    <w:p>
      <w:pPr>
        <w:pStyle w:val="BlockText"/>
      </w:pPr>
      <w:r>
        <w:rPr>
          <w:b/>
        </w:rPr>
        <w:t xml:space="preserve">STATUT : brouillon de travail.</w:t>
      </w:r>
      <w:r>
        <w:t xml:space="preserve"> </w:t>
      </w:r>
      <w:r>
        <w:t xml:space="preserve">Les</w:t>
      </w:r>
      <w:r>
        <w:t xml:space="preserve"> </w:t>
      </w:r>
      <w:r>
        <w:rPr>
          <w:b/>
        </w:rPr>
        <w:t xml:space="preserve">numéros d’articles</w:t>
      </w:r>
      <w:r>
        <w:t xml:space="preserve"> </w:t>
      </w:r>
      <w:r>
        <w:t xml:space="preserve">(C.p.c. / C.c.Q. / Charte) sont à</w:t>
      </w:r>
      <w:r>
        <w:t xml:space="preserve"> </w:t>
      </w:r>
      <w:r>
        <w:rPr>
          <w:b/>
        </w:rPr>
        <w:t xml:space="preserve">vérifier</w:t>
      </w:r>
      <w:r>
        <w:t xml:space="preserve"> </w:t>
      </w:r>
      <w:r>
        <w:t xml:space="preserve">avant tout usage. Le pont §7-8 ci-dessus développe déjà, à ses piliers 6-8, l’immunité, la prescription et la solidarité ; la présente section les</w:t>
      </w:r>
      <w:r>
        <w:t xml:space="preserve"> </w:t>
      </w:r>
      <w:r>
        <w:rPr>
          <w:b/>
        </w:rPr>
        <w:t xml:space="preserve">agrège</w:t>
      </w:r>
      <w:r>
        <w:t xml:space="preserve"> </w:t>
      </w:r>
      <w:r>
        <w:t xml:space="preserve">dans l’architecture commune aux volets 2015 et 2019, sans dupliquer le détail.</w:t>
      </w:r>
    </w:p>
    <w:p>
      <w:pPr>
        <w:pStyle w:val="Heading2"/>
      </w:pPr>
      <w:bookmarkStart w:id="43" w:name="Xb48705071438d8f2c6cfd8197a6d85854b7fd10"/>
      <w:r>
        <w:t xml:space="preserve">0. Le principe — les faits ne suffisent pas ; 2023 est la clé de voûte</w:t>
      </w:r>
      <w:bookmarkEnd w:id="43"/>
    </w:p>
    <w:p>
      <w:pPr>
        <w:pStyle w:val="FirstParagraph"/>
      </w:pPr>
      <w:r>
        <w:t xml:space="preserve">La dénonciation du 21 juillet 2023 est l’</w:t>
      </w:r>
      <w:r>
        <w:rPr>
          <w:b/>
        </w:rPr>
        <w:t xml:space="preserve">acte le plus récent</w:t>
      </w:r>
      <w:r>
        <w:t xml:space="preserve"> </w:t>
      </w:r>
      <w:r>
        <w:t xml:space="preserve">et le</w:t>
      </w:r>
      <w:r>
        <w:t xml:space="preserve"> </w:t>
      </w:r>
      <w:r>
        <w:rPr>
          <w:b/>
        </w:rPr>
        <w:t xml:space="preserve">plus consommé</w:t>
      </w:r>
      <w:r>
        <w:t xml:space="preserve"> </w:t>
      </w:r>
      <w:r>
        <w:t xml:space="preserve">(faux</w:t>
      </w:r>
      <w:r>
        <w:t xml:space="preserve"> </w:t>
      </w:r>
      <w:r>
        <w:rPr>
          <w:b/>
        </w:rPr>
        <w:t xml:space="preserve">juré</w:t>
      </w:r>
      <w:r>
        <w:t xml:space="preserve">). C’est elle qui fournit le</w:t>
      </w:r>
      <w:r>
        <w:t xml:space="preserve"> </w:t>
      </w:r>
      <w:r>
        <w:rPr>
          <w:b/>
        </w:rPr>
        <w:t xml:space="preserve">fait générateur non prescrit</w:t>
      </w:r>
      <w:r>
        <w:t xml:space="preserve">, atteint</w:t>
      </w:r>
      <w:r>
        <w:t xml:space="preserve"> </w:t>
      </w:r>
      <w:r>
        <w:rPr>
          <w:b/>
        </w:rPr>
        <w:t xml:space="preserve">les deux défenderesses</w:t>
      </w:r>
      <w:r>
        <w:t xml:space="preserve"> </w:t>
      </w:r>
      <w:r>
        <w:t xml:space="preserve">et ancre la caractérisation en</w:t>
      </w:r>
      <w:r>
        <w:t xml:space="preserve"> </w:t>
      </w:r>
      <w:r>
        <w:rPr>
          <w:b/>
        </w:rPr>
        <w:t xml:space="preserve">responsabilité/abus</w:t>
      </w:r>
      <w:r>
        <w:t xml:space="preserve"> </w:t>
      </w:r>
      <w:r>
        <w:t xml:space="preserve">plutôt qu’en diffamation pure. Les faits du pont sont</w:t>
      </w:r>
      <w:r>
        <w:t xml:space="preserve"> </w:t>
      </w:r>
      <w:r>
        <w:rPr>
          <w:b/>
        </w:rPr>
        <w:t xml:space="preserve">nécessaires mais non suffisants</w:t>
      </w:r>
      <w:r>
        <w:t xml:space="preserve"> </w:t>
      </w:r>
      <w:r>
        <w:t xml:space="preserve">; l’acte doit encore articuler 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Exigence (en sus des faits)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Fondement (à vérifier)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Qualification / nature</w:t>
            </w:r>
          </w:p>
        </w:tc>
        <w:tc>
          <w:p>
            <w:pPr>
              <w:pStyle w:val="Compact"/>
              <w:jc w:val="left"/>
            </w:pPr>
            <w:r>
              <w:t xml:space="preserve">art. 99, 141 C.p.c.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diffamation</w:t>
            </w:r>
            <w:r>
              <w:t xml:space="preserve"> </w:t>
            </w:r>
            <w:r>
              <w:t xml:space="preserve">(1457 C.c.Q. + Charte, art. 4, 35, 49)</w:t>
            </w:r>
            <w:r>
              <w:t xml:space="preserve"> </w:t>
            </w:r>
            <w:r>
              <w:rPr>
                <w:b/>
              </w:rPr>
              <w:t xml:space="preserve">et</w:t>
            </w:r>
            <w:r>
              <w:t xml:space="preserve"> </w:t>
            </w:r>
            <w:r>
              <w:rPr>
                <w:b/>
              </w:rPr>
              <w:t xml:space="preserve">abus</w:t>
            </w:r>
            <w:r>
              <w:t xml:space="preserve"> </w:t>
            </w:r>
            <w:r>
              <w:t xml:space="preserve">(51-56 C.p.c.)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 trois éléments de 1457</w:t>
            </w:r>
          </w:p>
        </w:tc>
        <w:tc>
          <w:p>
            <w:pPr>
              <w:pStyle w:val="Compact"/>
              <w:jc w:val="left"/>
            </w:pPr>
            <w:r>
              <w:t xml:space="preserve">art. 1457 C.c.Q.</w:t>
            </w:r>
          </w:p>
        </w:tc>
        <w:tc>
          <w:p>
            <w:pPr>
              <w:pStyle w:val="Compact"/>
              <w:jc w:val="left"/>
            </w:pPr>
            <w:r>
              <w:t xml:space="preserve">§§ C, 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Levée de l’immunité relative</w:t>
            </w:r>
          </w:p>
        </w:tc>
        <w:tc>
          <w:p>
            <w:pPr>
              <w:pStyle w:val="Compact"/>
              <w:jc w:val="left"/>
            </w:pPr>
            <w:r>
              <w:t xml:space="preserve">jurisprudence (à réunir)</w:t>
            </w:r>
          </w:p>
        </w:tc>
        <w:tc>
          <w:p>
            <w:pPr>
              <w:pStyle w:val="Compact"/>
              <w:jc w:val="left"/>
            </w:pPr>
            <w:r>
              <w:t xml:space="preserve">§B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Conclusions</w:t>
            </w:r>
            <w:r>
              <w:t xml:space="preserve"> </w:t>
            </w:r>
            <w:r>
              <w:t xml:space="preserve">chiffrables</w:t>
            </w:r>
          </w:p>
        </w:tc>
        <w:tc>
          <w:p>
            <w:pPr>
              <w:pStyle w:val="Compact"/>
              <w:jc w:val="left"/>
            </w:pPr>
            <w:r>
              <w:t xml:space="preserve">art. 99, 141 C.p.c.</w:t>
            </w:r>
          </w:p>
        </w:tc>
        <w:tc>
          <w:p>
            <w:pPr>
              <w:pStyle w:val="Compact"/>
              <w:jc w:val="left"/>
            </w:pPr>
            <w:r>
              <w:t xml:space="preserve">dommages moraux +</w:t>
            </w:r>
            <w:r>
              <w:t xml:space="preserve"> </w:t>
            </w:r>
            <w:r>
              <w:rPr>
                <w:b/>
              </w:rPr>
              <w:t xml:space="preserve">punitifs</w:t>
            </w:r>
            <w:r>
              <w:t xml:space="preserve"> </w:t>
            </w:r>
            <w:r>
              <w:t xml:space="preserve">(Charte 49)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Solidarité</w:t>
            </w:r>
          </w:p>
        </w:tc>
        <w:tc>
          <w:p>
            <w:pPr>
              <w:pStyle w:val="Compact"/>
              <w:jc w:val="left"/>
            </w:pPr>
            <w:r>
              <w:t xml:space="preserve">art. 1526 C.c.Q.</w:t>
            </w:r>
          </w:p>
        </w:tc>
        <w:tc>
          <w:p>
            <w:pPr>
              <w:pStyle w:val="Compact"/>
              <w:jc w:val="left"/>
            </w:pPr>
            <w:r>
              <w:t xml:space="preserve">§D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Prescription</w:t>
            </w:r>
            <w:r>
              <w:t xml:space="preserve"> </w:t>
            </w:r>
            <w:r>
              <w:t xml:space="preserve">(l’ancre)</w:t>
            </w:r>
          </w:p>
        </w:tc>
        <w:tc>
          <w:p>
            <w:pPr>
              <w:pStyle w:val="Compact"/>
              <w:jc w:val="left"/>
            </w:pPr>
            <w:r>
              <w:t xml:space="preserve">art. 2925, 2926, 2929, 2892 C.c.Q.</w:t>
            </w:r>
          </w:p>
        </w:tc>
        <w:tc>
          <w:p>
            <w:pPr>
              <w:pStyle w:val="Compact"/>
              <w:jc w:val="left"/>
            </w:pPr>
            <w:r>
              <w:t xml:space="preserve">§F</w:t>
            </w:r>
          </w:p>
        </w:tc>
      </w:tr>
    </w:tbl>
    <w:p>
      <w:pPr>
        <w:pStyle w:val="Heading2"/>
      </w:pPr>
      <w:bookmarkStart w:id="44" w:name="X465e58c11bbde074b4877de8e8fb76e808afe69"/>
      <w:r>
        <w:t xml:space="preserve">A. Le standard — diffamation dans un acte judiciaire, et la chute de l’immunité</w:t>
      </w:r>
      <w:bookmarkEnd w:id="44"/>
    </w:p>
    <w:p>
      <w:pPr>
        <w:pStyle w:val="FirstParagraph"/>
      </w:pPr>
      <w:r>
        <w:t xml:space="preserve">Les propos tenus dans une procédure jouissent d’une</w:t>
      </w:r>
      <w:r>
        <w:t xml:space="preserve"> </w:t>
      </w:r>
      <w:r>
        <w:rPr>
          <w:b/>
        </w:rPr>
        <w:t xml:space="preserve">immunité relative</w:t>
      </w:r>
      <w:r>
        <w:t xml:space="preserve">. Elle</w:t>
      </w:r>
      <w:r>
        <w:t xml:space="preserve"> </w:t>
      </w:r>
      <w:r>
        <w:rPr>
          <w:b/>
        </w:rPr>
        <w:t xml:space="preserve">cède</w:t>
      </w:r>
      <w:r>
        <w:t xml:space="preserve"> </w:t>
      </w:r>
      <w:r>
        <w:t xml:space="preserve">lorsqu’ils sont</w:t>
      </w:r>
      <w:r>
        <w:t xml:space="preserve"> </w:t>
      </w:r>
      <w:r>
        <w:rPr>
          <w:i/>
        </w:rPr>
        <w:t xml:space="preserve">(i)</w:t>
      </w:r>
      <w:r>
        <w:t xml:space="preserve"> </w:t>
      </w:r>
      <w:r>
        <w:rPr>
          <w:b/>
        </w:rPr>
        <w:t xml:space="preserve">étrangers au litige</w:t>
      </w:r>
      <w:r>
        <w:t xml:space="preserve"> </w:t>
      </w:r>
      <w:r>
        <w:t xml:space="preserve">(non pertinents)</w:t>
      </w:r>
      <w:r>
        <w:t xml:space="preserve"> </w:t>
      </w:r>
      <w:r>
        <w:rPr>
          <w:b/>
        </w:rPr>
        <w:t xml:space="preserve">et/ou</w:t>
      </w:r>
      <w:r>
        <w:t xml:space="preserve"> </w:t>
      </w:r>
      <w:r>
        <w:rPr>
          <w:i/>
        </w:rPr>
        <w:t xml:space="preserve">(ii)</w:t>
      </w:r>
      <w:r>
        <w:t xml:space="preserve"> </w:t>
      </w:r>
      <w:r>
        <w:t xml:space="preserve">tenus de</w:t>
      </w:r>
      <w:r>
        <w:t xml:space="preserve"> </w:t>
      </w:r>
      <w:r>
        <w:rPr>
          <w:b/>
        </w:rPr>
        <w:t xml:space="preserve">mauvaise foi</w:t>
      </w:r>
      <w:r>
        <w:t xml:space="preserve">. La démonstration se fait</w:t>
      </w:r>
      <w:r>
        <w:t xml:space="preserve"> </w:t>
      </w:r>
      <w:r>
        <w:rPr>
          <w:b/>
        </w:rPr>
        <w:t xml:space="preserve">dans l’ordre</w:t>
      </w:r>
      <w:r>
        <w:t xml:space="preserve"> </w:t>
      </w:r>
      <w:r>
        <w:t xml:space="preserve">: d’abord la non-pertinence, puis la mauvaise foi (scienter).</w:t>
      </w:r>
      <w:r>
        <w:t xml:space="preserve"> </w:t>
      </w:r>
      <w:r>
        <w:rPr>
          <w:i/>
        </w:rPr>
        <w:t xml:space="preserve">(Test exact et jurisprudence québécoise sur la levée — à confirmer avec le procureur ; pilier 6 du pont.)</w:t>
      </w:r>
    </w:p>
    <w:p>
      <w:pPr>
        <w:pStyle w:val="Heading2"/>
      </w:pPr>
      <w:bookmarkStart w:id="45" w:name="X70e58d0a0b25c7ed50b630c19c6d664816091db"/>
      <w:r>
        <w:t xml:space="preserve">B. Le moyen central — l’inutilité procédurale révèle la fin étrangère</w:t>
      </w:r>
      <w:bookmarkEnd w:id="45"/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Non-pertinence acquise.</w:t>
      </w:r>
      <w:r>
        <w:t xml:space="preserve"> </w:t>
      </w:r>
      <w:r>
        <w:t xml:space="preserve">Le moyen déclinatoire se tranche sur le seul</w:t>
      </w:r>
      <w:r>
        <w:t xml:space="preserve"> </w:t>
      </w:r>
      <w:r>
        <w:rPr>
          <w:b/>
        </w:rPr>
        <w:t xml:space="preserve">domicile</w:t>
      </w:r>
      <w:r>
        <w:t xml:space="preserve"> </w:t>
      </w:r>
      <w:r>
        <w:t xml:space="preserve">(§9-11) ; les §7-8 sont</w:t>
      </w:r>
      <w:r>
        <w:t xml:space="preserve"> </w:t>
      </w:r>
      <w:r>
        <w:rPr>
          <w:b/>
        </w:rPr>
        <w:t xml:space="preserve">retranchables intégralement</w:t>
      </w:r>
      <w:r>
        <w:t xml:space="preserve"> </w:t>
      </w:r>
      <w:r>
        <w:t xml:space="preserve">sans affecter la conclusion (« RENVOYER à Longueuil »). La capacité de gain / le « choix de ne pas travailler » n’entrent dans aucune règle de compétence territoriale.</w:t>
      </w:r>
      <w:r>
        <w:t xml:space="preserve"> </w:t>
      </w:r>
      <w:r>
        <w:rPr>
          <w:i/>
        </w:rPr>
        <w:t xml:space="preserve">(Citer l’article du C.p.c. fixant la compétence territoriale familiale sur le domicile.)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La gratuité révèle une fin émotive aggravante.</w:t>
      </w:r>
      <w:r>
        <w:t xml:space="preserve"> </w:t>
      </w:r>
      <w:r>
        <w:t xml:space="preserve">Un allégué</w:t>
      </w:r>
      <w:r>
        <w:t xml:space="preserve"> </w:t>
      </w:r>
      <w:r>
        <w:rPr>
          <w:b/>
        </w:rPr>
        <w:t xml:space="preserve">juré</w:t>
      </w:r>
      <w:r>
        <w:t xml:space="preserve"> </w:t>
      </w:r>
      <w:r>
        <w:t xml:space="preserve">mais</w:t>
      </w:r>
      <w:r>
        <w:t xml:space="preserve"> </w:t>
      </w:r>
      <w:r>
        <w:rPr>
          <w:b/>
        </w:rPr>
        <w:t xml:space="preserve">sans utilité procédurale</w:t>
      </w:r>
      <w:r>
        <w:t xml:space="preserve"> </w:t>
      </w:r>
      <w:r>
        <w:t xml:space="preserve">sert une autre fin : ici, caractériser le demandeur en père qui « fait le</w:t>
      </w:r>
      <w:r>
        <w:t xml:space="preserve"> </w:t>
      </w:r>
      <w:r>
        <w:rPr>
          <w:b/>
        </w:rPr>
        <w:t xml:space="preserve">choix</w:t>
      </w:r>
      <w:r>
        <w:t xml:space="preserve"> </w:t>
      </w:r>
      <w:r>
        <w:t xml:space="preserve">de ne pas travailler</w:t>
      </w:r>
      <w:r>
        <w:t xml:space="preserve"> </w:t>
      </w:r>
      <w:r>
        <w:rPr>
          <w:b/>
        </w:rPr>
        <w:t xml:space="preserve">pour subvenir aux besoins de ses enfants</w:t>
      </w:r>
      <w:r>
        <w:t xml:space="preserve"> </w:t>
      </w:r>
      <w:r>
        <w:t xml:space="preserve">» — pour</w:t>
      </w:r>
      <w:r>
        <w:t xml:space="preserve"> </w:t>
      </w:r>
      <w:r>
        <w:rPr>
          <w:b/>
        </w:rPr>
        <w:t xml:space="preserve">aggraver</w:t>
      </w:r>
      <w:r>
        <w:t xml:space="preserve"> </w:t>
      </w:r>
      <w:r>
        <w:t xml:space="preserve">le préjudice moral/réputationnel, empoisonner le litige familial et peser du poids du serment.</w:t>
      </w:r>
      <w:r>
        <w:t xml:space="preserve"> </w:t>
      </w:r>
      <w:r>
        <w:rPr>
          <w:b/>
        </w:rPr>
        <w:t xml:space="preserve">L’inutilité juridique est l’indice de la fin étrangère (abus, art. 51) et la mesure de l’aggravation.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Deux socles admissibles, auto-suffisants</w:t>
      </w:r>
      <w:r>
        <w:t xml:space="preserve"> </w:t>
      </w:r>
      <w:r>
        <w:t xml:space="preserve">(sans crédibilité ni pièce contestée) :</w:t>
      </w:r>
      <w:r>
        <w:t xml:space="preserve"> </w:t>
      </w:r>
      <w:r>
        <w:rPr>
          <w:i/>
        </w:rPr>
        <w:t xml:space="preserve">(a)</w:t>
      </w:r>
      <w:r>
        <w:t xml:space="preserve"> </w:t>
      </w:r>
      <w:r>
        <w:rPr>
          <w:b/>
        </w:rPr>
        <w:t xml:space="preserve">finalité inversée</w:t>
      </w:r>
      <w:r>
        <w:t xml:space="preserve"> </w:t>
      </w:r>
      <w:r>
        <w:t xml:space="preserve">— les emplois invoqués (profil défini par Me Ayoub en 2019) valaient</w:t>
      </w:r>
      <w:r>
        <w:t xml:space="preserve"> </w:t>
      </w:r>
      <w:r>
        <w:rPr>
          <w:b/>
        </w:rPr>
        <w:t xml:space="preserve">moins</w:t>
      </w:r>
      <w:r>
        <w:t xml:space="preserve"> </w:t>
      </w:r>
      <w:r>
        <w:t xml:space="preserve">que le revenu réel du demandeur ; les occuper aurait</w:t>
      </w:r>
      <w:r>
        <w:t xml:space="preserve"> </w:t>
      </w:r>
      <w:r>
        <w:rPr>
          <w:b/>
        </w:rPr>
        <w:t xml:space="preserve">abaissé</w:t>
      </w:r>
      <w:r>
        <w:t xml:space="preserve"> </w:t>
      </w:r>
      <w:r>
        <w:t xml:space="preserve">la pension, l’inverse de « subvenir aux besoins » ;</w:t>
      </w:r>
      <w:r>
        <w:t xml:space="preserve"> </w:t>
      </w:r>
      <w:r>
        <w:rPr>
          <w:i/>
        </w:rPr>
        <w:t xml:space="preserve">(b)</w:t>
      </w:r>
      <w:r>
        <w:t xml:space="preserve"> </w:t>
      </w:r>
      <w:r>
        <w:rPr>
          <w:b/>
        </w:rPr>
        <w:t xml:space="preserve">aveu interne du §6</w:t>
      </w:r>
      <w:r>
        <w:t xml:space="preserve"> </w:t>
      </w:r>
      <w:r>
        <w:t xml:space="preserve">— « perte importante de revenus » et « précarité financière » ⊥ « choix de ne pas travailler » (§8), contradiction</w:t>
      </w:r>
      <w:r>
        <w:t xml:space="preserve"> </w:t>
      </w:r>
      <w:r>
        <w:rPr>
          <w:b/>
        </w:rPr>
        <w:t xml:space="preserve">dans le même document</w:t>
      </w:r>
      <w:r>
        <w:t xml:space="preserve">.</w:t>
      </w:r>
    </w:p>
    <w:p>
      <w:pPr>
        <w:pStyle w:val="Heading2"/>
      </w:pPr>
      <w:bookmarkStart w:id="46" w:name="X5da7098e0a6f957a51c8cd700086262fe18404c"/>
      <w:r>
        <w:t xml:space="preserve">C. La connaissance (scienter) — deux fondements distincts</w:t>
      </w:r>
      <w:bookmarkEnd w:id="46"/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Me Marie-Josée Ayoub — autrice et destinataire.</w:t>
      </w:r>
      <w:r>
        <w:t xml:space="preserve"> </w:t>
      </w:r>
      <w:r>
        <w:t xml:space="preserve">Elle</w:t>
      </w:r>
      <w:r>
        <w:t xml:space="preserve"> </w:t>
      </w:r>
      <w:r>
        <w:rPr>
          <w:b/>
        </w:rPr>
        <w:t xml:space="preserve">rédige</w:t>
      </w:r>
      <w:r>
        <w:t xml:space="preserve"> </w:t>
      </w:r>
      <w:r>
        <w:t xml:space="preserve">§7-8 ; elle a</w:t>
      </w:r>
      <w:r>
        <w:t xml:space="preserve"> </w:t>
      </w:r>
      <w:r>
        <w:rPr>
          <w:b/>
        </w:rPr>
        <w:t xml:space="preserve">elle-même défini</w:t>
      </w:r>
      <w:r>
        <w:t xml:space="preserve"> </w:t>
      </w:r>
      <w:r>
        <w:t xml:space="preserve">le profil (DA-2019 §15) dont les salaires sont inférieurs au revenu réel ; elle était</w:t>
      </w:r>
      <w:r>
        <w:t xml:space="preserve"> </w:t>
      </w:r>
      <w:r>
        <w:rPr>
          <w:b/>
        </w:rPr>
        <w:t xml:space="preserve">destinataire personnelle</w:t>
      </w:r>
      <w:r>
        <w:t xml:space="preserve"> </w:t>
      </w:r>
      <w:r>
        <w:t xml:space="preserve">des courriels documentant les contraintes et la bonne foi du demandeur (17 févr. 2020 [B-16] ; 17 avr. 2020 [B-15]) et détenait l’archive</w:t>
      </w:r>
      <w:r>
        <w:t xml:space="preserve"> </w:t>
      </w:r>
      <w:r>
        <w:rPr>
          <w:rStyle w:val="VerbatimChar"/>
        </w:rPr>
        <w:t xml:space="preserve">applications.mbox</w:t>
      </w:r>
      <w:r>
        <w:t xml:space="preserve"> </w:t>
      </w:r>
      <w:r>
        <w:t xml:space="preserve">(transmise le 15 oct. 2019).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Élise Marie Ayoub — connaissance directe.</w:t>
      </w:r>
      <w:r>
        <w:t xml:space="preserve"> </w:t>
      </w:r>
      <w:r>
        <w:t xml:space="preserve">Elle</w:t>
      </w:r>
      <w:r>
        <w:t xml:space="preserve"> </w:t>
      </w:r>
      <w:r>
        <w:rPr>
          <w:b/>
        </w:rPr>
        <w:t xml:space="preserve">jure</w:t>
      </w:r>
      <w:r>
        <w:t xml:space="preserve"> </w:t>
      </w:r>
      <w:r>
        <w:t xml:space="preserve">; elle était</w:t>
      </w:r>
      <w:r>
        <w:t xml:space="preserve"> </w:t>
      </w:r>
      <w:r>
        <w:rPr>
          <w:b/>
        </w:rPr>
        <w:t xml:space="preserve">destinataire directe</w:t>
      </w:r>
      <w:r>
        <w:t xml:space="preserve"> </w:t>
      </w:r>
      <w:r>
        <w:t xml:space="preserve">du courriel du 22 juin 2020 par lequel le demandeur contestait la qualification de « choix » (passeport suspendu ; absence d’emploi au seuil ; bonne foi ; démarche Allianz).</w:t>
      </w:r>
    </w:p>
    <w:p>
      <w:pPr>
        <w:pStyle w:val="FirstParagraph"/>
      </w:pPr>
      <w:r>
        <w:t xml:space="preserve">Scienter démontré</w:t>
      </w:r>
      <w:r>
        <w:t xml:space="preserve"> </w:t>
      </w:r>
      <w:r>
        <w:rPr>
          <w:b/>
        </w:rPr>
        <w:t xml:space="preserve">par autrice</w:t>
      </w:r>
      <w:r>
        <w:t xml:space="preserve">, non présumé (art. 2805 → 2849).</w:t>
      </w:r>
      <w:r>
        <w:t xml:space="preserve"> </w:t>
      </w:r>
      <w:r>
        <w:rPr>
          <w:i/>
        </w:rPr>
        <w:t xml:space="preserve">(Pilier lié : le « silence qualifié » — la partie qui détenait la preuve et portait le fardeau n’a exercé aucun prédicat d’imputation.)</w:t>
      </w:r>
    </w:p>
    <w:p>
      <w:pPr>
        <w:pStyle w:val="Heading2"/>
      </w:pPr>
      <w:bookmarkStart w:id="47" w:name="X92200107a4b40202b122c31543da7338a8d50d1"/>
      <w:r>
        <w:t xml:space="preserve">D. La solidarité (art. 1526 C.c.Q.) — atteint les deux, sans P-1</w:t>
      </w:r>
      <w:bookmarkEnd w:id="47"/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Me Ayoub</w:t>
      </w:r>
      <w:r>
        <w:t xml:space="preserve"> </w:t>
      </w:r>
      <w:r>
        <w:t xml:space="preserve">: faute personnelle (rédige et signe son propre écrit), standard</w:t>
      </w:r>
      <w:r>
        <w:t xml:space="preserve"> </w:t>
      </w:r>
      <w:r>
        <w:rPr>
          <w:b/>
        </w:rPr>
        <w:t xml:space="preserve">aggravé</w:t>
      </w:r>
      <w:r>
        <w:t xml:space="preserve"> </w:t>
      </w:r>
      <w:r>
        <w:t xml:space="preserve">par le Code de déontologie (art. 19 : écrit « faux ou qu’il devrait savoir faux » ; art. 113 : pas de procédure « dans le seul but de nuire » —</w:t>
      </w:r>
      <w:r>
        <w:t xml:space="preserve"> </w:t>
      </w:r>
      <w:hyperlink r:id="rId48">
        <w:r>
          <w:rPr>
            <w:rStyle w:val="Hyperlink"/>
          </w:rPr>
          <w:t xml:space="preserve">piece_pdf-92.md</w:t>
        </w:r>
      </w:hyperlink>
      <w:r>
        <w:t xml:space="preserve">).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Élise</w:t>
      </w:r>
      <w:r>
        <w:t xml:space="preserve"> </w:t>
      </w:r>
      <w:r>
        <w:t xml:space="preserve">:</w:t>
      </w:r>
      <w:r>
        <w:t xml:space="preserve"> </w:t>
      </w:r>
      <w:r>
        <w:rPr>
          <w:b/>
        </w:rPr>
        <w:t xml:space="preserve">faux juré consommé</w:t>
      </w:r>
      <w:r>
        <w:t xml:space="preserve"> </w:t>
      </w:r>
      <w:r>
        <w:t xml:space="preserve">(art. 106 C.p.c.) — ce que l’affidavit de 2013, jamais déposé, n’avait pas.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Avantage décisif</w:t>
      </w:r>
      <w:r>
        <w:t xml:space="preserve"> </w:t>
      </w:r>
      <w:r>
        <w:t xml:space="preserve">: 2023 atteint Me Ayoub</w:t>
      </w:r>
      <w:r>
        <w:t xml:space="preserve"> </w:t>
      </w:r>
      <w:r>
        <w:rPr>
          <w:b/>
        </w:rPr>
        <w:t xml:space="preserve">par son propre écrit</w:t>
      </w:r>
      <w:r>
        <w:t xml:space="preserve">,</w:t>
      </w:r>
      <w:r>
        <w:t xml:space="preserve"> </w:t>
      </w:r>
      <w:r>
        <w:rPr>
          <w:b/>
        </w:rPr>
        <w:t xml:space="preserve">sans dépendre de P-1</w:t>
      </w:r>
      <w:r>
        <w:t xml:space="preserve"> </w:t>
      </w:r>
      <w:r>
        <w:t xml:space="preserve">ni du secret professionnel de 2013.</w:t>
      </w:r>
    </w:p>
    <w:p>
      <w:pPr>
        <w:pStyle w:val="Heading2"/>
      </w:pPr>
      <w:bookmarkStart w:id="49" w:name="Xecbe50e3da7f9c0ddbff59a11627fb9c5a0b731"/>
      <w:r>
        <w:t xml:space="preserve">E. Le préjudice et le lien de causalité (1457 C.c.Q. + Charte)</w:t>
      </w:r>
      <w:bookmarkEnd w:id="49"/>
    </w:p>
    <w:p>
      <w:pPr>
        <w:pStyle w:val="FirstParagraph"/>
      </w:pPr>
      <w:r>
        <w:t xml:space="preserve">Le §8 diffamatoire est le</w:t>
      </w:r>
      <w:r>
        <w:t xml:space="preserve"> </w:t>
      </w:r>
      <w:r>
        <w:rPr>
          <w:b/>
        </w:rPr>
        <w:t xml:space="preserve">préjudice-pivot récent</w:t>
      </w:r>
      <w:r>
        <w:t xml:space="preserve"> </w:t>
      </w:r>
      <w:r>
        <w:t xml:space="preserve">: atteinte à la</w:t>
      </w:r>
      <w:r>
        <w:t xml:space="preserve"> </w:t>
      </w:r>
      <w:r>
        <w:rPr>
          <w:b/>
        </w:rPr>
        <w:t xml:space="preserve">réputation et à la dignité</w:t>
      </w:r>
      <w:r>
        <w:t xml:space="preserve"> </w:t>
      </w:r>
      <w:r>
        <w:t xml:space="preserve">du demandeur comme père. Articuler aussi le</w:t>
      </w:r>
      <w:r>
        <w:t xml:space="preserve"> </w:t>
      </w:r>
      <w:r>
        <w:rPr>
          <w:b/>
        </w:rPr>
        <w:t xml:space="preserve">préjudice moral aggravé</w:t>
      </w:r>
      <w:r>
        <w:t xml:space="preserve"> </w:t>
      </w:r>
      <w:r>
        <w:t xml:space="preserve">(fait juré, gratuit, infamant) ouvrant les</w:t>
      </w:r>
      <w:r>
        <w:t xml:space="preserve"> </w:t>
      </w:r>
      <w:r>
        <w:rPr>
          <w:b/>
        </w:rPr>
        <w:t xml:space="preserve">dommages punitifs</w:t>
      </w:r>
      <w:r>
        <w:t xml:space="preserve"> </w:t>
      </w:r>
      <w:r>
        <w:t xml:space="preserve">(atteinte intentionnelle, Charte art. 49). Rattachement patrimonial : le motif « situation financière » du jugement de 2019 est</w:t>
      </w:r>
      <w:r>
        <w:t xml:space="preserve"> </w:t>
      </w:r>
      <w:r>
        <w:rPr>
          <w:b/>
        </w:rPr>
        <w:t xml:space="preserve">vidé</w:t>
      </w:r>
      <w:r>
        <w:t xml:space="preserve"> </w:t>
      </w:r>
      <w:r>
        <w:t xml:space="preserve">par la distorsion des intrants (père sur-estimé / mère sous-estimée), reliant le volet 2023 au préjudice patrimonial de la pension (voir</w:t>
      </w:r>
      <w:r>
        <w:t xml:space="preserve"> </w:t>
      </w:r>
      <w:hyperlink r:id="rId50">
        <w:r>
          <w:rPr>
            <w:rStyle w:val="Hyperlink"/>
          </w:rPr>
          <w:t xml:space="preserve">these_revenu_mere_verifiabilite.md</w:t>
        </w:r>
      </w:hyperlink>
      <w:r>
        <w:t xml:space="preserve">).</w:t>
      </w:r>
      <w:r>
        <w:t xml:space="preserve"> </w:t>
      </w:r>
      <w:r>
        <w:rPr>
          <w:b/>
        </w:rPr>
        <w:t xml:space="preserve">Causalité à prouver, non présumer.</w:t>
      </w:r>
    </w:p>
    <w:p>
      <w:pPr>
        <w:pStyle w:val="Heading2"/>
      </w:pPr>
      <w:bookmarkStart w:id="51" w:name="Xe7c62f602661d65658ae8e19cdf11c7565b6a91"/>
      <w:r>
        <w:t xml:space="preserve">F. Prescription — l’ANCRE (le pilier qui autorise tout le recours)</w:t>
      </w:r>
      <w:bookmarkEnd w:id="51"/>
    </w:p>
    <w:p>
      <w:pPr>
        <w:pStyle w:val="Compact"/>
        <w:numPr>
          <w:numId w:val="1012"/>
          <w:ilvl w:val="0"/>
        </w:numPr>
      </w:pPr>
      <w:r>
        <w:t xml:space="preserve">Diffamation pure :</w:t>
      </w:r>
      <w:r>
        <w:t xml:space="preserve"> </w:t>
      </w:r>
      <w:r>
        <w:rPr>
          <w:b/>
        </w:rPr>
        <w:t xml:space="preserve">1 an</w:t>
      </w:r>
      <w:r>
        <w:t xml:space="preserve"> </w:t>
      </w:r>
      <w:r>
        <w:t xml:space="preserve">(art. 2929) —</w:t>
      </w:r>
      <w:r>
        <w:t xml:space="preserve"> </w:t>
      </w:r>
      <w:r>
        <w:rPr>
          <w:b/>
        </w:rPr>
        <w:t xml:space="preserve">déjà expirée</w:t>
      </w:r>
      <w:r>
        <w:t xml:space="preserve"> </w:t>
      </w:r>
      <w:r>
        <w:t xml:space="preserve">pour 2023 (depuis juillet 2024).</w:t>
      </w:r>
    </w:p>
    <w:p>
      <w:pPr>
        <w:pStyle w:val="Compact"/>
        <w:numPr>
          <w:numId w:val="1012"/>
          <w:ilvl w:val="0"/>
        </w:numPr>
      </w:pPr>
      <w:r>
        <w:t xml:space="preserve">Responsabilité/abus :</w:t>
      </w:r>
      <w:r>
        <w:t xml:space="preserve"> </w:t>
      </w:r>
      <w:r>
        <w:rPr>
          <w:b/>
        </w:rPr>
        <w:t xml:space="preserve">3 ans</w:t>
      </w:r>
      <w:r>
        <w:t xml:space="preserve"> </w:t>
      </w:r>
      <w:r>
        <w:t xml:space="preserve">(art. 2925). La dénonciation</w:t>
      </w:r>
      <w:r>
        <w:t xml:space="preserve"> </w:t>
      </w:r>
      <w:r>
        <w:rPr>
          <w:b/>
        </w:rPr>
        <w:t xml:space="preserve">assermentée le 21 juillet 2023</w:t>
      </w:r>
      <w:r>
        <w:t xml:space="preserve"> </w:t>
      </w:r>
      <w:r>
        <w:t xml:space="preserve">est un</w:t>
      </w:r>
      <w:r>
        <w:t xml:space="preserve"> </w:t>
      </w:r>
      <w:r>
        <w:rPr>
          <w:b/>
        </w:rPr>
        <w:t xml:space="preserve">fait générateur autonome</w:t>
      </w:r>
      <w:r>
        <w:t xml:space="preserve"> </w:t>
      </w:r>
      <w:r>
        <w:t xml:space="preserve">dans cette fenêtre. Les actes de 2013-2019,</w:t>
      </w:r>
      <w:r>
        <w:t xml:space="preserve"> </w:t>
      </w:r>
      <w:r>
        <w:rPr>
          <w:i/>
        </w:rPr>
        <w:t xml:space="preserve">prima facie</w:t>
      </w:r>
      <w:r>
        <w:t xml:space="preserve"> </w:t>
      </w:r>
      <w:r>
        <w:t xml:space="preserve">prescrits, se rattachent par la</w:t>
      </w:r>
      <w:r>
        <w:t xml:space="preserve"> </w:t>
      </w:r>
      <w:r>
        <w:rPr>
          <w:b/>
        </w:rPr>
        <w:t xml:space="preserve">faute continue</w:t>
      </w:r>
      <w:r>
        <w:t xml:space="preserve"> </w:t>
      </w:r>
      <w:r>
        <w:t xml:space="preserve">(art. 2926) dont 2023 est la</w:t>
      </w:r>
      <w:r>
        <w:t xml:space="preserve"> </w:t>
      </w:r>
      <w:r>
        <w:rPr>
          <w:b/>
        </w:rPr>
        <w:t xml:space="preserve">dernière itération</w:t>
      </w:r>
      <w:r>
        <w:t xml:space="preserve">.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⚠️ Déposer avant le 21 juillet 2026</w:t>
      </w:r>
      <w:r>
        <w:t xml:space="preserve"> </w:t>
      </w:r>
      <w:r>
        <w:t xml:space="preserve">(interruption, art. 2892). Caractériser en</w:t>
      </w:r>
      <w:r>
        <w:t xml:space="preserve"> </w:t>
      </w:r>
      <w:r>
        <w:rPr>
          <w:b/>
        </w:rPr>
        <w:t xml:space="preserve">abus/responsabilité</w:t>
      </w:r>
      <w:r>
        <w:t xml:space="preserve">,</w:t>
      </w:r>
      <w:r>
        <w:t xml:space="preserve"> </w:t>
      </w:r>
      <w:r>
        <w:rPr>
          <w:b/>
        </w:rPr>
        <w:t xml:space="preserve">jamais</w:t>
      </w:r>
      <w:r>
        <w:t xml:space="preserve"> </w:t>
      </w:r>
      <w:r>
        <w:t xml:space="preserve">en diffamation pure. Renvoi :</w:t>
      </w:r>
      <w:r>
        <w:t xml:space="preserve"> </w:t>
      </w:r>
      <w:hyperlink r:id="rId52">
        <w:r>
          <w:rPr>
            <w:rStyle w:val="Hyperlink"/>
          </w:rPr>
          <w:t xml:space="preserve">these_prescription.md</w:t>
        </w:r>
      </w:hyperlink>
      <w:r>
        <w:t xml:space="preserve">. La date ne doit pas être traitée comme acquise sans avis juridique immédiat.</w:t>
      </w:r>
    </w:p>
    <w:p>
      <w:pPr>
        <w:pStyle w:val="Heading2"/>
      </w:pPr>
      <w:bookmarkStart w:id="53" w:name="g.-ce-qui-demeure-réservé-à-établir"/>
      <w:r>
        <w:t xml:space="preserve">G. Ce qui demeure réservé / à établir</w:t>
      </w:r>
      <w:bookmarkEnd w:id="53"/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Levée de l’immunité relative</w:t>
      </w:r>
      <w:r>
        <w:t xml:space="preserve"> </w:t>
      </w:r>
      <w:r>
        <w:t xml:space="preserve">: réunir la jurisprudence québécoise (test exact de non-pertinence + mauvaise foi) avant de conclure qu’elle tombe.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Article de compétence territoriale familiale</w:t>
      </w:r>
      <w:r>
        <w:t xml:space="preserve"> </w:t>
      </w:r>
      <w:r>
        <w:t xml:space="preserve">(domicile) : le citer pour établir noir sur blanc que le test du moyen déclinatoire est le domicile, non la capacité de gain.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Faute professionnelle / responsabilité de l’avocate</w:t>
      </w:r>
      <w:r>
        <w:t xml:space="preserve"> </w:t>
      </w:r>
      <w:r>
        <w:t xml:space="preserve">: conditions et obstacles propres.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Textes à vérifier</w:t>
      </w:r>
      <w:r>
        <w:t xml:space="preserve"> </w:t>
      </w:r>
      <w:r>
        <w:t xml:space="preserve">: art. 51, 54, 106 C.p.c. ; art. 1457, 1526, 2805, 2849, 2925, 2926, 2929, 2892 C.c.Q. ; art. 4, 35, 49 Charte ; art. 19, 113 Code de déontologie des avocats.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</w:pPr>
    <w:rPr>
      <w:rFonts w:ascii="Arial" w:hAnsi="Arial" w:cs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jc w:val="left"/>
      <w:outlineLvl w:val="0"/>
    </w:pPr>
    <w:rPr>
      <w:rFonts w:asciiTheme="majorHAnsi" w:eastAsiaTheme="majorEastAsia" w:hAnsiTheme="majorHAnsi" w:cstheme="majorBidi" w:ascii="Arial" w:hAnsi="Arial" w:cs="Arial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360"/>
      <w:jc w:val="left"/>
      <w:outlineLvl w:val="1"/>
    </w:pPr>
    <w:rPr>
      <w:rFonts w:asciiTheme="majorHAnsi" w:eastAsiaTheme="majorEastAsia" w:hAnsiTheme="majorHAnsi" w:cstheme="majorBidi" w:ascii="Arial" w:hAnsi="Arial" w:cs="Arial"/>
      <w:b/>
      <w:bCs/>
      <w:i w:val="0"/>
      <w:cap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360"/>
      <w:jc w:val="left"/>
      <w:outlineLvl w:val="2"/>
    </w:pPr>
    <w:rPr>
      <w:rFonts w:asciiTheme="majorHAnsi" w:eastAsiaTheme="majorEastAsia" w:hAnsiTheme="majorHAnsi" w:cstheme="majorBidi" w:ascii="Arial" w:hAnsi="Arial" w:cs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3"/>
    </w:pPr>
    <w:rPr>
      <w:rFonts w:asciiTheme="majorHAnsi" w:eastAsiaTheme="majorEastAsia" w:hAnsiTheme="majorHAnsi" w:cstheme="majorBidi" w:ascii="Arial" w:hAnsi="Arial" w:cs="Arial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4"/>
    </w:pPr>
    <w:rPr>
      <w:rFonts w:asciiTheme="majorHAnsi" w:eastAsiaTheme="majorEastAsia" w:hAnsiTheme="majorHAnsi" w:cstheme="majorBidi" w:ascii="Arial" w:hAnsi="Arial" w:cs="Arial"/>
      <w:b/>
      <w:i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5"/>
    </w:pPr>
    <w:rPr>
      <w:rFonts w:asciiTheme="majorHAnsi" w:eastAsiaTheme="majorEastAsia" w:hAnsiTheme="majorHAnsi" w:cstheme="majorBidi" w:ascii="Arial" w:hAnsi="Arial" w:cs="Arial"/>
      <w:b/>
      <w:i w:val="0"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contextualSpacing/>
      <w:jc w:val="center"/>
    </w:pPr>
    <w:rPr>
      <w:rFonts w:asciiTheme="majorHAnsi" w:eastAsiaTheme="majorEastAsia" w:hAnsiTheme="majorHAnsi" w:cstheme="majorBidi" w:ascii="Arial" w:hAnsi="Arial" w:cs="Arial"/>
      <w:b/>
      <w:i w:val="0"/>
      <w:caps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Rule="auto" w:line="360" w:before="0"/>
    </w:pPr>
    <w:rPr>
      <w:rFonts w:ascii="Arial" w:hAnsi="Arial" w:cs="Arial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BlockText"/>
    <w:next w:val="Normal"/>
    <w:link w:val="QuoteChar"/>
    <w:uiPriority w:val="29"/>
    <w:qFormat/>
    <w:rsid w:val="00FC693F"/>
    <w:pPr>
      <w:spacing w:lineRule="auto" w:line="240" w:before="120" w:after="120"/>
      <w:ind w:left="709" w:right="709"/>
    </w:pPr>
    <w:rPr>
      <w:rFonts w:ascii="Arial" w:hAnsi="Arial" w:cs="Arial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lineRule="auto" w:line="360" w:before="0" w:after="120"/>
    </w:pPr>
    <w:rPr>
      <w:rFonts w:ascii="Arial" w:hAnsi="Arial" w:cs="Arial"/>
      <w:b w:val="0"/>
      <w:i w:val="0"/>
      <w:color w:val="000000"/>
      <w:sz w:val="24"/>
    </w:rPr>
  </w:style>
  <w:style w:type="paragraph" w:customStyle="1" w:styleId="BlockText">
    <w:name w:val="Block Text"/>
    <w:basedOn w:val="Normal"/>
    <w:pPr>
      <w:spacing w:lineRule="auto" w:line="240" w:before="120" w:after="120"/>
      <w:ind w:left="709" w:right="709"/>
    </w:pPr>
    <w:rPr>
      <w:rFonts w:ascii="Arial" w:hAnsi="Arial" w:cs="Arial"/>
      <w:b w:val="0"/>
      <w:i w:val="0"/>
      <w:color w:val="000000"/>
      <w:sz w:val="24"/>
    </w:rPr>
  </w:style>
  <w:style w:type="paragraph" w:customStyle="1" w:styleId="FootnoteText">
    <w:name w:val="Footnote Text"/>
    <w:pPr>
      <w:spacing w:lineRule="auto" w:line="240" w:before="0" w:after="0"/>
    </w:pPr>
    <w:rPr>
      <w:rFonts w:ascii="Arial" w:hAnsi="Arial" w:cs="Arial"/>
      <w:b w:val="0"/>
      <w:i w:val="0"/>
      <w:color w:val="000000"/>
      <w:sz w:val="20"/>
    </w:rPr>
  </w:style>
  <w:style w:type="paragraph" w:customStyle="1" w:styleId="SourceCode">
    <w:name w:val="Source Code"/>
    <w:pPr>
      <w:spacing w:lineRule="auto" w:line="240" w:before="120" w:after="120"/>
      <w:ind w:left="709"/>
    </w:pPr>
    <w:rPr>
      <w:rFonts w:ascii="Courier New" w:hAnsi="Courier New" w:cs="Courier New"/>
      <w:b w:val="0"/>
      <w:i w:val="0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/>
      <w:b w:val="0"/>
      <w:i w:val="0"/>
      <w:color w:val="000000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Relationship Type="http://schemas.openxmlformats.org/officeDocument/2006/relationships/hyperlink" Id="rId26" Target="../faits/faits_par7-8_2023.md" TargetMode="External" /><Relationship Type="http://schemas.openxmlformats.org/officeDocument/2006/relationships/hyperlink" Id="rId25" Target="../piece_denonciation_declinatoire_2023.md" TargetMode="External" /><Relationship Type="http://schemas.openxmlformats.org/officeDocument/2006/relationships/hyperlink" Id="rId38" Target="../piece_document-3.md" TargetMode="External" /><Relationship Type="http://schemas.openxmlformats.org/officeDocument/2006/relationships/hyperlink" Id="rId35" Target="../piece_pdf-92.md" TargetMode="External" /><Relationship Type="http://schemas.openxmlformats.org/officeDocument/2006/relationships/hyperlink" Id="rId33" Target="../these_prescription.md" TargetMode="External" /><Relationship Type="http://schemas.openxmlformats.org/officeDocument/2006/relationships/hyperlink" Id="rId48" Target="piece_pdf-92.md" TargetMode="External" /><Relationship Type="http://schemas.openxmlformats.org/officeDocument/2006/relationships/hyperlink" Id="rId21" Target="ponts_requete_2015_consolides.md" TargetMode="External" /><Relationship Type="http://schemas.openxmlformats.org/officeDocument/2006/relationships/hyperlink" Id="rId22" Target="ponts_requete_2019_consolides.md" TargetMode="External" /><Relationship Type="http://schemas.openxmlformats.org/officeDocument/2006/relationships/hyperlink" Id="rId52" Target="these_prescription.md" TargetMode="External" /><Relationship Type="http://schemas.openxmlformats.org/officeDocument/2006/relationships/hyperlink" Id="rId50" Target="these_revenu_mere_verifiabilite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../faits/faits_par7-8_2023.md" TargetMode="External" /><Relationship Type="http://schemas.openxmlformats.org/officeDocument/2006/relationships/hyperlink" Id="rId25" Target="../piece_denonciation_declinatoire_2023.md" TargetMode="External" /><Relationship Type="http://schemas.openxmlformats.org/officeDocument/2006/relationships/hyperlink" Id="rId38" Target="../piece_document-3.md" TargetMode="External" /><Relationship Type="http://schemas.openxmlformats.org/officeDocument/2006/relationships/hyperlink" Id="rId35" Target="../piece_pdf-92.md" TargetMode="External" /><Relationship Type="http://schemas.openxmlformats.org/officeDocument/2006/relationships/hyperlink" Id="rId33" Target="../these_prescription.md" TargetMode="External" /><Relationship Type="http://schemas.openxmlformats.org/officeDocument/2006/relationships/hyperlink" Id="rId48" Target="piece_pdf-92.md" TargetMode="External" /><Relationship Type="http://schemas.openxmlformats.org/officeDocument/2006/relationships/hyperlink" Id="rId21" Target="ponts_requete_2015_consolides.md" TargetMode="External" /><Relationship Type="http://schemas.openxmlformats.org/officeDocument/2006/relationships/hyperlink" Id="rId22" Target="ponts_requete_2019_consolides.md" TargetMode="External" /><Relationship Type="http://schemas.openxmlformats.org/officeDocument/2006/relationships/hyperlink" Id="rId52" Target="these_prescription.md" TargetMode="External" /><Relationship Type="http://schemas.openxmlformats.org/officeDocument/2006/relationships/hyperlink" Id="rId50" Target="these_revenu_mere_verifiabili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2026-07-11T20:58:24Z</dcterms:created>
  <dcterms:modified xsi:type="dcterms:W3CDTF">2026-07-11T20:58:24Z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