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our-supérieure"/>
      <w:r>
        <w:t xml:space="preserve">COUR SUPÉRIEURE</w:t>
      </w:r>
      <w:bookmarkEnd w:id="20"/>
    </w:p>
    <w:p>
      <w:pPr>
        <w:pStyle w:val="FirstParagraph"/>
      </w:pPr>
      <w:r>
        <w:rPr>
          <w:b/>
        </w:rPr>
        <w:t xml:space="preserve">CANADA</w:t>
      </w:r>
      <w:r>
        <w:br w:type="textWrapping"/>
      </w:r>
      <w:r>
        <w:rPr>
          <w:b/>
        </w:rPr>
        <w:t xml:space="preserve">PROVINCE DE QUÉBEC</w:t>
      </w:r>
      <w:r>
        <w:br w:type="textWrapping"/>
      </w:r>
      <w:r>
        <w:rPr>
          <w:b/>
        </w:rPr>
        <w:t xml:space="preserve">DISTRICT DE LONGUEUIL</w:t>
      </w:r>
    </w:p>
    <w:p>
      <w:pPr>
        <w:pStyle w:val="BodyText"/>
      </w:pPr>
      <w:r>
        <w:t xml:space="preserve">No : [à compléter]</w:t>
      </w:r>
    </w:p>
    <w:p>
      <w:pPr>
        <w:pStyle w:val="BodyText"/>
      </w:pPr>
      <w:r>
        <w:rPr>
          <w:b/>
        </w:rPr>
        <w:t xml:space="preserve">LOUIS-PHILIPPE DAVID</w:t>
      </w:r>
      <w:r>
        <w:br w:type="textWrapping"/>
      </w:r>
      <w:r>
        <w:t xml:space="preserve">Demandeur</w:t>
      </w:r>
    </w:p>
    <w:p>
      <w:pPr>
        <w:pStyle w:val="FirstParagraph"/>
      </w:pPr>
      <w:r>
        <w:rPr>
          <w:b/>
        </w:rPr>
        <w:t xml:space="preserve">ÉLISE MARIE AYOUB</w:t>
      </w:r>
      <w:r>
        <w:br w:type="textWrapping"/>
      </w:r>
      <w:r>
        <w:t xml:space="preserve">Défenderesse</w:t>
      </w:r>
    </w:p>
    <w:p>
      <w:pPr>
        <w:pStyle w:val="BodyText"/>
      </w:pPr>
      <w:r>
        <w:t xml:space="preserve">et</w:t>
      </w:r>
    </w:p>
    <w:p>
      <w:pPr>
        <w:pStyle w:val="BodyText"/>
      </w:pPr>
      <w:r>
        <w:rPr>
          <w:b/>
        </w:rPr>
        <w:t xml:space="preserve">ME MARIE-JOSÉE AYOUB</w:t>
      </w:r>
      <w:r>
        <w:br w:type="textWrapping"/>
      </w:r>
      <w:r>
        <w:t xml:space="preserve">Défenderesse</w:t>
      </w:r>
    </w:p>
    <w:p>
      <w:pPr>
        <w:pStyle w:val="Heading1"/>
      </w:pPr>
      <w:bookmarkStart w:id="21" w:name="demande-introductive-dinstance"/>
      <w:r>
        <w:t xml:space="preserve">DEMANDE INTRODUCTIVE D’INSTANCE</w:t>
      </w:r>
      <w:bookmarkEnd w:id="21"/>
    </w:p>
    <w:p>
      <w:pPr>
        <w:pStyle w:val="BlockText"/>
      </w:pPr>
      <w:r>
        <w:t xml:space="preserve">Brouillon de travail préparé pour valider le workflow : faits -&gt; annexes -&gt; ponts -&gt; procédure. Les références internes devront être remplacées par les cotes finales lorsque le bordereau de pièces sera stabilisé.</w:t>
      </w:r>
    </w:p>
    <w:p>
      <w:pPr>
        <w:pStyle w:val="Heading2"/>
      </w:pPr>
      <w:bookmarkStart w:id="22" w:name="i.-objet-de-la-demande"/>
      <w:r>
        <w:t xml:space="preserve">I. Objet de la demande</w:t>
      </w:r>
      <w:bookmarkEnd w:id="22"/>
    </w:p>
    <w:p>
      <w:pPr>
        <w:numPr>
          <w:numId w:val="1002"/>
          <w:ilvl w:val="0"/>
        </w:numPr>
      </w:pPr>
      <w:r>
        <w:t xml:space="preserve">Le demandeur introduit la présente demande afin de faire constater que certaines allégations contenues dans la Requête du 19 novembre 2015 ont présenté au tribunal une représentation inexacte de sa disponibilité parentale, de son implication auprès des enfants et de sa position réelle quant à la garde.</w:t>
      </w:r>
    </w:p>
    <w:p>
      <w:pPr>
        <w:numPr>
          <w:numId w:val="1002"/>
          <w:ilvl w:val="0"/>
        </w:numPr>
      </w:pPr>
      <w:r>
        <w:t xml:space="preserve">La présente version de travail porte uniquement sur les blocs déjà traités à ce jour, soit les paragraphes 4 à 6, 9, 14 à 18, 20 et 21 de la Requête du 19 novembre 2015.</w:t>
      </w:r>
    </w:p>
    <w:p>
      <w:pPr>
        <w:numPr>
          <w:numId w:val="1002"/>
          <w:ilvl w:val="0"/>
        </w:numPr>
      </w:pPr>
      <w:r>
        <w:t xml:space="preserve">Le demandeur ne conteste pas qu’une séparation est survenue en février 2015.</w:t>
      </w:r>
    </w:p>
    <w:p>
      <w:pPr>
        <w:numPr>
          <w:numId w:val="1002"/>
          <w:ilvl w:val="0"/>
        </w:numPr>
      </w:pPr>
      <w:r>
        <w:t xml:space="preserve">Le demandeur ne conteste pas non plus que la défenderesse Élise Marie Ayoub a exercé de fait la garde des enfants après son départ de la résidence.</w:t>
      </w:r>
    </w:p>
    <w:p>
      <w:pPr>
        <w:numPr>
          <w:numId w:val="1002"/>
          <w:ilvl w:val="0"/>
        </w:numPr>
      </w:pPr>
      <w:r>
        <w:t xml:space="preserve">Le demandeur conteste toutefois que cette situation ait résulté d’un consentement de sa part à une garde exclusive, ou que son implication parentale antérieure puisse être décrite comme minimale, rare ou seulement subsidiaire.</w:t>
      </w:r>
    </w:p>
    <w:p>
      <w:pPr>
        <w:numPr>
          <w:numId w:val="1002"/>
          <w:ilvl w:val="0"/>
        </w:numPr>
      </w:pPr>
      <w:r>
        <w:t xml:space="preserve">La présente demande repose notamment sur une preuve documentaire contemporaine, composée de courriels, messages, événements horodatés, photographies, documents judiciaires et documents de négociation.</w:t>
      </w:r>
    </w:p>
    <w:p>
      <w:pPr>
        <w:numPr>
          <w:numId w:val="1002"/>
          <w:ilvl w:val="0"/>
        </w:numPr>
      </w:pPr>
      <w:r>
        <w:t xml:space="preserve">Lorsque la preuve est volumineuse, elle est organisée par annexes de synthèse afin de ne pas surcharger l’exposé des faits, tout en conservant la traçabilité vers les sources.</w:t>
      </w:r>
    </w:p>
    <w:p>
      <w:pPr>
        <w:pStyle w:val="Heading2"/>
      </w:pPr>
      <w:bookmarkStart w:id="23" w:name="ii.-parties"/>
      <w:r>
        <w:t xml:space="preserve">II. Parties</w:t>
      </w:r>
      <w:bookmarkEnd w:id="23"/>
    </w:p>
    <w:p>
      <w:pPr>
        <w:numPr>
          <w:numId w:val="1003"/>
          <w:ilvl w:val="0"/>
        </w:numPr>
      </w:pPr>
      <w:r>
        <w:t xml:space="preserve">Le demandeur est le père d’Alexia David, née le 6 octobre 2009, et de Nicolas David, né le 1er février 2013.</w:t>
      </w:r>
    </w:p>
    <w:p>
      <w:pPr>
        <w:numPr>
          <w:numId w:val="1003"/>
          <w:ilvl w:val="0"/>
        </w:numPr>
      </w:pPr>
      <w:r>
        <w:t xml:space="preserve">La défenderesse Élise Marie Ayoub est la mère des enfants.</w:t>
      </w:r>
    </w:p>
    <w:p>
      <w:pPr>
        <w:numPr>
          <w:numId w:val="1003"/>
          <w:ilvl w:val="0"/>
        </w:numPr>
      </w:pPr>
      <w:r>
        <w:t xml:space="preserve">La défenderesse Me Marie-Josée Ayoub est avocate et est intervenue dans les démarches et correspondances visées par la présente demande, notamment dans les échanges entourant la garde des enfants en 2015.</w:t>
      </w:r>
    </w:p>
    <w:p>
      <w:pPr>
        <w:numPr>
          <w:numId w:val="1003"/>
          <w:ilvl w:val="0"/>
        </w:numPr>
      </w:pPr>
      <w:r>
        <w:t xml:space="preserve">Les parties ont fait vie commune pendant plusieurs années avant la séparation de février 2015.</w:t>
      </w:r>
    </w:p>
    <w:p>
      <w:pPr>
        <w:pStyle w:val="Heading2"/>
      </w:pPr>
      <w:bookmarkStart w:id="24" w:name="iii.-requête-du-19-novembre-2015"/>
      <w:r>
        <w:t xml:space="preserve">III. Requête du 19 novembre 2015</w:t>
      </w:r>
      <w:bookmarkEnd w:id="24"/>
    </w:p>
    <w:p>
      <w:pPr>
        <w:numPr>
          <w:numId w:val="1004"/>
          <w:ilvl w:val="0"/>
        </w:numPr>
      </w:pPr>
      <w:r>
        <w:t xml:space="preserve">Le 19 novembre 2015, la défenderesse Élise Marie Ayoub a déposé une Requête dans le dossier familial opposant les parties.</w:t>
      </w:r>
    </w:p>
    <w:p>
      <w:pPr>
        <w:numPr>
          <w:numId w:val="1004"/>
          <w:ilvl w:val="0"/>
        </w:numPr>
      </w:pPr>
      <w:r>
        <w:t xml:space="preserve">Cette Requête alléguait notamment que la relation entre les parties était très difficile depuis la naissance d’Alexia, que le demandeur ne s’impliquait que minimalement dans les soins d’Alexia et que la vie commune était devenue impossible.</w:t>
      </w:r>
    </w:p>
    <w:p>
      <w:pPr>
        <w:numPr>
          <w:numId w:val="1004"/>
          <w:ilvl w:val="0"/>
        </w:numPr>
      </w:pPr>
      <w:r>
        <w:t xml:space="preserve">Cette Requête alléguait également qu’en 2013, le demandeur serait parti tout l’été et aurait laissé la défenderesse seule avec les deux enfants.</w:t>
      </w:r>
    </w:p>
    <w:p>
      <w:pPr>
        <w:numPr>
          <w:numId w:val="1004"/>
          <w:ilvl w:val="0"/>
        </w:numPr>
      </w:pPr>
      <w:r>
        <w:t xml:space="preserve">Cette Requête alléguait en outre que, dès la rupture, le demandeur voulait instaurer une garde partagée, que la défenderesse avait refusée parce qu’elle aurait été contraire à l’intérêt des enfants.</w:t>
      </w:r>
    </w:p>
    <w:p>
      <w:pPr>
        <w:numPr>
          <w:numId w:val="1004"/>
          <w:ilvl w:val="0"/>
        </w:numPr>
      </w:pPr>
      <w:r>
        <w:t xml:space="preserve">Au soutien de ce refus, la Requête alléguait que les enfants étaient jeunes, que le demandeur était rarement disponible pour prendre soin d’eux, que la défenderesse s’occupait des enfants et des activités, et que le demandeur aidait lorsque la défenderesse n’était pas disponible.</w:t>
      </w:r>
    </w:p>
    <w:p>
      <w:pPr>
        <w:numPr>
          <w:numId w:val="1004"/>
          <w:ilvl w:val="0"/>
        </w:numPr>
      </w:pPr>
      <w:r>
        <w:t xml:space="preserve">Enfin, la Requête alléguait que les parties auraient convenu que la défenderesse aurait la garde des enfants, en renvoyant à des messages textes produits sous la pièce P-2.</w:t>
      </w:r>
    </w:p>
    <w:p>
      <w:pPr>
        <w:numPr>
          <w:numId w:val="1004"/>
          <w:ilvl w:val="0"/>
        </w:numPr>
      </w:pPr>
      <w:r>
        <w:t xml:space="preserve">La Requête alléguait également que les accès du demandeur avaient été fixés le dimanche de 16 h à 20 h pour coïncider avec ses visites chez ses parents et qu’il refusait de les exercer lorsque ceux-ci s’absentaient.</w:t>
      </w:r>
    </w:p>
    <w:p>
      <w:pPr>
        <w:pStyle w:val="Heading2"/>
      </w:pPr>
      <w:bookmarkStart w:id="25" w:name="X175cff7e121fb72fa1f8e198f6e26719d8a890e"/>
      <w:r>
        <w:t xml:space="preserve">IV. Implication parentale du demandeur avant la séparation</w:t>
      </w:r>
      <w:bookmarkEnd w:id="25"/>
    </w:p>
    <w:p>
      <w:pPr>
        <w:numPr>
          <w:numId w:val="1005"/>
          <w:ilvl w:val="0"/>
        </w:numPr>
      </w:pPr>
      <w:r>
        <w:t xml:space="preserve">Contrairement à l’allégation selon laquelle le demandeur ne se serait impliqué que minimalement auprès d’Alexia, son implication parentale est documentée dès les premières années de vie de l’enfant.</w:t>
      </w:r>
    </w:p>
    <w:p>
      <w:pPr>
        <w:numPr>
          <w:numId w:val="1005"/>
          <w:ilvl w:val="0"/>
        </w:numPr>
      </w:pPr>
      <w:r>
        <w:t xml:space="preserve">Entre mars 2011 et février 2016, le demandeur s’est absenté de son travail à de nombreuses reprises pour s’occuper des enfants malades ou les accompagner à des rendez-vous médicaux.</w:t>
      </w:r>
    </w:p>
    <w:p>
      <w:pPr>
        <w:numPr>
          <w:numId w:val="1005"/>
          <w:ilvl w:val="0"/>
        </w:numPr>
      </w:pPr>
      <w:r>
        <w:t xml:space="preserve">Ces absences sont documentées par des courriels contemporains adressés aux supérieurs hiérarchiques du demandeur à la Banque Nationale du Canada.</w:t>
      </w:r>
    </w:p>
    <w:p>
      <w:pPr>
        <w:numPr>
          <w:numId w:val="1005"/>
          <w:ilvl w:val="0"/>
        </w:numPr>
      </w:pPr>
      <w:r>
        <w:t xml:space="preserve">Plusieurs de ces absences concernaient Alexia seule entre 2011 et 2012.</w:t>
      </w:r>
    </w:p>
    <w:p>
      <w:pPr>
        <w:numPr>
          <w:numId w:val="1005"/>
          <w:ilvl w:val="0"/>
        </w:numPr>
      </w:pPr>
      <w:r>
        <w:t xml:space="preserve">À compter de 2013, les absences documentées concernent également Nicolas.</w:t>
      </w:r>
    </w:p>
    <w:p>
      <w:pPr>
        <w:numPr>
          <w:numId w:val="1005"/>
          <w:ilvl w:val="0"/>
        </w:numPr>
      </w:pPr>
      <w:r>
        <w:t xml:space="preserve">Ces courriels démontrent que le demandeur réorganisait ses obligations professionnelles afin d’assurer des soins parentaux.</w:t>
      </w:r>
    </w:p>
    <w:p>
      <w:pPr>
        <w:numPr>
          <w:numId w:val="1005"/>
          <w:ilvl w:val="0"/>
        </w:numPr>
      </w:pPr>
      <w:r>
        <w:t xml:space="preserve">Le 24 novembre 2011, le demandeur écrivait à la défenderesse au sujet de la garderie : « vas tu la chercher ou j’y vais? »</w:t>
      </w:r>
    </w:p>
    <w:p>
      <w:pPr>
        <w:numPr>
          <w:numId w:val="1005"/>
          <w:ilvl w:val="0"/>
        </w:numPr>
      </w:pPr>
      <w:r>
        <w:t xml:space="preserve">Les 18 et 19 octobre 2012, le demandeur a accompagné Alexia à pied à sa maternelle le matin.</w:t>
      </w:r>
    </w:p>
    <w:p>
      <w:pPr>
        <w:numPr>
          <w:numId w:val="1005"/>
          <w:ilvl w:val="0"/>
        </w:numPr>
      </w:pPr>
      <w:r>
        <w:t xml:space="preserve">En mars 2013, le demandeur planifiait sa journée autour du dépôt d’Alexia à la garderie.</w:t>
      </w:r>
    </w:p>
    <w:p>
      <w:pPr>
        <w:numPr>
          <w:numId w:val="1005"/>
          <w:ilvl w:val="0"/>
        </w:numPr>
      </w:pPr>
      <w:r>
        <w:t xml:space="preserve">En septembre 2014, le demandeur est allé chercher Nicolas à la garderie.</w:t>
      </w:r>
    </w:p>
    <w:p>
      <w:pPr>
        <w:numPr>
          <w:numId w:val="1005"/>
          <w:ilvl w:val="0"/>
        </w:numPr>
      </w:pPr>
      <w:r>
        <w:t xml:space="preserve">Ces éléments démontrent que le demandeur participait à la routine quotidienne de garderie et d’école.</w:t>
      </w:r>
    </w:p>
    <w:p>
      <w:pPr>
        <w:numPr>
          <w:numId w:val="1005"/>
          <w:ilvl w:val="0"/>
        </w:numPr>
      </w:pPr>
      <w:r>
        <w:t xml:space="preserve">La défenderesse maintenait par ailleurs, de 2009 à 2015, des activités de danse régulières, notamment des cours, spectacles et activités d’enseignement.</w:t>
      </w:r>
    </w:p>
    <w:p>
      <w:pPr>
        <w:numPr>
          <w:numId w:val="1005"/>
          <w:ilvl w:val="0"/>
        </w:numPr>
      </w:pPr>
      <w:r>
        <w:t xml:space="preserve">Pendant certaines absences de la défenderesse liées à ses activités de danse, le demandeur assumait la routine du soir et la garde des enfants.</w:t>
      </w:r>
    </w:p>
    <w:p>
      <w:pPr>
        <w:numPr>
          <w:numId w:val="1005"/>
          <w:ilvl w:val="0"/>
        </w:numPr>
      </w:pPr>
      <w:r>
        <w:t xml:space="preserve">Les 9 et 16 février 2011, le demandeur s’occupait de la routine du soir d’Alexia pendant que la défenderesse était à ses cours de danse.</w:t>
      </w:r>
    </w:p>
    <w:p>
      <w:pPr>
        <w:numPr>
          <w:numId w:val="1005"/>
          <w:ilvl w:val="0"/>
        </w:numPr>
      </w:pPr>
      <w:r>
        <w:t xml:space="preserve">Les 27 janvier et 3 mars 2014, le demandeur était à la maison avec Alexia et Nicolas pendant que la défenderesse était à ses cours de danse.</w:t>
      </w:r>
    </w:p>
    <w:p>
      <w:pPr>
        <w:numPr>
          <w:numId w:val="1005"/>
          <w:ilvl w:val="0"/>
        </w:numPr>
      </w:pPr>
      <w:r>
        <w:t xml:space="preserve">Le 16 septembre 2016, la défenderesse a écrit au demandeur qu’elle disposait dorénavant d’une aide familiale pour les cours de natation des enfants et pour ses soirs de danse.</w:t>
      </w:r>
    </w:p>
    <w:p>
      <w:pPr>
        <w:numPr>
          <w:numId w:val="1005"/>
          <w:ilvl w:val="0"/>
        </w:numPr>
      </w:pPr>
      <w:r>
        <w:t xml:space="preserve">Cette aide familiale postérieure à la séparation correspond aux plages logistiques que le demandeur assumait pendant la vie commune.</w:t>
      </w:r>
    </w:p>
    <w:p>
      <w:pPr>
        <w:numPr>
          <w:numId w:val="1005"/>
          <w:ilvl w:val="0"/>
        </w:numPr>
      </w:pPr>
      <w:r>
        <w:t xml:space="preserve">Le demandeur accompagnait également les enfants dans des activités structurées et non structurées, notamment les parcs, la natation, la gymnastique, le soccer et certaines sorties familiales.</w:t>
      </w:r>
    </w:p>
    <w:p>
      <w:pPr>
        <w:numPr>
          <w:numId w:val="1005"/>
          <w:ilvl w:val="0"/>
        </w:numPr>
      </w:pPr>
      <w:r>
        <w:t xml:space="preserve">Cette présence est documentée par des événements horodatés et des photographies.</w:t>
      </w:r>
    </w:p>
    <w:p>
      <w:pPr>
        <w:numPr>
          <w:numId w:val="1005"/>
          <w:ilvl w:val="0"/>
        </w:numPr>
      </w:pPr>
      <w:r>
        <w:t xml:space="preserve">La preuve de cette implication parentale est synthétisée aux annexes suivantes : Annexe A — Soins aux enfants malades ; Annexe B — Agenda de danse et routine du soir ; Annexe C — Garderie, école et coordination quotidienne ; Annexe D — Activités, sorties et présence quotidienne.</w:t>
      </w:r>
    </w:p>
    <w:p>
      <w:pPr>
        <w:pStyle w:val="Heading2"/>
      </w:pPr>
      <w:bookmarkStart w:id="26" w:name="v.-été-2013"/>
      <w:r>
        <w:t xml:space="preserve">V. Été 2013</w:t>
      </w:r>
      <w:bookmarkEnd w:id="26"/>
    </w:p>
    <w:p>
      <w:pPr>
        <w:numPr>
          <w:numId w:val="1006"/>
          <w:ilvl w:val="0"/>
        </w:numPr>
      </w:pPr>
      <w:r>
        <w:t xml:space="preserve">Le 19 novembre 2015, la Requête alléguait qu’en 2013, le demandeur était parti tout l’été et avait laissé la défenderesse seule avec les deux enfants.</w:t>
      </w:r>
    </w:p>
    <w:p>
      <w:pPr>
        <w:numPr>
          <w:numId w:val="1006"/>
          <w:ilvl w:val="0"/>
        </w:numPr>
      </w:pPr>
      <w:r>
        <w:t xml:space="preserve">Cette allégation ne correspond pas à la chronologie documentaire disponible.</w:t>
      </w:r>
    </w:p>
    <w:p>
      <w:pPr>
        <w:numPr>
          <w:numId w:val="1006"/>
          <w:ilvl w:val="0"/>
        </w:numPr>
      </w:pPr>
      <w:r>
        <w:t xml:space="preserve">Nicolas, né le 1er février 2013, était âgé de quelques mois pendant l’été 2013.</w:t>
      </w:r>
    </w:p>
    <w:p>
      <w:pPr>
        <w:numPr>
          <w:numId w:val="1006"/>
          <w:ilvl w:val="0"/>
        </w:numPr>
      </w:pPr>
      <w:r>
        <w:t xml:space="preserve">Du 28 mai au 24 août 2013, Alexia participait à la saison de soccer de Saint-Lambert.</w:t>
      </w:r>
    </w:p>
    <w:p>
      <w:pPr>
        <w:numPr>
          <w:numId w:val="1006"/>
          <w:ilvl w:val="0"/>
        </w:numPr>
      </w:pPr>
      <w:r>
        <w:t xml:space="preserve">Pendant cette période, la défenderesse agissait comme entraîneuse de l’équipe de soccer d’Alexia.</w:t>
      </w:r>
    </w:p>
    <w:p>
      <w:pPr>
        <w:numPr>
          <w:numId w:val="1006"/>
          <w:ilvl w:val="0"/>
        </w:numPr>
      </w:pPr>
      <w:r>
        <w:t xml:space="preserve">Durant les ateliers de soccer d’Alexia, le demandeur s’occupait des soins de Nicolas.</w:t>
      </w:r>
    </w:p>
    <w:p>
      <w:pPr>
        <w:numPr>
          <w:numId w:val="1006"/>
          <w:ilvl w:val="0"/>
        </w:numPr>
      </w:pPr>
      <w:r>
        <w:t xml:space="preserve">Le 27 juin 2013, le demandeur a fait de l’escalade avec Alexia.</w:t>
      </w:r>
    </w:p>
    <w:p>
      <w:pPr>
        <w:numPr>
          <w:numId w:val="1006"/>
          <w:ilvl w:val="0"/>
        </w:numPr>
      </w:pPr>
      <w:r>
        <w:t xml:space="preserve">Le 1er juillet 2013, le demandeur, la défenderesse et les enfants étaient ensemble au Festival de Jazz de Montréal.</w:t>
      </w:r>
    </w:p>
    <w:p>
      <w:pPr>
        <w:numPr>
          <w:numId w:val="1006"/>
          <w:ilvl w:val="0"/>
        </w:numPr>
      </w:pPr>
      <w:r>
        <w:t xml:space="preserve">Le 4 juillet 2013, le demandeur, la défenderesse et les enfants étaient ensemble aux glissades d’eau de Bromont.</w:t>
      </w:r>
    </w:p>
    <w:p>
      <w:pPr>
        <w:numPr>
          <w:numId w:val="1006"/>
          <w:ilvl w:val="0"/>
        </w:numPr>
      </w:pPr>
      <w:r>
        <w:t xml:space="preserve">Le 7 juillet 2013, le demandeur a fait de l’escalade avec Alexia.</w:t>
      </w:r>
    </w:p>
    <w:p>
      <w:pPr>
        <w:numPr>
          <w:numId w:val="1006"/>
          <w:ilvl w:val="0"/>
        </w:numPr>
      </w:pPr>
      <w:r>
        <w:t xml:space="preserve">Le 13 juillet 2013, le demandeur était avec Alexia sur le voilier des grands-parents.</w:t>
      </w:r>
    </w:p>
    <w:p>
      <w:pPr>
        <w:numPr>
          <w:numId w:val="1006"/>
          <w:ilvl w:val="0"/>
        </w:numPr>
      </w:pPr>
      <w:r>
        <w:t xml:space="preserve">Le 14 juillet 2013, le demandeur, la défenderesse et les enfants étaient ensemble à l’anniversaire de Sandrine.</w:t>
      </w:r>
    </w:p>
    <w:p>
      <w:pPr>
        <w:numPr>
          <w:numId w:val="1006"/>
          <w:ilvl w:val="0"/>
        </w:numPr>
      </w:pPr>
      <w:r>
        <w:t xml:space="preserve">Entre le 14 et le 19 juillet 2013, la défenderesse a organisé une fête d’anniversaire-surprise pour le demandeur, qui s’est tenue le 19 juillet en présence de plusieurs enfants.</w:t>
      </w:r>
    </w:p>
    <w:p>
      <w:pPr>
        <w:numPr>
          <w:numId w:val="1006"/>
          <w:ilvl w:val="0"/>
        </w:numPr>
      </w:pPr>
      <w:r>
        <w:t xml:space="preserve">Le 19 juillet 2013, le demandeur écrivait à une amie qu’il voyait les enfants tous les jours, soupait à la maison avec la défenderesse et couchait temporairement chez ses parents.</w:t>
      </w:r>
    </w:p>
    <w:p>
      <w:pPr>
        <w:numPr>
          <w:numId w:val="1006"/>
          <w:ilvl w:val="0"/>
        </w:numPr>
      </w:pPr>
      <w:r>
        <w:t xml:space="preserve">Dans le fil du 29 au 30 juillet 2013, la mère du demandeur s’attendait à ce qu’il passe le lendemain avec Nicolas, et le demandeur répondait qu’il n’y avait pas de soccer ce jour-là.</w:t>
      </w:r>
    </w:p>
    <w:p>
      <w:pPr>
        <w:numPr>
          <w:numId w:val="1006"/>
          <w:ilvl w:val="0"/>
        </w:numPr>
      </w:pPr>
      <w:r>
        <w:t xml:space="preserve">Du 11 au 16 août 2013, le demandeur était en voyage à Cape Cod avec Alexia et Nicolas.</w:t>
      </w:r>
    </w:p>
    <w:p>
      <w:pPr>
        <w:numPr>
          <w:numId w:val="1006"/>
          <w:ilvl w:val="0"/>
        </w:numPr>
      </w:pPr>
      <w:r>
        <w:t xml:space="preserve">Le 18 août 2013, le demandeur a fait de l’escalade avec Alexia.</w:t>
      </w:r>
    </w:p>
    <w:p>
      <w:pPr>
        <w:numPr>
          <w:numId w:val="1006"/>
          <w:ilvl w:val="0"/>
        </w:numPr>
      </w:pPr>
      <w:r>
        <w:t xml:space="preserve">Le 21 août 2013, le demandeur était avec Alexia au Village du Père Noël.</w:t>
      </w:r>
    </w:p>
    <w:p>
      <w:pPr>
        <w:numPr>
          <w:numId w:val="1006"/>
          <w:ilvl w:val="0"/>
        </w:numPr>
      </w:pPr>
      <w:r>
        <w:t xml:space="preserve">Le 23 août 2013, le demandeur, la défenderesse et les enfants étaient ensemble à la ferme.</w:t>
      </w:r>
    </w:p>
    <w:p>
      <w:pPr>
        <w:numPr>
          <w:numId w:val="1006"/>
          <w:ilvl w:val="0"/>
        </w:numPr>
      </w:pPr>
      <w:r>
        <w:t xml:space="preserve">Le 24 août 2013, le demandeur assistait à la remise des médailles de soccer d’Alexia.</w:t>
      </w:r>
    </w:p>
    <w:p>
      <w:pPr>
        <w:numPr>
          <w:numId w:val="1006"/>
          <w:ilvl w:val="0"/>
        </w:numPr>
      </w:pPr>
      <w:r>
        <w:t xml:space="preserve">Les 26 et 31 août 2013, le demandeur a fait de l’escalade avec Alexia.</w:t>
      </w:r>
    </w:p>
    <w:p>
      <w:pPr>
        <w:numPr>
          <w:numId w:val="1006"/>
          <w:ilvl w:val="0"/>
        </w:numPr>
      </w:pPr>
      <w:r>
        <w:t xml:space="preserve">Le 29 septembre 2013, le demandeur, la défenderesse et les enfants étaient ensemble à la cueillette de pommes à Rougemont.</w:t>
      </w:r>
    </w:p>
    <w:p>
      <w:pPr>
        <w:numPr>
          <w:numId w:val="1006"/>
          <w:ilvl w:val="0"/>
        </w:numPr>
      </w:pPr>
      <w:r>
        <w:t xml:space="preserve">Le demandeur concède qu’une absence réelle est documentée autour des 16 et 17 juin 2013, alors qu’il était en voyage à Cape Cod avec ses parents et sa fratrie.</w:t>
      </w:r>
    </w:p>
    <w:p>
      <w:pPr>
        <w:numPr>
          <w:numId w:val="1006"/>
          <w:ilvl w:val="0"/>
        </w:numPr>
      </w:pPr>
      <w:r>
        <w:t xml:space="preserve">Le demandeur concède également qu’il a écrit, le 27 juin 2013, ne pas avoir vu ses enfants depuis deux semaines.</w:t>
      </w:r>
    </w:p>
    <w:p>
      <w:pPr>
        <w:numPr>
          <w:numId w:val="1006"/>
          <w:ilvl w:val="0"/>
        </w:numPr>
      </w:pPr>
      <w:r>
        <w:t xml:space="preserve">Ces concessions ne soutiennent toutefois pas l’allégation plus large d’un départ pendant tout l’été 2013 ni celle d’un abandon de la défenderesse seule avec les deux enfants pour toute cette période.</w:t>
      </w:r>
    </w:p>
    <w:p>
      <w:pPr>
        <w:pStyle w:val="Heading2"/>
      </w:pPr>
      <w:bookmarkStart w:id="27" w:name="Xaefaaab0071c2557754aa4994f6639be5ae2fdf"/>
      <w:r>
        <w:t xml:space="preserve">VI. Refus de la garde partagée et disponibilité parentale</w:t>
      </w:r>
      <w:bookmarkEnd w:id="27"/>
    </w:p>
    <w:p>
      <w:pPr>
        <w:numPr>
          <w:numId w:val="1007"/>
          <w:ilvl w:val="0"/>
        </w:numPr>
      </w:pPr>
      <w:r>
        <w:t xml:space="preserve">Le demandeur concède qu’après la rupture, il souhaitait instaurer une garde partagée et que la défenderesse s’y est opposée.</w:t>
      </w:r>
    </w:p>
    <w:p>
      <w:pPr>
        <w:numPr>
          <w:numId w:val="1007"/>
          <w:ilvl w:val="0"/>
        </w:numPr>
      </w:pPr>
      <w:r>
        <w:t xml:space="preserve">Ce qui est contesté est le motif présenté au tribunal pour justifier ce refus.</w:t>
      </w:r>
    </w:p>
    <w:p>
      <w:pPr>
        <w:numPr>
          <w:numId w:val="1007"/>
          <w:ilvl w:val="0"/>
        </w:numPr>
      </w:pPr>
      <w:r>
        <w:t xml:space="preserve">Le 20 avril 2015, le demandeur a transmis une offre formelle de garde partagée selon un horaire 2-2-3.</w:t>
      </w:r>
    </w:p>
    <w:p>
      <w:pPr>
        <w:numPr>
          <w:numId w:val="1007"/>
          <w:ilvl w:val="0"/>
        </w:numPr>
      </w:pPr>
      <w:r>
        <w:t xml:space="preserve">Le 27 avril 2015, la procureure de la défenderesse a refusé cette offre en invoquant le jeune âge des enfants et le fait qu’il n’était pas dans leur intérêt de modifier une routine établie depuis plus de deux mois.</w:t>
      </w:r>
    </w:p>
    <w:p>
      <w:pPr>
        <w:numPr>
          <w:numId w:val="1007"/>
          <w:ilvl w:val="0"/>
        </w:numPr>
      </w:pPr>
      <w:r>
        <w:t xml:space="preserve">Cette lettre du 27 avril 2015 n’invoquait pas une indisponibilité historique du demandeur.</w:t>
      </w:r>
    </w:p>
    <w:p>
      <w:pPr>
        <w:numPr>
          <w:numId w:val="1007"/>
          <w:ilvl w:val="0"/>
        </w:numPr>
      </w:pPr>
      <w:r>
        <w:t xml:space="preserve">Dans cette même lettre, la défenderesse offrait néanmoins au demandeur des droits d’accès incluant des nuitées non supervisées en semaine et la fin de semaine.</w:t>
      </w:r>
    </w:p>
    <w:p>
      <w:pPr>
        <w:numPr>
          <w:numId w:val="1007"/>
          <w:ilvl w:val="0"/>
        </w:numPr>
      </w:pPr>
      <w:r>
        <w:t xml:space="preserve">Le 13 août 2015, la procureure de la défenderesse a soumis un projet de consentement proposant un accroissement progressif des droits d’accès du demandeur.</w:t>
      </w:r>
    </w:p>
    <w:p>
      <w:pPr>
        <w:numPr>
          <w:numId w:val="1007"/>
          <w:ilvl w:val="0"/>
        </w:numPr>
      </w:pPr>
      <w:r>
        <w:t xml:space="preserve">Le 2 septembre 2015, le demandeur a répondu qu’il était disposé à établir une progression dans les droits d’accès auprès des enfants.</w:t>
      </w:r>
    </w:p>
    <w:p>
      <w:pPr>
        <w:numPr>
          <w:numId w:val="1007"/>
          <w:ilvl w:val="0"/>
        </w:numPr>
      </w:pPr>
      <w:r>
        <w:t xml:space="preserve">Dans cette même réponse, le demandeur demandait que l’horaire de garde soit en alternance 2-2-3 à compter du 7 février 2016.</w:t>
      </w:r>
    </w:p>
    <w:p>
      <w:pPr>
        <w:numPr>
          <w:numId w:val="1007"/>
          <w:ilvl w:val="0"/>
        </w:numPr>
      </w:pPr>
      <w:r>
        <w:t xml:space="preserve">Le demandeur se disait également disposé à laisser la défenderesse choisir les jours de garde afin que l’horaire tienne compte de ses cours de danse.</w:t>
      </w:r>
    </w:p>
    <w:p>
      <w:pPr>
        <w:numPr>
          <w:numId w:val="1007"/>
          <w:ilvl w:val="0"/>
        </w:numPr>
      </w:pPr>
      <w:r>
        <w:t xml:space="preserve">Cette réponse du 2 septembre 2015 constituait la dernière position formelle du demandeur avant le dépôt de la Requête.</w:t>
      </w:r>
    </w:p>
    <w:p>
      <w:pPr>
        <w:numPr>
          <w:numId w:val="1007"/>
          <w:ilvl w:val="0"/>
        </w:numPr>
      </w:pPr>
      <w:r>
        <w:t xml:space="preserve">Cette dernière position n’était pas une demande immédiate et rigide de garde partagée, mais l’acceptation d’une transition graduelle proposée par la défenderesse, avec un passage prévu à l’alternance 2-2-3.</w:t>
      </w:r>
    </w:p>
    <w:p>
      <w:pPr>
        <w:numPr>
          <w:numId w:val="1007"/>
          <w:ilvl w:val="0"/>
        </w:numPr>
      </w:pPr>
      <w:r>
        <w:t xml:space="preserve">La Requête du 19 novembre 2015 ne mentionne ni le projet de consentement du 13 août 2015 ni la réponse favorable du 2 septembre 2015.</w:t>
      </w:r>
    </w:p>
    <w:p>
      <w:pPr>
        <w:numPr>
          <w:numId w:val="1007"/>
          <w:ilvl w:val="0"/>
        </w:numPr>
      </w:pPr>
      <w:r>
        <w:t xml:space="preserve">La Requête présentait plutôt le refus comme justifié par la rare disponibilité alléguée du demandeur et par un rôle parental seulement accessoire.</w:t>
      </w:r>
    </w:p>
    <w:p>
      <w:pPr>
        <w:numPr>
          <w:numId w:val="1007"/>
          <w:ilvl w:val="0"/>
        </w:numPr>
      </w:pPr>
      <w:r>
        <w:t xml:space="preserve">Cette représentation est incompatible avec la preuve sérielle résumée aux annexes A à D.</w:t>
      </w:r>
    </w:p>
    <w:p>
      <w:pPr>
        <w:pStyle w:val="Heading2"/>
      </w:pPr>
      <w:bookmarkStart w:id="28" w:name="X2220f17633ef8173cc1153c864dc0ab72f912f5"/>
      <w:r>
        <w:t xml:space="preserve">VII. Accès du dimanche chez les grands-parents</w:t>
      </w:r>
      <w:bookmarkEnd w:id="28"/>
    </w:p>
    <w:p>
      <w:pPr>
        <w:numPr>
          <w:numId w:val="1008"/>
          <w:ilvl w:val="0"/>
        </w:numPr>
      </w:pPr>
      <w:r>
        <w:t xml:space="preserve">Le demandeur ne conteste pas que l’horaire initial du dimanche se déroulait au domicile de ses parents ni qu’il avait participé à l’établissement de ce cadre.</w:t>
      </w:r>
    </w:p>
    <w:p>
      <w:pPr>
        <w:numPr>
          <w:numId w:val="1008"/>
          <w:ilvl w:val="0"/>
        </w:numPr>
      </w:pPr>
      <w:r>
        <w:t xml:space="preserve">Le demandeur conteste toutefois que ce cadre initial puisse être présenté isolément comme l’expression complète de sa volonté parentale, compte tenu des positions formelles d’élargissement exposées ci-dessus.</w:t>
      </w:r>
    </w:p>
    <w:p>
      <w:pPr>
        <w:pStyle w:val="Heading2"/>
      </w:pPr>
      <w:bookmarkStart w:id="29" w:name="X25f7467be6db23901e1d24c885920466fcabba8"/>
      <w:r>
        <w:t xml:space="preserve">VIII. Accord allégué sur la garde exclusive</w:t>
      </w:r>
      <w:bookmarkEnd w:id="29"/>
    </w:p>
    <w:p>
      <w:pPr>
        <w:numPr>
          <w:numId w:val="1009"/>
          <w:ilvl w:val="0"/>
        </w:numPr>
      </w:pPr>
      <w:r>
        <w:t xml:space="preserve">Le 19 novembre 2015, la Requête alléguait que les parties avaient convenu que la défenderesse aurait la garde des enfants, en renvoyant aux messages textes « datés du 21 avril 2015 » produits sous la pièce P-2.</w:t>
      </w:r>
    </w:p>
    <w:p>
      <w:pPr>
        <w:numPr>
          <w:numId w:val="1009"/>
          <w:ilvl w:val="0"/>
        </w:numPr>
      </w:pPr>
      <w:r>
        <w:t xml:space="preserve">Le demandeur ne conteste pas que la défenderesse a exercé de fait la garde des enfants après son départ.</w:t>
      </w:r>
    </w:p>
    <w:p>
      <w:pPr>
        <w:numPr>
          <w:numId w:val="1009"/>
          <w:ilvl w:val="0"/>
        </w:numPr>
      </w:pPr>
      <w:r>
        <w:t xml:space="preserve">Le demandeur conteste toutefois l’existence d’un accord par lequel il aurait consenti à une garde exclusive.</w:t>
      </w:r>
    </w:p>
    <w:p>
      <w:pPr>
        <w:numPr>
          <w:numId w:val="1009"/>
          <w:ilvl w:val="0"/>
        </w:numPr>
      </w:pPr>
      <w:r>
        <w:t xml:space="preserve">Dès juin 2013, la position du demandeur était documentée comme étant la garde partagée, la procureure de la défenderesse écrivant alors qu’il voulait avoir les enfants une semaine sur deux.</w:t>
      </w:r>
    </w:p>
    <w:p>
      <w:pPr>
        <w:numPr>
          <w:numId w:val="1009"/>
          <w:ilvl w:val="0"/>
        </w:numPr>
      </w:pPr>
      <w:r>
        <w:t xml:space="preserve">Selon la lettre de la procureure de la défenderesse du 27 avril 2015, le consentement à la garde exclusive serait intervenu lors d’un entretien téléphonique du 13 février 2015.</w:t>
      </w:r>
    </w:p>
    <w:p>
      <w:pPr>
        <w:numPr>
          <w:numId w:val="1009"/>
          <w:ilvl w:val="0"/>
        </w:numPr>
      </w:pPr>
      <w:r>
        <w:t xml:space="preserve">Le demandeur a quitté la résidence familiale le ou vers le 23 février 2015, soit postérieurement au 13 février 2015.</w:t>
      </w:r>
    </w:p>
    <w:p>
      <w:pPr>
        <w:numPr>
          <w:numId w:val="1009"/>
          <w:ilvl w:val="0"/>
        </w:numPr>
      </w:pPr>
      <w:r>
        <w:t xml:space="preserve">Le 7 avril 2015, le demandeur écrivait à la défenderesse qu’il lui enverrait une lettre pour officialiser sa position par rapport à la garde.</w:t>
      </w:r>
    </w:p>
    <w:p>
      <w:pPr>
        <w:numPr>
          <w:numId w:val="1009"/>
          <w:ilvl w:val="0"/>
        </w:numPr>
      </w:pPr>
      <w:r>
        <w:t xml:space="preserve">Le 20 avril 2015, le demandeur transmettait, par l’entremise de son procureur, la lettre ainsi annoncée, soit une offre formelle de garde partagée 2-2-3.</w:t>
      </w:r>
    </w:p>
    <w:p>
      <w:pPr>
        <w:numPr>
          <w:numId w:val="1009"/>
          <w:ilvl w:val="0"/>
        </w:numPr>
      </w:pPr>
      <w:r>
        <w:t xml:space="preserve">Le 21 avril 2015, soit le lendemain de la réception de cette offre, la défenderesse transférait à sa procureure les messages du 7 avril sous l’objet « Voici quand il me confirme qu’il me donne la garde ».</w:t>
      </w:r>
    </w:p>
    <w:p>
      <w:pPr>
        <w:numPr>
          <w:numId w:val="1009"/>
          <w:ilvl w:val="0"/>
        </w:numPr>
      </w:pPr>
      <w:r>
        <w:t xml:space="preserve">Les messages ainsi transférés étaient datés du 7 avril 2015 et non du 21 avril 2015.</w:t>
      </w:r>
    </w:p>
    <w:p>
      <w:pPr>
        <w:numPr>
          <w:numId w:val="1009"/>
          <w:ilvl w:val="0"/>
        </w:numPr>
      </w:pPr>
      <w:r>
        <w:t xml:space="preserve">Le 27 avril 2015, la procureure de la défenderesse accusait réception de l’offre du 20 avril et y opposait une « entente déjà intervenue entre les parties ».</w:t>
      </w:r>
    </w:p>
    <w:p>
      <w:pPr>
        <w:numPr>
          <w:numId w:val="1009"/>
          <w:ilvl w:val="0"/>
        </w:numPr>
      </w:pPr>
      <w:r>
        <w:t xml:space="preserve">Au paragraphe 14 de la même Requête, la défenderesse alléguait pourtant que, dès la rupture, le demandeur voulait instaurer une garde partagée et qu’elle l’avait refusée.</w:t>
      </w:r>
    </w:p>
    <w:p>
      <w:pPr>
        <w:numPr>
          <w:numId w:val="1009"/>
          <w:ilvl w:val="0"/>
        </w:numPr>
      </w:pPr>
      <w:r>
        <w:t xml:space="preserve">Le 16 septembre 2016, la défenderesse écrivait au demandeur : « La situation est que les deux n’avons pas ce que nous voulions. On le sait ça » et « Je ne te demande pas de revenir sur le sujet sur lequel NOUS on ne s’entendait pas ».</w:t>
      </w:r>
    </w:p>
    <w:p>
      <w:pPr>
        <w:numPr>
          <w:numId w:val="1009"/>
          <w:ilvl w:val="0"/>
        </w:numPr>
      </w:pPr>
      <w:r>
        <w:t xml:space="preserve">Ces éléments démontrent que l’accord allégué au paragraphe 18 ne correspond pas à une réalité documentaire stable.</w:t>
      </w:r>
    </w:p>
    <w:p>
      <w:pPr>
        <w:pStyle w:val="Heading2"/>
      </w:pPr>
      <w:bookmarkStart w:id="30" w:name="ix.-organisation-de-la-preuve"/>
      <w:r>
        <w:t xml:space="preserve">IX. Organisation de la preuve</w:t>
      </w:r>
      <w:bookmarkEnd w:id="30"/>
    </w:p>
    <w:p>
      <w:pPr>
        <w:numPr>
          <w:numId w:val="1010"/>
          <w:ilvl w:val="0"/>
        </w:numPr>
      </w:pPr>
      <w:r>
        <w:t xml:space="preserve">La preuve relative aux paragraphes 14 à 17 est organisée par axes, compte tenu du caractère général et large de l’allégation de rare disponibilité.</w:t>
      </w:r>
    </w:p>
    <w:p>
      <w:pPr>
        <w:numPr>
          <w:numId w:val="1010"/>
          <w:ilvl w:val="0"/>
        </w:numPr>
      </w:pPr>
      <w:r>
        <w:t xml:space="preserve">L’Annexe A regroupe la preuve relative aux soins aux enfants malades et aux absences du demandeur de son travail pour prodiguer ces soins.</w:t>
      </w:r>
    </w:p>
    <w:p>
      <w:pPr>
        <w:numPr>
          <w:numId w:val="1010"/>
          <w:ilvl w:val="0"/>
        </w:numPr>
      </w:pPr>
      <w:r>
        <w:t xml:space="preserve">L’Annexe B regroupe la preuve relative à l’agenda de danse de la défenderesse et à la routine du soir assumée par le demandeur.</w:t>
      </w:r>
    </w:p>
    <w:p>
      <w:pPr>
        <w:numPr>
          <w:numId w:val="1010"/>
          <w:ilvl w:val="0"/>
        </w:numPr>
      </w:pPr>
      <w:r>
        <w:t xml:space="preserve">L’Annexe C regroupe la preuve relative à la garderie, à l’école et à la coordination quotidienne.</w:t>
      </w:r>
    </w:p>
    <w:p>
      <w:pPr>
        <w:numPr>
          <w:numId w:val="1010"/>
          <w:ilvl w:val="0"/>
        </w:numPr>
      </w:pPr>
      <w:r>
        <w:t xml:space="preserve">L’Annexe D regroupe la preuve relative aux activités, sorties et présences quotidiennes documentées.</w:t>
      </w:r>
    </w:p>
    <w:p>
      <w:pPr>
        <w:numPr>
          <w:numId w:val="1010"/>
          <w:ilvl w:val="0"/>
        </w:numPr>
      </w:pPr>
      <w:r>
        <w:t xml:space="preserve">Certaines sources sont des événements composés de photographies horodatées.</w:t>
      </w:r>
    </w:p>
    <w:p>
      <w:pPr>
        <w:numPr>
          <w:numId w:val="1010"/>
          <w:ilvl w:val="0"/>
        </w:numPr>
      </w:pPr>
      <w:r>
        <w:t xml:space="preserve">Dans ces cas, l’événement est utilisé comme contenant probatoire, et les photographies qui le composent servent de sources atomiques établissant la présence physique ou le déroulement de l’événement.</w:t>
      </w:r>
    </w:p>
    <w:p>
      <w:pPr>
        <w:numPr>
          <w:numId w:val="1010"/>
          <w:ilvl w:val="0"/>
        </w:numPr>
      </w:pPr>
      <w:r>
        <w:t xml:space="preserve">Cette organisation permet de présenter dans la présente demande les faits essentiels, tout en conservant dans les annexes la preuve détaillée appuyant ces faits.</w:t>
      </w:r>
    </w:p>
    <w:p>
      <w:pPr>
        <w:pStyle w:val="Heading2"/>
      </w:pPr>
      <w:bookmarkStart w:id="31" w:name="x.-faute-alléguée"/>
      <w:r>
        <w:t xml:space="preserve">X. Faute alléguée</w:t>
      </w:r>
      <w:bookmarkEnd w:id="31"/>
    </w:p>
    <w:p>
      <w:pPr>
        <w:numPr>
          <w:numId w:val="1011"/>
          <w:ilvl w:val="0"/>
        </w:numPr>
      </w:pPr>
      <w:r>
        <w:t xml:space="preserve">Les allégations contestées ne sont pas de simples imprécisions isolées.</w:t>
      </w:r>
    </w:p>
    <w:p>
      <w:pPr>
        <w:numPr>
          <w:numId w:val="1011"/>
          <w:ilvl w:val="0"/>
        </w:numPr>
      </w:pPr>
      <w:r>
        <w:t xml:space="preserve">Elles présentent au tribunal une image d’ensemble selon laquelle le demandeur aurait été peu disponible, peu impliqué et aurait consenti à une garde exclusive.</w:t>
      </w:r>
    </w:p>
    <w:p>
      <w:pPr>
        <w:numPr>
          <w:numId w:val="1011"/>
          <w:ilvl w:val="0"/>
        </w:numPr>
      </w:pPr>
      <w:r>
        <w:t xml:space="preserve">Cette image d’ensemble est incompatible avec la preuve documentaire contemporaine disponible.</w:t>
      </w:r>
    </w:p>
    <w:p>
      <w:pPr>
        <w:numPr>
          <w:numId w:val="1011"/>
          <w:ilvl w:val="0"/>
        </w:numPr>
      </w:pPr>
      <w:r>
        <w:t xml:space="preserve">Les défenderesses connaissaient ou ne pouvaient ignorer plusieurs des faits contredisant cette représentation, notamment les échanges de garde d’avril et septembre 2015, les messages de P-2, ainsi que les éléments de vie familiale vécus directement par la défenderesse Élise Marie Ayoub.</w:t>
      </w:r>
    </w:p>
    <w:p>
      <w:pPr>
        <w:numPr>
          <w:numId w:val="1011"/>
          <w:ilvl w:val="0"/>
        </w:numPr>
      </w:pPr>
      <w:r>
        <w:t xml:space="preserve">La qualification juridique de cette conduite, incluant la faute civile, l’abus de procédure ou la responsabilité personnelle de chacune des défenderesses, sera déterminée à la lumière de la preuve administrée.</w:t>
      </w:r>
    </w:p>
    <w:p>
      <w:pPr>
        <w:pStyle w:val="Heading2"/>
      </w:pPr>
      <w:bookmarkStart w:id="32" w:name="xi.-conclusions-recherchées"/>
      <w:r>
        <w:t xml:space="preserve">XI. Conclusions recherchées</w:t>
      </w:r>
      <w:bookmarkEnd w:id="32"/>
    </w:p>
    <w:p>
      <w:pPr>
        <w:pStyle w:val="FirstParagraph"/>
      </w:pPr>
      <w:r>
        <w:t xml:space="preserve">POUR CES MOTIFS, PLAISE AU TRIBUNAL :</w:t>
      </w:r>
    </w:p>
    <w:p>
      <w:pPr>
        <w:numPr>
          <w:numId w:val="1012"/>
          <w:ilvl w:val="0"/>
        </w:numPr>
      </w:pPr>
      <w:r>
        <w:t xml:space="preserve">ACCUEILLIR la présente demande ;</w:t>
      </w:r>
    </w:p>
    <w:p>
      <w:pPr>
        <w:numPr>
          <w:numId w:val="1012"/>
          <w:ilvl w:val="0"/>
        </w:numPr>
      </w:pPr>
      <w:r>
        <w:t xml:space="preserve">DÉCLARER que les allégations visées aux paragraphes 4 à 6, 9 et 14 à 18, ainsi que la présentation partielle des faits aux paragraphes 20 et 21 de la Requête du 19 novembre 2015, ont produit une représentation inexacte de l’implication parentale, de la disponibilité et de la position du demandeur quant à la garde des enfants ;</w:t>
      </w:r>
    </w:p>
    <w:p>
      <w:pPr>
        <w:numPr>
          <w:numId w:val="1012"/>
          <w:ilvl w:val="0"/>
        </w:numPr>
      </w:pPr>
      <w:r>
        <w:t xml:space="preserve">DÉCLARER que cette représentation était incompatible avec la preuve documentaire contemporaine disponible ;</w:t>
      </w:r>
    </w:p>
    <w:p>
      <w:pPr>
        <w:numPr>
          <w:numId w:val="1012"/>
          <w:ilvl w:val="0"/>
        </w:numPr>
      </w:pPr>
      <w:r>
        <w:t xml:space="preserve">CONDAMNER solidairement ou conjointement les défenderesses à payer au demandeur la somme de [à compléter] $ à titre de dommages ;</w:t>
      </w:r>
    </w:p>
    <w:p>
      <w:pPr>
        <w:numPr>
          <w:numId w:val="1012"/>
          <w:ilvl w:val="0"/>
        </w:numPr>
      </w:pPr>
      <w:r>
        <w:t xml:space="preserve">CONDAMNER les défenderesses à payer au demandeur les intérêts au taux légal, ainsi que l’indemnité additionnelle prévue par la loi, à compter de [à compléter] ;</w:t>
      </w:r>
    </w:p>
    <w:p>
      <w:pPr>
        <w:numPr>
          <w:numId w:val="1012"/>
          <w:ilvl w:val="0"/>
        </w:numPr>
      </w:pPr>
      <w:r>
        <w:t xml:space="preserve">RENDRE toute autre ordonnance que le Tribunal estimera juste et appropriée ;</w:t>
      </w:r>
    </w:p>
    <w:p>
      <w:pPr>
        <w:numPr>
          <w:numId w:val="1012"/>
          <w:ilvl w:val="0"/>
        </w:numPr>
      </w:pPr>
      <w:r>
        <w:t xml:space="preserve">LE TOUT avec frais de justice.</w:t>
      </w:r>
    </w:p>
    <w:p>
      <w:pPr>
        <w:pStyle w:val="Heading2"/>
      </w:pPr>
      <w:bookmarkStart w:id="33" w:name="xii.-avis-de-présentation"/>
      <w:r>
        <w:t xml:space="preserve">XII. Avis de présentation</w:t>
      </w:r>
      <w:bookmarkEnd w:id="33"/>
    </w:p>
    <w:p>
      <w:pPr>
        <w:pStyle w:val="Compact"/>
        <w:numPr>
          <w:numId w:val="1013"/>
          <w:ilvl w:val="0"/>
        </w:numPr>
      </w:pPr>
      <w:r>
        <w:t xml:space="preserve">La présente demande sera présentée devant la Cour supérieure du Québec, district de Longueuil, au palais de justice de Longueuil, à une date, une heure et une salle à déterminer.</w:t>
      </w:r>
    </w:p>
    <w:p>
      <w:pPr>
        <w:pStyle w:val="Heading2"/>
      </w:pPr>
      <w:bookmarkStart w:id="34" w:name="xiii.-signature"/>
      <w:r>
        <w:t xml:space="preserve">XIII. Signature</w:t>
      </w:r>
      <w:bookmarkEnd w:id="34"/>
    </w:p>
    <w:p>
      <w:pPr>
        <w:pStyle w:val="FirstParagraph"/>
      </w:pPr>
      <w:r>
        <w:t xml:space="preserve">À [ville], le [date].</w:t>
      </w:r>
    </w:p>
    <w:p>
      <w:r>
        <w:pict>
          <v:rect style="width:0;height:1.5pt" o:hralign="center" o:hrstd="t" o:hr="t"/>
        </w:pict>
      </w:r>
    </w:p>
    <w:p>
      <w:pPr>
        <w:pStyle w:val="FirstParagraph"/>
      </w:pPr>
      <w:r>
        <w:t xml:space="preserve">Louis-Philippe David</w:t>
      </w:r>
      <w:r>
        <w:br w:type="textWrapping"/>
      </w:r>
      <w:r>
        <w:t xml:space="preserve">Demandeur</w:t>
      </w:r>
    </w:p>
    <w:p>
      <w:pPr>
        <w:pStyle w:val="BodyText"/>
      </w:pPr>
      <w:r>
        <w:t xml:space="preserve">Coordonnées :</w:t>
      </w:r>
      <w:r>
        <w:br w:type="textWrapping"/>
      </w:r>
      <w:r>
        <w:t xml:space="preserve">[adresse]</w:t>
      </w:r>
      <w:r>
        <w:br w:type="textWrapping"/>
      </w:r>
      <w:r>
        <w:t xml:space="preserve">[téléphone]</w:t>
      </w:r>
      <w:r>
        <w:br w:type="textWrapping"/>
      </w:r>
      <w:r>
        <w:t xml:space="preserve">[courriel]</w:t>
      </w:r>
    </w:p>
    <w:p>
      <w:pPr>
        <w:pStyle w:val="Heading2"/>
      </w:pPr>
      <w:bookmarkStart w:id="35" w:name="xiv.-endos-version-de-travail"/>
      <w:r>
        <w:t xml:space="preserve">XIV. Endos — version de travail</w:t>
      </w:r>
      <w:bookmarkEnd w:id="35"/>
    </w:p>
    <w:p>
      <w:pPr>
        <w:pStyle w:val="FirstParagraph"/>
      </w:pPr>
      <w:r>
        <w:t xml:space="preserve">No : [à compléter]</w:t>
      </w:r>
    </w:p>
    <w:p>
      <w:pPr>
        <w:pStyle w:val="BodyText"/>
      </w:pPr>
      <w:r>
        <w:t xml:space="preserve">COUR SUPÉRIEURE</w:t>
      </w:r>
      <w:r>
        <w:br w:type="textWrapping"/>
      </w:r>
      <w:r>
        <w:t xml:space="preserve">DISTRICT DE LONGUEUIL</w:t>
      </w:r>
    </w:p>
    <w:p>
      <w:pPr>
        <w:pStyle w:val="BodyText"/>
      </w:pPr>
      <w:r>
        <w:t xml:space="preserve">LOUIS-PHILIPPE DAVID</w:t>
      </w:r>
      <w:r>
        <w:br w:type="textWrapping"/>
      </w:r>
      <w:r>
        <w:t xml:space="preserve">Demandeur</w:t>
      </w:r>
    </w:p>
    <w:p>
      <w:pPr>
        <w:pStyle w:val="FirstParagraph"/>
      </w:pPr>
      <w:r>
        <w:t xml:space="preserve">ÉLISE MARIE AYOUB</w:t>
      </w:r>
      <w:r>
        <w:br w:type="textWrapping"/>
      </w:r>
      <w:r>
        <w:t xml:space="preserve">et</w:t>
      </w:r>
      <w:r>
        <w:br w:type="textWrapping"/>
      </w:r>
      <w:r>
        <w:t xml:space="preserve">ME MARIE-JOSÉE AYOUB</w:t>
      </w:r>
      <w:r>
        <w:br w:type="textWrapping"/>
      </w:r>
      <w:r>
        <w:t xml:space="preserve">Défenderesses</w:t>
      </w:r>
    </w:p>
    <w:p>
      <w:pPr>
        <w:pStyle w:val="BodyText"/>
      </w:pPr>
      <w:r>
        <w:t xml:space="preserve">DEMANDE INTRODUCTIVE D’INSTANCE</w:t>
      </w:r>
    </w:p>
    <w:p>
      <w:pPr>
        <w:pStyle w:val="BodyText"/>
      </w:pPr>
      <w:r>
        <w:t xml:space="preserve">Demandeur :</w:t>
      </w:r>
      <w:r>
        <w:br w:type="textWrapping"/>
      </w:r>
      <w:r>
        <w:t xml:space="preserve">Louis-Philippe David</w:t>
      </w:r>
      <w:r>
        <w:br w:type="textWrapping"/>
      </w:r>
      <w:r>
        <w:t xml:space="preserve">[adresse]</w:t>
      </w:r>
      <w:r>
        <w:br w:type="textWrapping"/>
      </w:r>
      <w:r>
        <w:t xml:space="preserve">[téléphone]</w:t>
      </w:r>
      <w:r>
        <w:br w:type="textWrapping"/>
      </w:r>
      <w:r>
        <w:t xml:space="preserve">[courriel]</w:t>
      </w:r>
    </w:p>
    <w:p>
      <w:pPr>
        <w:pStyle w:val="Heading2"/>
      </w:pPr>
      <w:bookmarkStart w:id="36" w:name="références-internes-de-travail"/>
      <w:r>
        <w:t xml:space="preserve">Références internes de travail</w:t>
      </w:r>
      <w:bookmarkEnd w:id="36"/>
    </w:p>
    <w:p>
      <w:pPr>
        <w:pStyle w:val="Compact"/>
        <w:numPr>
          <w:numId w:val="1015"/>
          <w:ilvl w:val="0"/>
        </w:numPr>
      </w:pPr>
      <w:r>
        <w:rPr>
          <w:rStyle w:val="VerbatimChar"/>
        </w:rPr>
        <w:t xml:space="preserve">legal/pont/pont_par4-5-6_2015.md</w:t>
      </w:r>
    </w:p>
    <w:p>
      <w:pPr>
        <w:pStyle w:val="Compact"/>
        <w:numPr>
          <w:numId w:val="1015"/>
          <w:ilvl w:val="0"/>
        </w:numPr>
      </w:pPr>
      <w:r>
        <w:rPr>
          <w:rStyle w:val="VerbatimChar"/>
        </w:rPr>
        <w:t xml:space="preserve">legal/pont/pont_par9_2015.md</w:t>
      </w:r>
    </w:p>
    <w:p>
      <w:pPr>
        <w:pStyle w:val="Compact"/>
        <w:numPr>
          <w:numId w:val="1015"/>
          <w:ilvl w:val="0"/>
        </w:numPr>
      </w:pPr>
      <w:r>
        <w:rPr>
          <w:rStyle w:val="VerbatimChar"/>
        </w:rPr>
        <w:t xml:space="preserve">legal/pont/pont_par14-17_2015.md</w:t>
      </w:r>
    </w:p>
    <w:p>
      <w:pPr>
        <w:pStyle w:val="Compact"/>
        <w:numPr>
          <w:numId w:val="1015"/>
          <w:ilvl w:val="0"/>
        </w:numPr>
      </w:pPr>
      <w:r>
        <w:rPr>
          <w:rStyle w:val="VerbatimChar"/>
        </w:rPr>
        <w:t xml:space="preserve">legal/pont/pont_par18_2015.md</w:t>
      </w:r>
    </w:p>
    <w:p>
      <w:pPr>
        <w:pStyle w:val="Compact"/>
        <w:numPr>
          <w:numId w:val="1015"/>
          <w:ilvl w:val="0"/>
        </w:numPr>
      </w:pPr>
      <w:r>
        <w:rPr>
          <w:rStyle w:val="VerbatimChar"/>
        </w:rPr>
        <w:t xml:space="preserve">legal/pont/pont_par20-21_2015.md</w:t>
      </w:r>
    </w:p>
    <w:p>
      <w:pPr>
        <w:pStyle w:val="Compact"/>
        <w:numPr>
          <w:numId w:val="1015"/>
          <w:ilvl w:val="0"/>
        </w:numPr>
      </w:pPr>
      <w:r>
        <w:rPr>
          <w:rStyle w:val="VerbatimChar"/>
        </w:rPr>
        <w:t xml:space="preserve">legal/journal_evolution_these_requete_2015.md</w:t>
      </w:r>
    </w:p>
    <w:p>
      <w:pPr>
        <w:pStyle w:val="Compact"/>
        <w:numPr>
          <w:numId w:val="1015"/>
          <w:ilvl w:val="0"/>
        </w:numPr>
      </w:pPr>
      <w:r>
        <w:rPr>
          <w:rStyle w:val="VerbatimChar"/>
        </w:rPr>
        <w:t xml:space="preserve">legal/annexes/index_preuve_par_axes.md</w:t>
      </w:r>
    </w:p>
    <w:p>
      <w:pPr>
        <w:pStyle w:val="Compact"/>
        <w:numPr>
          <w:numId w:val="1015"/>
          <w:ilvl w:val="0"/>
        </w:numPr>
      </w:pPr>
      <w:r>
        <w:rPr>
          <w:rStyle w:val="VerbatimChar"/>
        </w:rPr>
        <w:t xml:space="preserve">legal/annexes/annexe_A_soins_enfants_malades.md</w:t>
      </w:r>
    </w:p>
    <w:p>
      <w:pPr>
        <w:pStyle w:val="Compact"/>
        <w:numPr>
          <w:numId w:val="1015"/>
          <w:ilvl w:val="0"/>
        </w:numPr>
      </w:pPr>
      <w:r>
        <w:rPr>
          <w:rStyle w:val="VerbatimChar"/>
        </w:rPr>
        <w:t xml:space="preserve">legal/annexes/annexe_B_danse_routine_soir.md</w:t>
      </w:r>
    </w:p>
    <w:p>
      <w:pPr>
        <w:pStyle w:val="Compact"/>
        <w:numPr>
          <w:numId w:val="1015"/>
          <w:ilvl w:val="0"/>
        </w:numPr>
      </w:pPr>
      <w:r>
        <w:rPr>
          <w:rStyle w:val="VerbatimChar"/>
        </w:rPr>
        <w:t xml:space="preserve">legal/annexes/annexe_C_garderie_ecole_coordination.md</w:t>
      </w:r>
    </w:p>
    <w:p>
      <w:pPr>
        <w:pStyle w:val="Compact"/>
        <w:numPr>
          <w:numId w:val="1015"/>
          <w:ilvl w:val="0"/>
        </w:numPr>
      </w:pPr>
      <w:r>
        <w:rPr>
          <w:rStyle w:val="VerbatimChar"/>
        </w:rPr>
        <w:t xml:space="preserve">legal/annexes/annexe_D_activites_presence.md</w:t>
      </w:r>
    </w:p>
    <w:p>
      <w:pPr>
        <w:pStyle w:val="Heading2"/>
      </w:pPr>
      <w:bookmarkStart w:id="37" w:name="notes-de-validation"/>
      <w:r>
        <w:t xml:space="preserve">Notes de validation</w:t>
      </w:r>
      <w:bookmarkEnd w:id="37"/>
    </w:p>
    <w:p>
      <w:pPr>
        <w:pStyle w:val="Compact"/>
        <w:numPr>
          <w:numId w:val="1016"/>
          <w:ilvl w:val="0"/>
        </w:numPr>
      </w:pPr>
      <w:r>
        <w:t xml:space="preserve">Cette version sert à tester le workflow et non à être déposée telle quelle.</w:t>
      </w:r>
    </w:p>
    <w:p>
      <w:pPr>
        <w:pStyle w:val="Compact"/>
        <w:numPr>
          <w:numId w:val="1016"/>
          <w:ilvl w:val="0"/>
        </w:numPr>
      </w:pPr>
      <w:r>
        <w:t xml:space="preserve">Les cotes finales des pièces ne sont pas stabilisées.</w:t>
      </w:r>
    </w:p>
    <w:p>
      <w:pPr>
        <w:pStyle w:val="Compact"/>
        <w:numPr>
          <w:numId w:val="1016"/>
          <w:ilvl w:val="0"/>
        </w:numPr>
      </w:pPr>
      <w:r>
        <w:t xml:space="preserve">Les montants réclamés, dates d’intérêt, coordonnées et éléments procéduraux doivent être complétés.</w:t>
      </w:r>
    </w:p>
    <w:p>
      <w:pPr>
        <w:pStyle w:val="Compact"/>
        <w:numPr>
          <w:numId w:val="1016"/>
          <w:ilvl w:val="0"/>
        </w:numPr>
      </w:pPr>
      <w:r>
        <w:t xml:space="preserve">Les conclusions devront être validées juridiquement avant dépôt.</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713">
    <w:nsid w:val="ea454b4c"/>
    <w:multiLevelType w:val="multilevel"/>
    <w:lvl w:ilvl="0">
      <w:start w:val="3"/>
      <w:numFmt w:val="lowerLetter"/>
      <w:lvlText w:val="%1."/>
      <w:lvlJc w:val="left"/>
      <w:pPr>
        <w:tabs>
          <w:tab w:val="num" w:pos="0"/>
        </w:tabs>
        <w:ind w:left="480" w:hanging="480"/>
      </w:pPr>
    </w:lvl>
    <w:lvl w:ilvl="1">
      <w:start w:val="3"/>
      <w:numFmt w:val="lowerLetter"/>
      <w:lvlText w:val="%2."/>
      <w:lvlJc w:val="left"/>
      <w:pPr>
        <w:tabs>
          <w:tab w:val="num" w:pos="720"/>
        </w:tabs>
        <w:ind w:left="1200" w:hanging="480"/>
      </w:pPr>
    </w:lvl>
    <w:lvl w:ilvl="2">
      <w:start w:val="3"/>
      <w:numFmt w:val="lowerLetter"/>
      <w:lvlText w:val="%3."/>
      <w:lvlJc w:val="left"/>
      <w:pPr>
        <w:tabs>
          <w:tab w:val="num" w:pos="1440"/>
        </w:tabs>
        <w:ind w:left="1920" w:hanging="480"/>
      </w:pPr>
    </w:lvl>
    <w:lvl w:ilvl="3">
      <w:start w:val="3"/>
      <w:numFmt w:val="lowerLetter"/>
      <w:lvlText w:val="%4."/>
      <w:lvlJc w:val="left"/>
      <w:pPr>
        <w:tabs>
          <w:tab w:val="num" w:pos="2160"/>
        </w:tabs>
        <w:ind w:left="2640" w:hanging="480"/>
      </w:pPr>
    </w:lvl>
    <w:lvl w:ilvl="4">
      <w:start w:val="3"/>
      <w:numFmt w:val="lowerLetter"/>
      <w:lvlText w:val="%5."/>
      <w:lvlJc w:val="left"/>
      <w:pPr>
        <w:tabs>
          <w:tab w:val="num" w:pos="2880"/>
        </w:tabs>
        <w:ind w:left="3360" w:hanging="480"/>
      </w:pPr>
    </w:lvl>
    <w:lvl w:ilvl="5">
      <w:start w:val="3"/>
      <w:numFmt w:val="lowerLetter"/>
      <w:lvlText w:val="%6."/>
      <w:lvlJc w:val="left"/>
      <w:pPr>
        <w:tabs>
          <w:tab w:val="num" w:pos="3600"/>
        </w:tabs>
        <w:ind w:left="4080" w:hanging="480"/>
      </w:pPr>
    </w:lvl>
    <w:lvl w:ilvl="6">
      <w:start w:val="3"/>
      <w:numFmt w:val="lowerLetter"/>
      <w:lvlText w:val="%7."/>
      <w:lvlJc w:val="left"/>
      <w:pPr>
        <w:tabs>
          <w:tab w:val="num" w:pos="4320"/>
        </w:tabs>
        <w:ind w:left="4800" w:hanging="480"/>
      </w:pPr>
    </w:lvl>
    <w:lvl w:ilvl="7">
      <w:start w:val="3"/>
      <w:numFmt w:val="lowerLetter"/>
      <w:lvlText w:val="%8."/>
      <w:lvlJc w:val="left"/>
      <w:pPr>
        <w:tabs>
          <w:tab w:val="num" w:pos="5040"/>
        </w:tabs>
        <w:ind w:left="5520" w:hanging="480"/>
      </w:pPr>
    </w:lvl>
    <w:lvl w:ilvl="8">
      <w:start w:val="3"/>
      <w:numFmt w:val="lowerLetter"/>
      <w:lvlText w:val="%9."/>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8">
    <w:nsid w:val="47261bad"/>
    <w:multiLevelType w:val="multilevel"/>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lvl w:ilvl="7">
      <w:start w:val="8"/>
      <w:numFmt w:val="decimal"/>
      <w:lvlText w:val="%8."/>
      <w:lvlJc w:val="left"/>
      <w:pPr>
        <w:tabs>
          <w:tab w:val="num" w:pos="5040"/>
        </w:tabs>
        <w:ind w:left="5520" w:hanging="480"/>
      </w:pPr>
    </w:lvl>
    <w:lvl w:ilvl="8">
      <w:start w:val="8"/>
      <w:numFmt w:val="decimal"/>
      <w:lvlText w:val="%9."/>
      <w:lvlJc w:val="left"/>
      <w:pPr>
        <w:tabs>
          <w:tab w:val="num" w:pos="5760"/>
        </w:tabs>
        <w:ind w:left="6240" w:hanging="480"/>
      </w:pPr>
    </w:lvl>
  </w:abstractNum>
  <w:abstractNum w:abstractNumId="994112">
    <w:nsid w:val="b3cbbdee"/>
    <w:multiLevelType w:val="multilevel"/>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abstractNum w:abstractNumId="994119">
    <w:nsid w:val="4fbe019a"/>
    <w:multiLevelType w:val="multilevel"/>
    <w:lvl w:ilvl="0">
      <w:start w:val="19"/>
      <w:numFmt w:val="decimal"/>
      <w:lvlText w:val="%1."/>
      <w:lvlJc w:val="left"/>
      <w:pPr>
        <w:tabs>
          <w:tab w:val="num" w:pos="0"/>
        </w:tabs>
        <w:ind w:left="480" w:hanging="480"/>
      </w:pPr>
    </w:lvl>
    <w:lvl w:ilvl="1">
      <w:start w:val="19"/>
      <w:numFmt w:val="decimal"/>
      <w:lvlText w:val="%2."/>
      <w:lvlJc w:val="left"/>
      <w:pPr>
        <w:tabs>
          <w:tab w:val="num" w:pos="720"/>
        </w:tabs>
        <w:ind w:left="1200" w:hanging="480"/>
      </w:pPr>
    </w:lvl>
    <w:lvl w:ilvl="2">
      <w:start w:val="19"/>
      <w:numFmt w:val="decimal"/>
      <w:lvlText w:val="%3."/>
      <w:lvlJc w:val="left"/>
      <w:pPr>
        <w:tabs>
          <w:tab w:val="num" w:pos="1440"/>
        </w:tabs>
        <w:ind w:left="1920" w:hanging="480"/>
      </w:pPr>
    </w:lvl>
    <w:lvl w:ilvl="3">
      <w:start w:val="19"/>
      <w:numFmt w:val="decimal"/>
      <w:lvlText w:val="%4."/>
      <w:lvlJc w:val="left"/>
      <w:pPr>
        <w:tabs>
          <w:tab w:val="num" w:pos="2160"/>
        </w:tabs>
        <w:ind w:left="2640" w:hanging="480"/>
      </w:pPr>
    </w:lvl>
    <w:lvl w:ilvl="4">
      <w:start w:val="19"/>
      <w:numFmt w:val="decimal"/>
      <w:lvlText w:val="%5."/>
      <w:lvlJc w:val="left"/>
      <w:pPr>
        <w:tabs>
          <w:tab w:val="num" w:pos="2880"/>
        </w:tabs>
        <w:ind w:left="3360" w:hanging="480"/>
      </w:pPr>
    </w:lvl>
    <w:lvl w:ilvl="5">
      <w:start w:val="19"/>
      <w:numFmt w:val="decimal"/>
      <w:lvlText w:val="%6."/>
      <w:lvlJc w:val="left"/>
      <w:pPr>
        <w:tabs>
          <w:tab w:val="num" w:pos="3600"/>
        </w:tabs>
        <w:ind w:left="4080" w:hanging="480"/>
      </w:pPr>
    </w:lvl>
    <w:lvl w:ilvl="6">
      <w:start w:val="19"/>
      <w:numFmt w:val="decimal"/>
      <w:lvlText w:val="%7."/>
      <w:lvlJc w:val="left"/>
      <w:pPr>
        <w:tabs>
          <w:tab w:val="num" w:pos="4320"/>
        </w:tabs>
        <w:ind w:left="4800" w:hanging="480"/>
      </w:pPr>
    </w:lvl>
    <w:lvl w:ilvl="7">
      <w:start w:val="19"/>
      <w:numFmt w:val="decimal"/>
      <w:lvlText w:val="%8."/>
      <w:lvlJc w:val="left"/>
      <w:pPr>
        <w:tabs>
          <w:tab w:val="num" w:pos="5040"/>
        </w:tabs>
        <w:ind w:left="5520" w:hanging="480"/>
      </w:pPr>
    </w:lvl>
    <w:lvl w:ilvl="8">
      <w:start w:val="19"/>
      <w:numFmt w:val="decimal"/>
      <w:lvlText w:val="%9."/>
      <w:lvlJc w:val="left"/>
      <w:pPr>
        <w:tabs>
          <w:tab w:val="num" w:pos="5760"/>
        </w:tabs>
        <w:ind w:left="6240" w:hanging="480"/>
      </w:pPr>
    </w:lvl>
  </w:abstractNum>
  <w:abstractNum w:abstractNumId="994139">
    <w:nsid w:val="91a27d85"/>
    <w:multiLevelType w:val="multilevel"/>
    <w:lvl w:ilvl="0">
      <w:start w:val="39"/>
      <w:numFmt w:val="decimal"/>
      <w:lvlText w:val="%1."/>
      <w:lvlJc w:val="left"/>
      <w:pPr>
        <w:tabs>
          <w:tab w:val="num" w:pos="0"/>
        </w:tabs>
        <w:ind w:left="480" w:hanging="480"/>
      </w:pPr>
    </w:lvl>
    <w:lvl w:ilvl="1">
      <w:start w:val="39"/>
      <w:numFmt w:val="decimal"/>
      <w:lvlText w:val="%2."/>
      <w:lvlJc w:val="left"/>
      <w:pPr>
        <w:tabs>
          <w:tab w:val="num" w:pos="720"/>
        </w:tabs>
        <w:ind w:left="1200" w:hanging="480"/>
      </w:pPr>
    </w:lvl>
    <w:lvl w:ilvl="2">
      <w:start w:val="39"/>
      <w:numFmt w:val="decimal"/>
      <w:lvlText w:val="%3."/>
      <w:lvlJc w:val="left"/>
      <w:pPr>
        <w:tabs>
          <w:tab w:val="num" w:pos="1440"/>
        </w:tabs>
        <w:ind w:left="1920" w:hanging="480"/>
      </w:pPr>
    </w:lvl>
    <w:lvl w:ilvl="3">
      <w:start w:val="39"/>
      <w:numFmt w:val="decimal"/>
      <w:lvlText w:val="%4."/>
      <w:lvlJc w:val="left"/>
      <w:pPr>
        <w:tabs>
          <w:tab w:val="num" w:pos="2160"/>
        </w:tabs>
        <w:ind w:left="2640" w:hanging="480"/>
      </w:pPr>
    </w:lvl>
    <w:lvl w:ilvl="4">
      <w:start w:val="39"/>
      <w:numFmt w:val="decimal"/>
      <w:lvlText w:val="%5."/>
      <w:lvlJc w:val="left"/>
      <w:pPr>
        <w:tabs>
          <w:tab w:val="num" w:pos="2880"/>
        </w:tabs>
        <w:ind w:left="3360" w:hanging="480"/>
      </w:pPr>
    </w:lvl>
    <w:lvl w:ilvl="5">
      <w:start w:val="39"/>
      <w:numFmt w:val="decimal"/>
      <w:lvlText w:val="%6."/>
      <w:lvlJc w:val="left"/>
      <w:pPr>
        <w:tabs>
          <w:tab w:val="num" w:pos="3600"/>
        </w:tabs>
        <w:ind w:left="4080" w:hanging="480"/>
      </w:pPr>
    </w:lvl>
    <w:lvl w:ilvl="6">
      <w:start w:val="39"/>
      <w:numFmt w:val="decimal"/>
      <w:lvlText w:val="%7."/>
      <w:lvlJc w:val="left"/>
      <w:pPr>
        <w:tabs>
          <w:tab w:val="num" w:pos="4320"/>
        </w:tabs>
        <w:ind w:left="4800" w:hanging="480"/>
      </w:pPr>
    </w:lvl>
    <w:lvl w:ilvl="7">
      <w:start w:val="39"/>
      <w:numFmt w:val="decimal"/>
      <w:lvlText w:val="%8."/>
      <w:lvlJc w:val="left"/>
      <w:pPr>
        <w:tabs>
          <w:tab w:val="num" w:pos="5040"/>
        </w:tabs>
        <w:ind w:left="5520" w:hanging="480"/>
      </w:pPr>
    </w:lvl>
    <w:lvl w:ilvl="8">
      <w:start w:val="39"/>
      <w:numFmt w:val="decimal"/>
      <w:lvlText w:val="%9."/>
      <w:lvlJc w:val="left"/>
      <w:pPr>
        <w:tabs>
          <w:tab w:val="num" w:pos="5760"/>
        </w:tabs>
        <w:ind w:left="6240" w:hanging="480"/>
      </w:pPr>
    </w:lvl>
  </w:abstractNum>
  <w:abstractNum w:abstractNumId="994164">
    <w:nsid w:val="615f1ed2"/>
    <w:multiLevelType w:val="multilevel"/>
    <w:lvl w:ilvl="0">
      <w:start w:val="64"/>
      <w:numFmt w:val="decimal"/>
      <w:lvlText w:val="%1."/>
      <w:lvlJc w:val="left"/>
      <w:pPr>
        <w:tabs>
          <w:tab w:val="num" w:pos="0"/>
        </w:tabs>
        <w:ind w:left="480" w:hanging="480"/>
      </w:pPr>
    </w:lvl>
    <w:lvl w:ilvl="1">
      <w:start w:val="64"/>
      <w:numFmt w:val="decimal"/>
      <w:lvlText w:val="%2."/>
      <w:lvlJc w:val="left"/>
      <w:pPr>
        <w:tabs>
          <w:tab w:val="num" w:pos="720"/>
        </w:tabs>
        <w:ind w:left="1200" w:hanging="480"/>
      </w:pPr>
    </w:lvl>
    <w:lvl w:ilvl="2">
      <w:start w:val="64"/>
      <w:numFmt w:val="decimal"/>
      <w:lvlText w:val="%3."/>
      <w:lvlJc w:val="left"/>
      <w:pPr>
        <w:tabs>
          <w:tab w:val="num" w:pos="1440"/>
        </w:tabs>
        <w:ind w:left="1920" w:hanging="480"/>
      </w:pPr>
    </w:lvl>
    <w:lvl w:ilvl="3">
      <w:start w:val="64"/>
      <w:numFmt w:val="decimal"/>
      <w:lvlText w:val="%4."/>
      <w:lvlJc w:val="left"/>
      <w:pPr>
        <w:tabs>
          <w:tab w:val="num" w:pos="2160"/>
        </w:tabs>
        <w:ind w:left="2640" w:hanging="480"/>
      </w:pPr>
    </w:lvl>
    <w:lvl w:ilvl="4">
      <w:start w:val="64"/>
      <w:numFmt w:val="decimal"/>
      <w:lvlText w:val="%5."/>
      <w:lvlJc w:val="left"/>
      <w:pPr>
        <w:tabs>
          <w:tab w:val="num" w:pos="2880"/>
        </w:tabs>
        <w:ind w:left="3360" w:hanging="480"/>
      </w:pPr>
    </w:lvl>
    <w:lvl w:ilvl="5">
      <w:start w:val="64"/>
      <w:numFmt w:val="decimal"/>
      <w:lvlText w:val="%6."/>
      <w:lvlJc w:val="left"/>
      <w:pPr>
        <w:tabs>
          <w:tab w:val="num" w:pos="3600"/>
        </w:tabs>
        <w:ind w:left="4080" w:hanging="480"/>
      </w:pPr>
    </w:lvl>
    <w:lvl w:ilvl="6">
      <w:start w:val="64"/>
      <w:numFmt w:val="decimal"/>
      <w:lvlText w:val="%7."/>
      <w:lvlJc w:val="left"/>
      <w:pPr>
        <w:tabs>
          <w:tab w:val="num" w:pos="4320"/>
        </w:tabs>
        <w:ind w:left="4800" w:hanging="480"/>
      </w:pPr>
    </w:lvl>
    <w:lvl w:ilvl="7">
      <w:start w:val="64"/>
      <w:numFmt w:val="decimal"/>
      <w:lvlText w:val="%8."/>
      <w:lvlJc w:val="left"/>
      <w:pPr>
        <w:tabs>
          <w:tab w:val="num" w:pos="5040"/>
        </w:tabs>
        <w:ind w:left="5520" w:hanging="480"/>
      </w:pPr>
    </w:lvl>
    <w:lvl w:ilvl="8">
      <w:start w:val="64"/>
      <w:numFmt w:val="decimal"/>
      <w:lvlText w:val="%9."/>
      <w:lvlJc w:val="left"/>
      <w:pPr>
        <w:tabs>
          <w:tab w:val="num" w:pos="5760"/>
        </w:tabs>
        <w:ind w:left="6240" w:hanging="480"/>
      </w:pPr>
    </w:lvl>
  </w:abstractNum>
  <w:abstractNum w:abstractNumId="994179">
    <w:nsid w:val="238d8174"/>
    <w:multiLevelType w:val="multilevel"/>
    <w:lvl w:ilvl="0">
      <w:start w:val="79"/>
      <w:numFmt w:val="decimal"/>
      <w:lvlText w:val="%1."/>
      <w:lvlJc w:val="left"/>
      <w:pPr>
        <w:tabs>
          <w:tab w:val="num" w:pos="0"/>
        </w:tabs>
        <w:ind w:left="480" w:hanging="480"/>
      </w:pPr>
    </w:lvl>
    <w:lvl w:ilvl="1">
      <w:start w:val="79"/>
      <w:numFmt w:val="decimal"/>
      <w:lvlText w:val="%2."/>
      <w:lvlJc w:val="left"/>
      <w:pPr>
        <w:tabs>
          <w:tab w:val="num" w:pos="720"/>
        </w:tabs>
        <w:ind w:left="1200" w:hanging="480"/>
      </w:pPr>
    </w:lvl>
    <w:lvl w:ilvl="2">
      <w:start w:val="79"/>
      <w:numFmt w:val="decimal"/>
      <w:lvlText w:val="%3."/>
      <w:lvlJc w:val="left"/>
      <w:pPr>
        <w:tabs>
          <w:tab w:val="num" w:pos="1440"/>
        </w:tabs>
        <w:ind w:left="1920" w:hanging="480"/>
      </w:pPr>
    </w:lvl>
    <w:lvl w:ilvl="3">
      <w:start w:val="79"/>
      <w:numFmt w:val="decimal"/>
      <w:lvlText w:val="%4."/>
      <w:lvlJc w:val="left"/>
      <w:pPr>
        <w:tabs>
          <w:tab w:val="num" w:pos="2160"/>
        </w:tabs>
        <w:ind w:left="2640" w:hanging="480"/>
      </w:pPr>
    </w:lvl>
    <w:lvl w:ilvl="4">
      <w:start w:val="79"/>
      <w:numFmt w:val="decimal"/>
      <w:lvlText w:val="%5."/>
      <w:lvlJc w:val="left"/>
      <w:pPr>
        <w:tabs>
          <w:tab w:val="num" w:pos="2880"/>
        </w:tabs>
        <w:ind w:left="3360" w:hanging="480"/>
      </w:pPr>
    </w:lvl>
    <w:lvl w:ilvl="5">
      <w:start w:val="79"/>
      <w:numFmt w:val="decimal"/>
      <w:lvlText w:val="%6."/>
      <w:lvlJc w:val="left"/>
      <w:pPr>
        <w:tabs>
          <w:tab w:val="num" w:pos="3600"/>
        </w:tabs>
        <w:ind w:left="4080" w:hanging="480"/>
      </w:pPr>
    </w:lvl>
    <w:lvl w:ilvl="6">
      <w:start w:val="79"/>
      <w:numFmt w:val="decimal"/>
      <w:lvlText w:val="%7."/>
      <w:lvlJc w:val="left"/>
      <w:pPr>
        <w:tabs>
          <w:tab w:val="num" w:pos="4320"/>
        </w:tabs>
        <w:ind w:left="4800" w:hanging="480"/>
      </w:pPr>
    </w:lvl>
    <w:lvl w:ilvl="7">
      <w:start w:val="79"/>
      <w:numFmt w:val="decimal"/>
      <w:lvlText w:val="%8."/>
      <w:lvlJc w:val="left"/>
      <w:pPr>
        <w:tabs>
          <w:tab w:val="num" w:pos="5040"/>
        </w:tabs>
        <w:ind w:left="5520" w:hanging="480"/>
      </w:pPr>
    </w:lvl>
    <w:lvl w:ilvl="8">
      <w:start w:val="79"/>
      <w:numFmt w:val="decimal"/>
      <w:lvlText w:val="%9."/>
      <w:lvlJc w:val="left"/>
      <w:pPr>
        <w:tabs>
          <w:tab w:val="num" w:pos="5760"/>
        </w:tabs>
        <w:ind w:left="6240" w:hanging="480"/>
      </w:pPr>
    </w:lvl>
  </w:abstractNum>
  <w:abstractNum w:abstractNumId="994181">
    <w:nsid w:val="41f388d6"/>
    <w:multiLevelType w:val="multilevel"/>
    <w:lvl w:ilvl="0">
      <w:start w:val="81"/>
      <w:numFmt w:val="decimal"/>
      <w:lvlText w:val="%1."/>
      <w:lvlJc w:val="left"/>
      <w:pPr>
        <w:tabs>
          <w:tab w:val="num" w:pos="0"/>
        </w:tabs>
        <w:ind w:left="480" w:hanging="480"/>
      </w:pPr>
    </w:lvl>
    <w:lvl w:ilvl="1">
      <w:start w:val="81"/>
      <w:numFmt w:val="decimal"/>
      <w:lvlText w:val="%2."/>
      <w:lvlJc w:val="left"/>
      <w:pPr>
        <w:tabs>
          <w:tab w:val="num" w:pos="720"/>
        </w:tabs>
        <w:ind w:left="1200" w:hanging="480"/>
      </w:pPr>
    </w:lvl>
    <w:lvl w:ilvl="2">
      <w:start w:val="81"/>
      <w:numFmt w:val="decimal"/>
      <w:lvlText w:val="%3."/>
      <w:lvlJc w:val="left"/>
      <w:pPr>
        <w:tabs>
          <w:tab w:val="num" w:pos="1440"/>
        </w:tabs>
        <w:ind w:left="1920" w:hanging="480"/>
      </w:pPr>
    </w:lvl>
    <w:lvl w:ilvl="3">
      <w:start w:val="81"/>
      <w:numFmt w:val="decimal"/>
      <w:lvlText w:val="%4."/>
      <w:lvlJc w:val="left"/>
      <w:pPr>
        <w:tabs>
          <w:tab w:val="num" w:pos="2160"/>
        </w:tabs>
        <w:ind w:left="2640" w:hanging="480"/>
      </w:pPr>
    </w:lvl>
    <w:lvl w:ilvl="4">
      <w:start w:val="81"/>
      <w:numFmt w:val="decimal"/>
      <w:lvlText w:val="%5."/>
      <w:lvlJc w:val="left"/>
      <w:pPr>
        <w:tabs>
          <w:tab w:val="num" w:pos="2880"/>
        </w:tabs>
        <w:ind w:left="3360" w:hanging="480"/>
      </w:pPr>
    </w:lvl>
    <w:lvl w:ilvl="5">
      <w:start w:val="81"/>
      <w:numFmt w:val="decimal"/>
      <w:lvlText w:val="%6."/>
      <w:lvlJc w:val="left"/>
      <w:pPr>
        <w:tabs>
          <w:tab w:val="num" w:pos="3600"/>
        </w:tabs>
        <w:ind w:left="4080" w:hanging="480"/>
      </w:pPr>
    </w:lvl>
    <w:lvl w:ilvl="6">
      <w:start w:val="81"/>
      <w:numFmt w:val="decimal"/>
      <w:lvlText w:val="%7."/>
      <w:lvlJc w:val="left"/>
      <w:pPr>
        <w:tabs>
          <w:tab w:val="num" w:pos="4320"/>
        </w:tabs>
        <w:ind w:left="4800" w:hanging="480"/>
      </w:pPr>
    </w:lvl>
    <w:lvl w:ilvl="7">
      <w:start w:val="81"/>
      <w:numFmt w:val="decimal"/>
      <w:lvlText w:val="%8."/>
      <w:lvlJc w:val="left"/>
      <w:pPr>
        <w:tabs>
          <w:tab w:val="num" w:pos="5040"/>
        </w:tabs>
        <w:ind w:left="5520" w:hanging="480"/>
      </w:pPr>
    </w:lvl>
    <w:lvl w:ilvl="8">
      <w:start w:val="81"/>
      <w:numFmt w:val="decimal"/>
      <w:lvlText w:val="%9."/>
      <w:lvlJc w:val="left"/>
      <w:pPr>
        <w:tabs>
          <w:tab w:val="num" w:pos="5760"/>
        </w:tabs>
        <w:ind w:left="6240" w:hanging="480"/>
      </w:pPr>
    </w:lvl>
  </w:abstractNum>
  <w:abstractNum w:abstractNumId="994195">
    <w:nsid w:val="da4300bd"/>
    <w:multiLevelType w:val="multilevel"/>
    <w:lvl w:ilvl="0">
      <w:start w:val="95"/>
      <w:numFmt w:val="decimal"/>
      <w:lvlText w:val="%1."/>
      <w:lvlJc w:val="left"/>
      <w:pPr>
        <w:tabs>
          <w:tab w:val="num" w:pos="0"/>
        </w:tabs>
        <w:ind w:left="480" w:hanging="480"/>
      </w:pPr>
    </w:lvl>
    <w:lvl w:ilvl="1">
      <w:start w:val="95"/>
      <w:numFmt w:val="decimal"/>
      <w:lvlText w:val="%2."/>
      <w:lvlJc w:val="left"/>
      <w:pPr>
        <w:tabs>
          <w:tab w:val="num" w:pos="720"/>
        </w:tabs>
        <w:ind w:left="1200" w:hanging="480"/>
      </w:pPr>
    </w:lvl>
    <w:lvl w:ilvl="2">
      <w:start w:val="95"/>
      <w:numFmt w:val="decimal"/>
      <w:lvlText w:val="%3."/>
      <w:lvlJc w:val="left"/>
      <w:pPr>
        <w:tabs>
          <w:tab w:val="num" w:pos="1440"/>
        </w:tabs>
        <w:ind w:left="1920" w:hanging="480"/>
      </w:pPr>
    </w:lvl>
    <w:lvl w:ilvl="3">
      <w:start w:val="95"/>
      <w:numFmt w:val="decimal"/>
      <w:lvlText w:val="%4."/>
      <w:lvlJc w:val="left"/>
      <w:pPr>
        <w:tabs>
          <w:tab w:val="num" w:pos="2160"/>
        </w:tabs>
        <w:ind w:left="2640" w:hanging="480"/>
      </w:pPr>
    </w:lvl>
    <w:lvl w:ilvl="4">
      <w:start w:val="95"/>
      <w:numFmt w:val="decimal"/>
      <w:lvlText w:val="%5."/>
      <w:lvlJc w:val="left"/>
      <w:pPr>
        <w:tabs>
          <w:tab w:val="num" w:pos="2880"/>
        </w:tabs>
        <w:ind w:left="3360" w:hanging="480"/>
      </w:pPr>
    </w:lvl>
    <w:lvl w:ilvl="5">
      <w:start w:val="95"/>
      <w:numFmt w:val="decimal"/>
      <w:lvlText w:val="%6."/>
      <w:lvlJc w:val="left"/>
      <w:pPr>
        <w:tabs>
          <w:tab w:val="num" w:pos="3600"/>
        </w:tabs>
        <w:ind w:left="4080" w:hanging="480"/>
      </w:pPr>
    </w:lvl>
    <w:lvl w:ilvl="6">
      <w:start w:val="95"/>
      <w:numFmt w:val="decimal"/>
      <w:lvlText w:val="%7."/>
      <w:lvlJc w:val="left"/>
      <w:pPr>
        <w:tabs>
          <w:tab w:val="num" w:pos="4320"/>
        </w:tabs>
        <w:ind w:left="4800" w:hanging="480"/>
      </w:pPr>
    </w:lvl>
    <w:lvl w:ilvl="7">
      <w:start w:val="95"/>
      <w:numFmt w:val="decimal"/>
      <w:lvlText w:val="%8."/>
      <w:lvlJc w:val="left"/>
      <w:pPr>
        <w:tabs>
          <w:tab w:val="num" w:pos="5040"/>
        </w:tabs>
        <w:ind w:left="5520" w:hanging="480"/>
      </w:pPr>
    </w:lvl>
    <w:lvl w:ilvl="8">
      <w:start w:val="95"/>
      <w:numFmt w:val="decimal"/>
      <w:lvlText w:val="%9."/>
      <w:lvlJc w:val="left"/>
      <w:pPr>
        <w:tabs>
          <w:tab w:val="num" w:pos="5760"/>
        </w:tabs>
        <w:ind w:left="6240" w:hanging="480"/>
      </w:pPr>
    </w:lvl>
  </w:abstractNum>
  <w:abstractNum w:abstractNumId="9941103">
    <w:nsid w:val="8c1c03f9"/>
    <w:multiLevelType w:val="multilevel"/>
    <w:lvl w:ilvl="0">
      <w:start w:val="103"/>
      <w:numFmt w:val="decimal"/>
      <w:lvlText w:val="%1."/>
      <w:lvlJc w:val="left"/>
      <w:pPr>
        <w:tabs>
          <w:tab w:val="num" w:pos="0"/>
        </w:tabs>
        <w:ind w:left="480" w:hanging="480"/>
      </w:pPr>
    </w:lvl>
    <w:lvl w:ilvl="1">
      <w:start w:val="103"/>
      <w:numFmt w:val="decimal"/>
      <w:lvlText w:val="%2."/>
      <w:lvlJc w:val="left"/>
      <w:pPr>
        <w:tabs>
          <w:tab w:val="num" w:pos="720"/>
        </w:tabs>
        <w:ind w:left="1200" w:hanging="480"/>
      </w:pPr>
    </w:lvl>
    <w:lvl w:ilvl="2">
      <w:start w:val="103"/>
      <w:numFmt w:val="decimal"/>
      <w:lvlText w:val="%3."/>
      <w:lvlJc w:val="left"/>
      <w:pPr>
        <w:tabs>
          <w:tab w:val="num" w:pos="1440"/>
        </w:tabs>
        <w:ind w:left="1920" w:hanging="480"/>
      </w:pPr>
    </w:lvl>
    <w:lvl w:ilvl="3">
      <w:start w:val="103"/>
      <w:numFmt w:val="decimal"/>
      <w:lvlText w:val="%4."/>
      <w:lvlJc w:val="left"/>
      <w:pPr>
        <w:tabs>
          <w:tab w:val="num" w:pos="2160"/>
        </w:tabs>
        <w:ind w:left="2640" w:hanging="480"/>
      </w:pPr>
    </w:lvl>
    <w:lvl w:ilvl="4">
      <w:start w:val="103"/>
      <w:numFmt w:val="decimal"/>
      <w:lvlText w:val="%5."/>
      <w:lvlJc w:val="left"/>
      <w:pPr>
        <w:tabs>
          <w:tab w:val="num" w:pos="2880"/>
        </w:tabs>
        <w:ind w:left="3360" w:hanging="480"/>
      </w:pPr>
    </w:lvl>
    <w:lvl w:ilvl="5">
      <w:start w:val="103"/>
      <w:numFmt w:val="decimal"/>
      <w:lvlText w:val="%6."/>
      <w:lvlJc w:val="left"/>
      <w:pPr>
        <w:tabs>
          <w:tab w:val="num" w:pos="3600"/>
        </w:tabs>
        <w:ind w:left="4080" w:hanging="480"/>
      </w:pPr>
    </w:lvl>
    <w:lvl w:ilvl="6">
      <w:start w:val="103"/>
      <w:numFmt w:val="decimal"/>
      <w:lvlText w:val="%7."/>
      <w:lvlJc w:val="left"/>
      <w:pPr>
        <w:tabs>
          <w:tab w:val="num" w:pos="4320"/>
        </w:tabs>
        <w:ind w:left="4800" w:hanging="480"/>
      </w:pPr>
    </w:lvl>
    <w:lvl w:ilvl="7">
      <w:start w:val="103"/>
      <w:numFmt w:val="decimal"/>
      <w:lvlText w:val="%8."/>
      <w:lvlJc w:val="left"/>
      <w:pPr>
        <w:tabs>
          <w:tab w:val="num" w:pos="5040"/>
        </w:tabs>
        <w:ind w:left="5520" w:hanging="480"/>
      </w:pPr>
    </w:lvl>
    <w:lvl w:ilvl="8">
      <w:start w:val="103"/>
      <w:numFmt w:val="decimal"/>
      <w:lvlText w:val="%9."/>
      <w:lvlJc w:val="left"/>
      <w:pPr>
        <w:tabs>
          <w:tab w:val="num" w:pos="5760"/>
        </w:tabs>
        <w:ind w:left="6240" w:hanging="480"/>
      </w:pPr>
    </w:lvl>
  </w:abstractNum>
  <w:abstractNum w:abstractNumId="9941108">
    <w:nsid w:val="5504a012"/>
    <w:multiLevelType w:val="multilevel"/>
    <w:lvl w:ilvl="0">
      <w:start w:val="108"/>
      <w:numFmt w:val="decimal"/>
      <w:lvlText w:val="%1."/>
      <w:lvlJc w:val="left"/>
      <w:pPr>
        <w:tabs>
          <w:tab w:val="num" w:pos="0"/>
        </w:tabs>
        <w:ind w:left="480" w:hanging="480"/>
      </w:pPr>
    </w:lvl>
    <w:lvl w:ilvl="1">
      <w:start w:val="108"/>
      <w:numFmt w:val="decimal"/>
      <w:lvlText w:val="%2."/>
      <w:lvlJc w:val="left"/>
      <w:pPr>
        <w:tabs>
          <w:tab w:val="num" w:pos="720"/>
        </w:tabs>
        <w:ind w:left="1200" w:hanging="480"/>
      </w:pPr>
    </w:lvl>
    <w:lvl w:ilvl="2">
      <w:start w:val="108"/>
      <w:numFmt w:val="decimal"/>
      <w:lvlText w:val="%3."/>
      <w:lvlJc w:val="left"/>
      <w:pPr>
        <w:tabs>
          <w:tab w:val="num" w:pos="1440"/>
        </w:tabs>
        <w:ind w:left="1920" w:hanging="480"/>
      </w:pPr>
    </w:lvl>
    <w:lvl w:ilvl="3">
      <w:start w:val="108"/>
      <w:numFmt w:val="decimal"/>
      <w:lvlText w:val="%4."/>
      <w:lvlJc w:val="left"/>
      <w:pPr>
        <w:tabs>
          <w:tab w:val="num" w:pos="2160"/>
        </w:tabs>
        <w:ind w:left="2640" w:hanging="480"/>
      </w:pPr>
    </w:lvl>
    <w:lvl w:ilvl="4">
      <w:start w:val="108"/>
      <w:numFmt w:val="decimal"/>
      <w:lvlText w:val="%5."/>
      <w:lvlJc w:val="left"/>
      <w:pPr>
        <w:tabs>
          <w:tab w:val="num" w:pos="2880"/>
        </w:tabs>
        <w:ind w:left="3360" w:hanging="480"/>
      </w:pPr>
    </w:lvl>
    <w:lvl w:ilvl="5">
      <w:start w:val="108"/>
      <w:numFmt w:val="decimal"/>
      <w:lvlText w:val="%6."/>
      <w:lvlJc w:val="left"/>
      <w:pPr>
        <w:tabs>
          <w:tab w:val="num" w:pos="3600"/>
        </w:tabs>
        <w:ind w:left="4080" w:hanging="480"/>
      </w:pPr>
    </w:lvl>
    <w:lvl w:ilvl="6">
      <w:start w:val="108"/>
      <w:numFmt w:val="decimal"/>
      <w:lvlText w:val="%7."/>
      <w:lvlJc w:val="left"/>
      <w:pPr>
        <w:tabs>
          <w:tab w:val="num" w:pos="4320"/>
        </w:tabs>
        <w:ind w:left="4800" w:hanging="480"/>
      </w:pPr>
    </w:lvl>
    <w:lvl w:ilvl="7">
      <w:start w:val="108"/>
      <w:numFmt w:val="decimal"/>
      <w:lvlText w:val="%8."/>
      <w:lvlJc w:val="left"/>
      <w:pPr>
        <w:tabs>
          <w:tab w:val="num" w:pos="5040"/>
        </w:tabs>
        <w:ind w:left="5520" w:hanging="480"/>
      </w:pPr>
    </w:lvl>
    <w:lvl w:ilvl="8">
      <w:start w:val="108"/>
      <w:numFmt w:val="decimal"/>
      <w:lvlText w:val="%9."/>
      <w:lvlJc w:val="left"/>
      <w:pPr>
        <w:tabs>
          <w:tab w:val="num" w:pos="5760"/>
        </w:tabs>
        <w:ind w:left="6240" w:hanging="480"/>
      </w:pPr>
    </w:lvl>
  </w:abstractNum>
  <w:abstractNum w:abstractNumId="9941115">
    <w:nsid w:val="5a538d88"/>
    <w:multiLevelType w:val="multilevel"/>
    <w:lvl w:ilvl="0">
      <w:start w:val="115"/>
      <w:numFmt w:val="decimal"/>
      <w:lvlText w:val="%1."/>
      <w:lvlJc w:val="left"/>
      <w:pPr>
        <w:tabs>
          <w:tab w:val="num" w:pos="0"/>
        </w:tabs>
        <w:ind w:left="480" w:hanging="480"/>
      </w:pPr>
    </w:lvl>
    <w:lvl w:ilvl="1">
      <w:start w:val="115"/>
      <w:numFmt w:val="decimal"/>
      <w:lvlText w:val="%2."/>
      <w:lvlJc w:val="left"/>
      <w:pPr>
        <w:tabs>
          <w:tab w:val="num" w:pos="720"/>
        </w:tabs>
        <w:ind w:left="1200" w:hanging="480"/>
      </w:pPr>
    </w:lvl>
    <w:lvl w:ilvl="2">
      <w:start w:val="115"/>
      <w:numFmt w:val="decimal"/>
      <w:lvlText w:val="%3."/>
      <w:lvlJc w:val="left"/>
      <w:pPr>
        <w:tabs>
          <w:tab w:val="num" w:pos="1440"/>
        </w:tabs>
        <w:ind w:left="1920" w:hanging="480"/>
      </w:pPr>
    </w:lvl>
    <w:lvl w:ilvl="3">
      <w:start w:val="115"/>
      <w:numFmt w:val="decimal"/>
      <w:lvlText w:val="%4."/>
      <w:lvlJc w:val="left"/>
      <w:pPr>
        <w:tabs>
          <w:tab w:val="num" w:pos="2160"/>
        </w:tabs>
        <w:ind w:left="2640" w:hanging="480"/>
      </w:pPr>
    </w:lvl>
    <w:lvl w:ilvl="4">
      <w:start w:val="115"/>
      <w:numFmt w:val="decimal"/>
      <w:lvlText w:val="%5."/>
      <w:lvlJc w:val="left"/>
      <w:pPr>
        <w:tabs>
          <w:tab w:val="num" w:pos="2880"/>
        </w:tabs>
        <w:ind w:left="3360" w:hanging="480"/>
      </w:pPr>
    </w:lvl>
    <w:lvl w:ilvl="5">
      <w:start w:val="115"/>
      <w:numFmt w:val="decimal"/>
      <w:lvlText w:val="%6."/>
      <w:lvlJc w:val="left"/>
      <w:pPr>
        <w:tabs>
          <w:tab w:val="num" w:pos="3600"/>
        </w:tabs>
        <w:ind w:left="4080" w:hanging="480"/>
      </w:pPr>
    </w:lvl>
    <w:lvl w:ilvl="6">
      <w:start w:val="115"/>
      <w:numFmt w:val="decimal"/>
      <w:lvlText w:val="%7."/>
      <w:lvlJc w:val="left"/>
      <w:pPr>
        <w:tabs>
          <w:tab w:val="num" w:pos="4320"/>
        </w:tabs>
        <w:ind w:left="4800" w:hanging="480"/>
      </w:pPr>
    </w:lvl>
    <w:lvl w:ilvl="7">
      <w:start w:val="115"/>
      <w:numFmt w:val="decimal"/>
      <w:lvlText w:val="%8."/>
      <w:lvlJc w:val="left"/>
      <w:pPr>
        <w:tabs>
          <w:tab w:val="num" w:pos="5040"/>
        </w:tabs>
        <w:ind w:left="5520" w:hanging="480"/>
      </w:pPr>
    </w:lvl>
    <w:lvl w:ilvl="8">
      <w:start w:val="115"/>
      <w:numFmt w:val="decimal"/>
      <w:lvlText w:val="%9."/>
      <w:lvlJc w:val="left"/>
      <w:pPr>
        <w:tabs>
          <w:tab w:val="num" w:pos="5760"/>
        </w:tabs>
        <w:ind w:left="6240" w:hanging="480"/>
      </w:pPr>
    </w:lvl>
  </w:abstractNum>
  <w:abstractNum w:abstractNumId="991">
    <w:nsid w:val="8a296d99"/>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5">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6">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07">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08">
    <w:abstractNumId w:val="994179"/>
    <w:lvlOverride w:ilvl="0">
      <w:startOverride w:val="79"/>
    </w:lvlOverride>
    <w:lvlOverride w:ilvl="1">
      <w:startOverride w:val="79"/>
    </w:lvlOverride>
    <w:lvlOverride w:ilvl="2">
      <w:startOverride w:val="79"/>
    </w:lvlOverride>
    <w:lvlOverride w:ilvl="3">
      <w:startOverride w:val="79"/>
    </w:lvlOverride>
    <w:lvlOverride w:ilvl="4">
      <w:startOverride w:val="79"/>
    </w:lvlOverride>
    <w:lvlOverride w:ilvl="5">
      <w:startOverride w:val="79"/>
    </w:lvlOverride>
    <w:lvlOverride w:ilvl="6">
      <w:startOverride w:val="79"/>
    </w:lvlOverride>
    <w:lvlOverride w:ilvl="7">
      <w:startOverride w:val="79"/>
    </w:lvlOverride>
    <w:lvlOverride w:ilvl="8">
      <w:startOverride w:val="79"/>
    </w:lvlOverride>
  </w:num>
  <w:num w:numId="1009">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10">
    <w:abstractNumId w:val="994195"/>
    <w:lvlOverride w:ilvl="0">
      <w:startOverride w:val="95"/>
    </w:lvlOverride>
    <w:lvlOverride w:ilvl="1">
      <w:startOverride w:val="95"/>
    </w:lvlOverride>
    <w:lvlOverride w:ilvl="2">
      <w:startOverride w:val="95"/>
    </w:lvlOverride>
    <w:lvlOverride w:ilvl="3">
      <w:startOverride w:val="95"/>
    </w:lvlOverride>
    <w:lvlOverride w:ilvl="4">
      <w:startOverride w:val="95"/>
    </w:lvlOverride>
    <w:lvlOverride w:ilvl="5">
      <w:startOverride w:val="95"/>
    </w:lvlOverride>
    <w:lvlOverride w:ilvl="6">
      <w:startOverride w:val="95"/>
    </w:lvlOverride>
    <w:lvlOverride w:ilvl="7">
      <w:startOverride w:val="95"/>
    </w:lvlOverride>
    <w:lvlOverride w:ilvl="8">
      <w:startOverride w:val="95"/>
    </w:lvlOverride>
  </w:num>
  <w:num w:numId="1011">
    <w:abstractNumId w:val="9941103"/>
    <w:lvlOverride w:ilvl="0">
      <w:startOverride w:val="103"/>
    </w:lvlOverride>
    <w:lvlOverride w:ilvl="1">
      <w:startOverride w:val="103"/>
    </w:lvlOverride>
    <w:lvlOverride w:ilvl="2">
      <w:startOverride w:val="103"/>
    </w:lvlOverride>
    <w:lvlOverride w:ilvl="3">
      <w:startOverride w:val="103"/>
    </w:lvlOverride>
    <w:lvlOverride w:ilvl="4">
      <w:startOverride w:val="103"/>
    </w:lvlOverride>
    <w:lvlOverride w:ilvl="5">
      <w:startOverride w:val="103"/>
    </w:lvlOverride>
    <w:lvlOverride w:ilvl="6">
      <w:startOverride w:val="103"/>
    </w:lvlOverride>
    <w:lvlOverride w:ilvl="7">
      <w:startOverride w:val="103"/>
    </w:lvlOverride>
    <w:lvlOverride w:ilvl="8">
      <w:startOverride w:val="103"/>
    </w:lvlOverride>
  </w:num>
  <w:num w:numId="1012">
    <w:abstractNumId w:val="9941108"/>
    <w:lvlOverride w:ilvl="0">
      <w:startOverride w:val="108"/>
    </w:lvlOverride>
    <w:lvlOverride w:ilvl="1">
      <w:startOverride w:val="108"/>
    </w:lvlOverride>
    <w:lvlOverride w:ilvl="2">
      <w:startOverride w:val="108"/>
    </w:lvlOverride>
    <w:lvlOverride w:ilvl="3">
      <w:startOverride w:val="108"/>
    </w:lvlOverride>
    <w:lvlOverride w:ilvl="4">
      <w:startOverride w:val="108"/>
    </w:lvlOverride>
    <w:lvlOverride w:ilvl="5">
      <w:startOverride w:val="108"/>
    </w:lvlOverride>
    <w:lvlOverride w:ilvl="6">
      <w:startOverride w:val="108"/>
    </w:lvlOverride>
    <w:lvlOverride w:ilvl="7">
      <w:startOverride w:val="108"/>
    </w:lvlOverride>
    <w:lvlOverride w:ilvl="8">
      <w:startOverride w:val="108"/>
    </w:lvlOverride>
  </w:num>
  <w:num w:numId="1013">
    <w:abstractNumId w:val="9941115"/>
    <w:lvlOverride w:ilvl="0">
      <w:startOverride w:val="115"/>
    </w:lvlOverride>
    <w:lvlOverride w:ilvl="1">
      <w:startOverride w:val="115"/>
    </w:lvlOverride>
    <w:lvlOverride w:ilvl="2">
      <w:startOverride w:val="115"/>
    </w:lvlOverride>
    <w:lvlOverride w:ilvl="3">
      <w:startOverride w:val="115"/>
    </w:lvlOverride>
    <w:lvlOverride w:ilvl="4">
      <w:startOverride w:val="115"/>
    </w:lvlOverride>
    <w:lvlOverride w:ilvl="5">
      <w:startOverride w:val="115"/>
    </w:lvlOverride>
    <w:lvlOverride w:ilvl="6">
      <w:startOverride w:val="115"/>
    </w:lvlOverride>
    <w:lvlOverride w:ilvl="7">
      <w:startOverride w:val="115"/>
    </w:lvlOverride>
    <w:lvlOverride w:ilvl="8">
      <w:startOverride w:val="115"/>
    </w:lvlOverride>
  </w:num>
  <w:num w:numId="1014">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1"/>
  </w:num>
  <w:num w:numId="101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before="0" w:after="120"/>
    </w:pPr>
    <w:rPr>
      <w:rFonts w:ascii="Arial" w:hAnsi="Arial" w:cs="Arial"/>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auto" w:line="360"/>
      <w:jc w:val="left"/>
      <w:outlineLvl w:val="0"/>
    </w:pPr>
    <w:rPr>
      <w:rFonts w:asciiTheme="majorHAnsi" w:eastAsiaTheme="majorEastAsia" w:hAnsiTheme="majorHAnsi" w:cstheme="majorBidi" w:ascii="Arial" w:hAnsi="Arial" w:cs="Arial"/>
      <w:b/>
      <w:bCs/>
      <w:i w:val="0"/>
      <w:cap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Rule="auto" w:line="360"/>
      <w:jc w:val="left"/>
      <w:outlineLvl w:val="1"/>
    </w:pPr>
    <w:rPr>
      <w:rFonts w:asciiTheme="majorHAnsi" w:eastAsiaTheme="majorEastAsia" w:hAnsiTheme="majorHAnsi" w:cstheme="majorBidi" w:ascii="Arial" w:hAnsi="Arial" w:cs="Arial"/>
      <w:b/>
      <w:bCs/>
      <w:i w:val="0"/>
      <w:cap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120" w:lineRule="auto" w:line="360"/>
      <w:jc w:val="left"/>
      <w:outlineLvl w:val="2"/>
    </w:pPr>
    <w:rPr>
      <w:rFonts w:asciiTheme="majorHAnsi" w:eastAsiaTheme="majorEastAsia" w:hAnsiTheme="majorHAnsi" w:cstheme="majorBidi" w:ascii="Arial" w:hAnsi="Arial" w:cs="Arial"/>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120" w:lineRule="auto" w:line="360"/>
      <w:jc w:val="left"/>
      <w:outlineLvl w:val="3"/>
    </w:pPr>
    <w:rPr>
      <w:rFonts w:asciiTheme="majorHAnsi" w:eastAsiaTheme="majorEastAsia" w:hAnsiTheme="majorHAnsi" w:cstheme="majorBidi" w:ascii="Arial" w:hAnsi="Arial" w:cs="Arial"/>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120" w:after="120" w:lineRule="auto" w:line="360"/>
      <w:jc w:val="left"/>
      <w:outlineLvl w:val="4"/>
    </w:pPr>
    <w:rPr>
      <w:rFonts w:asciiTheme="majorHAnsi" w:eastAsiaTheme="majorEastAsia" w:hAnsiTheme="majorHAnsi" w:cstheme="majorBidi" w:ascii="Arial" w:hAnsi="Arial" w:cs="Arial"/>
      <w:b/>
      <w:i w:val="0"/>
      <w:color w:val="000000"/>
      <w:sz w:val="24"/>
    </w:rPr>
  </w:style>
  <w:style w:type="paragraph" w:styleId="Heading6">
    <w:name w:val="heading 6"/>
    <w:basedOn w:val="Normal"/>
    <w:next w:val="Normal"/>
    <w:link w:val="Heading6Char"/>
    <w:uiPriority w:val="9"/>
    <w:semiHidden/>
    <w:unhideWhenUsed/>
    <w:qFormat/>
    <w:rsid w:val="00FC693F"/>
    <w:pPr>
      <w:keepNext/>
      <w:keepLines/>
      <w:spacing w:before="120" w:after="120" w:lineRule="auto" w:line="360"/>
      <w:jc w:val="left"/>
      <w:outlineLvl w:val="5"/>
    </w:pPr>
    <w:rPr>
      <w:rFonts w:asciiTheme="majorHAnsi" w:eastAsiaTheme="majorEastAsia" w:hAnsiTheme="majorHAnsi" w:cstheme="majorBidi" w:ascii="Arial" w:hAnsi="Arial" w:cs="Arial"/>
      <w:b/>
      <w:i w:val="0"/>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360" w:lineRule="auto" w:before="0"/>
      <w:contextualSpacing/>
      <w:jc w:val="center"/>
    </w:pPr>
    <w:rPr>
      <w:rFonts w:asciiTheme="majorHAnsi" w:eastAsiaTheme="majorEastAsia" w:hAnsiTheme="majorHAnsi" w:cstheme="majorBidi" w:ascii="Arial" w:hAnsi="Arial" w:cs="Arial"/>
      <w:b/>
      <w:i w:val="0"/>
      <w:caps/>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Rule="auto" w:line="360" w:before="0" w:after="120"/>
      <w:ind w:left="425"/>
      <w:contextualSpacing/>
    </w:pPr>
    <w:rPr>
      <w:rFonts w:ascii="Arial" w:hAnsi="Arial" w:cs="Arial"/>
      <w:b w:val="0"/>
      <w:i w:val="0"/>
      <w:color w:val="000000"/>
      <w:sz w:val="24"/>
    </w:rPr>
  </w:style>
  <w:style w:type="paragraph" w:styleId="BodyText">
    <w:name w:val="Body Text"/>
    <w:basedOn w:val="Normal"/>
    <w:link w:val="BodyTextChar"/>
    <w:uiPriority w:val="99"/>
    <w:unhideWhenUsed/>
    <w:rsid w:val="00AA1D8D"/>
    <w:pPr>
      <w:spacing w:after="120" w:lineRule="auto" w:line="360" w:before="0"/>
    </w:pPr>
    <w:rPr>
      <w:rFonts w:ascii="Arial" w:hAnsi="Arial" w:cs="Arial"/>
      <w:b w:val="0"/>
      <w:i w:val="0"/>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Rule="auto" w:line="360" w:before="0" w:after="120"/>
      <w:ind w:left="425"/>
      <w:contextualSpacing/>
    </w:pPr>
    <w:rPr>
      <w:rFonts w:ascii="Arial" w:hAnsi="Arial" w:cs="Arial"/>
      <w:b w:val="0"/>
      <w:i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Rule="auto" w:line="360" w:before="0" w:after="120"/>
      <w:ind w:left="425"/>
      <w:contextualSpacing/>
    </w:pPr>
    <w:rPr>
      <w:rFonts w:ascii="Arial" w:hAnsi="Arial" w:cs="Arial"/>
      <w:b w:val="0"/>
      <w:i w:val="0"/>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BlockText"/>
    <w:next w:val="Normal"/>
    <w:link w:val="QuoteChar"/>
    <w:uiPriority w:val="29"/>
    <w:qFormat/>
    <w:rsid w:val="00FC693F"/>
    <w:pPr>
      <w:spacing w:lineRule="auto" w:line="240" w:before="120" w:after="120"/>
      <w:ind w:left="709" w:right="709"/>
    </w:pPr>
    <w:rPr>
      <w:rFonts w:ascii="Arial" w:hAnsi="Arial" w:cs="Arial"/>
      <w:b w:val="0"/>
      <w:i w:val="0"/>
      <w:iCs/>
      <w:color w:val="000000"/>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rial" w:hAnsi="Arial"/>
      <w:color w:val="000000"/>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spacing w:lineRule="auto" w:line="360" w:before="0" w:after="120"/>
    </w:pPr>
    <w:rPr>
      <w:rFonts w:ascii="Arial" w:hAnsi="Arial" w:cs="Arial"/>
      <w:b w:val="0"/>
      <w:i w:val="0"/>
      <w:color w:val="000000"/>
      <w:sz w:val="24"/>
    </w:rPr>
  </w:style>
  <w:style w:type="paragraph" w:customStyle="1" w:styleId="BlockText">
    <w:name w:val="Block Text"/>
    <w:basedOn w:val="Normal"/>
    <w:pPr>
      <w:spacing w:lineRule="auto" w:line="240" w:before="120" w:after="120"/>
      <w:ind w:left="709" w:right="709"/>
    </w:pPr>
    <w:rPr>
      <w:rFonts w:ascii="Arial" w:hAnsi="Arial" w:cs="Arial"/>
      <w:b w:val="0"/>
      <w:i w:val="0"/>
      <w:color w:val="000000"/>
      <w:sz w:val="24"/>
    </w:rPr>
  </w:style>
  <w:style w:type="paragraph" w:customStyle="1" w:styleId="FootnoteText">
    <w:name w:val="Footnote Text"/>
    <w:pPr>
      <w:spacing w:lineRule="auto" w:line="240" w:before="0" w:after="0"/>
    </w:pPr>
    <w:rPr>
      <w:rFonts w:ascii="Arial" w:hAnsi="Arial" w:cs="Arial"/>
      <w:b w:val="0"/>
      <w:i w:val="0"/>
      <w:color w:val="000000"/>
      <w:sz w:val="20"/>
    </w:rPr>
  </w:style>
  <w:style w:type="paragraph" w:customStyle="1" w:styleId="SourceCode">
    <w:name w:val="Source Code"/>
    <w:pPr>
      <w:spacing w:lineRule="auto" w:line="240" w:before="120" w:after="120"/>
      <w:ind w:left="709"/>
    </w:pPr>
    <w:rPr>
      <w:rFonts w:ascii="Courier New" w:hAnsi="Courier New" w:cs="Courier New"/>
      <w:b w:val="0"/>
      <w:i w:val="0"/>
      <w:color w:val="000000"/>
      <w:sz w:val="20"/>
    </w:rPr>
  </w:style>
  <w:style w:type="character" w:customStyle="1" w:styleId="VerbatimChar">
    <w:name w:val="Verbatim Char"/>
    <w:rPr>
      <w:rFonts w:ascii="Courier New" w:hAnsi="Courier New" w:cs="Courier New"/>
      <w:b w:val="0"/>
      <w:i w:val="0"/>
      <w:color w:val="000000"/>
      <w:sz w:val="2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footer" Target="footer1.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2026-07-11T21:01:43Z</dcterms:created>
  <dcterms:modified xsi:type="dcterms:W3CDTF">2026-07-11T21:01:43Z</dcterms:modified>
</cp:coreProperties>
</file>

<file path=docProps/custom.xml><?xml version="1.0" encoding="utf-8"?>
<Properties xmlns="http://schemas.openxmlformats.org/officeDocument/2006/custom-properties" xmlns:vt="http://schemas.openxmlformats.org/officeDocument/2006/docPropsVTypes"/>
</file>