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98B0" w14:textId="530D555E" w:rsidR="007C586C" w:rsidRDefault="0015477D" w:rsidP="0015477D">
      <w:pPr>
        <w:jc w:val="center"/>
        <w:rPr>
          <w:rFonts w:ascii="NewsGotT" w:hAnsi="NewsGotT"/>
          <w:sz w:val="36"/>
          <w:szCs w:val="36"/>
        </w:rPr>
      </w:pPr>
      <w:proofErr w:type="spellStart"/>
      <w:r w:rsidRPr="0015477D">
        <w:rPr>
          <w:rFonts w:ascii="NewsGotT" w:hAnsi="NewsGotT"/>
          <w:sz w:val="36"/>
          <w:szCs w:val="36"/>
        </w:rPr>
        <w:t>Perifericos</w:t>
      </w:r>
      <w:proofErr w:type="spellEnd"/>
      <w:r w:rsidRPr="0015477D">
        <w:rPr>
          <w:rFonts w:ascii="NewsGotT" w:hAnsi="NewsGotT"/>
          <w:sz w:val="36"/>
          <w:szCs w:val="36"/>
        </w:rPr>
        <w:t xml:space="preserve"> Utilizados</w:t>
      </w:r>
    </w:p>
    <w:p w14:paraId="4190CD8B" w14:textId="6B2A1CFE" w:rsidR="0015477D" w:rsidRDefault="0015477D" w:rsidP="0015477D">
      <w:pPr>
        <w:jc w:val="center"/>
        <w:rPr>
          <w:rFonts w:ascii="NewsGotT" w:hAnsi="NewsGotT"/>
          <w:sz w:val="36"/>
          <w:szCs w:val="36"/>
        </w:rPr>
      </w:pPr>
    </w:p>
    <w:p w14:paraId="49A731C3" w14:textId="66276047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DMA</w:t>
      </w:r>
    </w:p>
    <w:p w14:paraId="018A6DEA" w14:textId="09F30E97" w:rsidR="0015477D" w:rsidRDefault="003502EC" w:rsidP="003502EC">
      <w:pPr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De modo a aliviar o processador dos custos de transferência de blocos de dados entre a memória e os periféricos faz-se uso do acesso direto à memória, </w:t>
      </w:r>
      <w:r w:rsidRPr="003502EC">
        <w:rPr>
          <w:rFonts w:ascii="NewsGotT" w:hAnsi="NewsGotT"/>
          <w:sz w:val="24"/>
          <w:szCs w:val="24"/>
        </w:rPr>
        <w:t>(DMA -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 w:rsidRPr="003502EC">
        <w:rPr>
          <w:rFonts w:ascii="NewsGotT" w:hAnsi="NewsGotT"/>
          <w:sz w:val="24"/>
          <w:szCs w:val="24"/>
        </w:rPr>
        <w:t>direct</w:t>
      </w:r>
      <w:proofErr w:type="spellEnd"/>
      <w:r w:rsidRPr="003502EC">
        <w:rPr>
          <w:rFonts w:ascii="NewsGotT" w:hAnsi="NewsGotT"/>
          <w:sz w:val="24"/>
          <w:szCs w:val="24"/>
        </w:rPr>
        <w:t xml:space="preserve"> </w:t>
      </w:r>
      <w:proofErr w:type="spellStart"/>
      <w:r w:rsidRPr="003502EC">
        <w:rPr>
          <w:rFonts w:ascii="NewsGotT" w:hAnsi="NewsGotT"/>
          <w:sz w:val="24"/>
          <w:szCs w:val="24"/>
        </w:rPr>
        <w:t>memory</w:t>
      </w:r>
      <w:proofErr w:type="spellEnd"/>
      <w:r w:rsidRPr="003502EC">
        <w:rPr>
          <w:rFonts w:ascii="NewsGotT" w:hAnsi="NewsGotT"/>
          <w:sz w:val="24"/>
          <w:szCs w:val="24"/>
        </w:rPr>
        <w:t xml:space="preserve"> </w:t>
      </w:r>
      <w:proofErr w:type="spellStart"/>
      <w:r w:rsidRPr="003502EC">
        <w:rPr>
          <w:rFonts w:ascii="NewsGotT" w:hAnsi="NewsGotT"/>
          <w:sz w:val="24"/>
          <w:szCs w:val="24"/>
        </w:rPr>
        <w:t>access</w:t>
      </w:r>
      <w:proofErr w:type="spellEnd"/>
      <w:r w:rsidRPr="003502EC">
        <w:rPr>
          <w:rFonts w:ascii="NewsGotT" w:hAnsi="NewsGotT"/>
          <w:sz w:val="24"/>
          <w:szCs w:val="24"/>
        </w:rPr>
        <w:t>)</w:t>
      </w:r>
      <w:r w:rsidR="00BE0A7C">
        <w:rPr>
          <w:rFonts w:ascii="NewsGotT" w:hAnsi="NewsGotT"/>
          <w:sz w:val="24"/>
          <w:szCs w:val="24"/>
        </w:rPr>
        <w:t xml:space="preserve">. </w:t>
      </w:r>
      <w:r>
        <w:t>O</w:t>
      </w:r>
      <w:r>
        <w:rPr>
          <w:rFonts w:ascii="NewsGotT" w:hAnsi="NewsGotT"/>
          <w:sz w:val="24"/>
          <w:szCs w:val="24"/>
        </w:rPr>
        <w:t xml:space="preserve">s </w:t>
      </w:r>
      <w:r w:rsidRPr="003502EC">
        <w:rPr>
          <w:rFonts w:ascii="NewsGotT" w:hAnsi="NewsGotT"/>
          <w:sz w:val="24"/>
          <w:szCs w:val="24"/>
        </w:rPr>
        <w:t>dispositivos compartilham o barramento de memória e os</w:t>
      </w:r>
      <w:r>
        <w:rPr>
          <w:rFonts w:ascii="NewsGotT" w:hAnsi="NewsGotT"/>
          <w:sz w:val="24"/>
          <w:szCs w:val="24"/>
        </w:rPr>
        <w:t xml:space="preserve"> </w:t>
      </w:r>
      <w:r w:rsidRPr="003502EC">
        <w:rPr>
          <w:rFonts w:ascii="NewsGotT" w:hAnsi="NewsGotT"/>
          <w:sz w:val="24"/>
          <w:szCs w:val="24"/>
        </w:rPr>
        <w:t>barramentos de periféricos com o processador (CPU), tal como mostrado na</w:t>
      </w:r>
      <w:r>
        <w:rPr>
          <w:rFonts w:ascii="NewsGotT" w:hAnsi="NewsGotT"/>
          <w:sz w:val="24"/>
          <w:szCs w:val="24"/>
        </w:rPr>
        <w:t xml:space="preserve"> </w:t>
      </w:r>
      <w:r w:rsidRPr="003502EC">
        <w:rPr>
          <w:rFonts w:ascii="NewsGotT" w:hAnsi="NewsGotT"/>
          <w:sz w:val="24"/>
          <w:szCs w:val="24"/>
          <w:highlight w:val="yellow"/>
        </w:rPr>
        <w:t>Figura</w:t>
      </w:r>
      <w:r w:rsidRPr="003502EC">
        <w:rPr>
          <w:rFonts w:ascii="NewsGotT" w:hAnsi="NewsGotT"/>
          <w:sz w:val="24"/>
          <w:szCs w:val="24"/>
        </w:rPr>
        <w:t>. N</w:t>
      </w:r>
      <w:r>
        <w:rPr>
          <w:rFonts w:ascii="NewsGotT" w:hAnsi="NewsGotT"/>
          <w:sz w:val="24"/>
          <w:szCs w:val="24"/>
        </w:rPr>
        <w:t>o</w:t>
      </w:r>
      <w:r w:rsidRPr="003502EC">
        <w:rPr>
          <w:rFonts w:ascii="NewsGotT" w:hAnsi="NewsGotT"/>
          <w:sz w:val="24"/>
          <w:szCs w:val="24"/>
        </w:rPr>
        <w:t xml:space="preserve"> diagrama, o dispositivo DMA lê </w:t>
      </w:r>
      <w:r w:rsidR="0092524A">
        <w:rPr>
          <w:rFonts w:ascii="NewsGotT" w:hAnsi="NewsGotT"/>
          <w:sz w:val="24"/>
          <w:szCs w:val="24"/>
        </w:rPr>
        <w:t>o valor de um periférico</w:t>
      </w:r>
      <w:r w:rsidRPr="003502EC">
        <w:rPr>
          <w:rFonts w:ascii="NewsGotT" w:hAnsi="NewsGotT"/>
          <w:sz w:val="24"/>
          <w:szCs w:val="24"/>
        </w:rPr>
        <w:t xml:space="preserve"> a partir do</w:t>
      </w:r>
      <w:r>
        <w:rPr>
          <w:rFonts w:ascii="NewsGotT" w:hAnsi="NewsGotT"/>
          <w:sz w:val="24"/>
          <w:szCs w:val="24"/>
        </w:rPr>
        <w:t xml:space="preserve"> </w:t>
      </w:r>
      <w:r w:rsidRPr="003502EC">
        <w:rPr>
          <w:rFonts w:ascii="NewsGotT" w:hAnsi="NewsGotT"/>
          <w:sz w:val="24"/>
          <w:szCs w:val="24"/>
        </w:rPr>
        <w:t>barramento d</w:t>
      </w:r>
      <w:r w:rsidR="0092524A">
        <w:rPr>
          <w:rFonts w:ascii="NewsGotT" w:hAnsi="NewsGotT"/>
          <w:sz w:val="24"/>
          <w:szCs w:val="24"/>
        </w:rPr>
        <w:t xml:space="preserve">o periférico </w:t>
      </w:r>
      <w:r w:rsidRPr="003502EC">
        <w:rPr>
          <w:rFonts w:ascii="NewsGotT" w:hAnsi="NewsGotT"/>
          <w:sz w:val="24"/>
          <w:szCs w:val="24"/>
        </w:rPr>
        <w:t xml:space="preserve">e grava </w:t>
      </w:r>
      <w:r w:rsidR="0092524A">
        <w:rPr>
          <w:rFonts w:ascii="NewsGotT" w:hAnsi="NewsGotT"/>
          <w:sz w:val="24"/>
          <w:szCs w:val="24"/>
        </w:rPr>
        <w:t>na memória</w:t>
      </w:r>
      <w:r w:rsidRPr="003502EC">
        <w:rPr>
          <w:rFonts w:ascii="NewsGotT" w:hAnsi="NewsGotT"/>
          <w:sz w:val="24"/>
          <w:szCs w:val="24"/>
        </w:rPr>
        <w:t xml:space="preserve"> através do barramento </w:t>
      </w:r>
      <w:r w:rsidR="0092524A">
        <w:rPr>
          <w:rFonts w:ascii="NewsGotT" w:hAnsi="NewsGotT"/>
          <w:sz w:val="24"/>
          <w:szCs w:val="24"/>
        </w:rPr>
        <w:t>de memória</w:t>
      </w:r>
      <w:r>
        <w:rPr>
          <w:rFonts w:ascii="NewsGotT" w:hAnsi="NewsGotT"/>
          <w:sz w:val="24"/>
          <w:szCs w:val="24"/>
        </w:rPr>
        <w:t xml:space="preserve">. Na STM </w:t>
      </w:r>
      <w:r w:rsidRPr="003502EC">
        <w:rPr>
          <w:rFonts w:ascii="NewsGotT" w:hAnsi="NewsGotT"/>
          <w:sz w:val="24"/>
          <w:szCs w:val="24"/>
        </w:rPr>
        <w:t>o princípio é o mesmo</w:t>
      </w:r>
      <w:r>
        <w:rPr>
          <w:rFonts w:ascii="NewsGotT" w:hAnsi="NewsGotT"/>
          <w:sz w:val="24"/>
          <w:szCs w:val="24"/>
        </w:rPr>
        <w:t xml:space="preserve">, mas com os </w:t>
      </w:r>
      <w:r w:rsidRPr="003502EC">
        <w:rPr>
          <w:rFonts w:ascii="NewsGotT" w:hAnsi="NewsGotT"/>
          <w:sz w:val="24"/>
          <w:szCs w:val="24"/>
        </w:rPr>
        <w:t>vários barramentos de periféricos.</w:t>
      </w:r>
    </w:p>
    <w:p w14:paraId="27DDFF56" w14:textId="215BFD18" w:rsidR="00D77C77" w:rsidRDefault="00D77C77" w:rsidP="00D77C77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2660AE18" wp14:editId="00722033">
            <wp:extent cx="5262766" cy="224589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12" cy="22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57A9" w14:textId="76D6CEF2" w:rsidR="0092524A" w:rsidRDefault="002A4FF6" w:rsidP="002A4FF6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  <w:highlight w:val="green"/>
        </w:rPr>
        <w:t>Exemplo de transferência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</w:t>
      </w:r>
      <w:r>
        <w:rPr>
          <w:rFonts w:ascii="NewsGotT" w:hAnsi="NewsGotT"/>
          <w:sz w:val="24"/>
          <w:szCs w:val="24"/>
          <w:highlight w:val="green"/>
        </w:rPr>
        <w:t>o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DMA</w:t>
      </w:r>
    </w:p>
    <w:p w14:paraId="3FDDA27C" w14:textId="06D1002B" w:rsidR="002A4FF6" w:rsidRDefault="0092524A" w:rsidP="002A4FF6">
      <w:pPr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Os dois controladores DMA (DMA1 e DMA2) têm dezasseis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streams</w:t>
      </w:r>
      <w:proofErr w:type="spellEnd"/>
      <w:r w:rsidR="00690AEB">
        <w:rPr>
          <w:rFonts w:ascii="NewsGotT" w:hAnsi="NewsGotT"/>
          <w:sz w:val="24"/>
          <w:szCs w:val="24"/>
        </w:rPr>
        <w:t xml:space="preserve"> (canais de comunicação) </w:t>
      </w:r>
      <w:r>
        <w:rPr>
          <w:rFonts w:ascii="NewsGotT" w:hAnsi="NewsGotT"/>
          <w:sz w:val="24"/>
          <w:szCs w:val="24"/>
        </w:rPr>
        <w:t xml:space="preserve">no total (8 para cada). </w:t>
      </w:r>
      <w:r w:rsidR="00690AEB">
        <w:rPr>
          <w:rFonts w:ascii="NewsGotT" w:hAnsi="NewsGotT"/>
          <w:sz w:val="24"/>
          <w:szCs w:val="24"/>
        </w:rPr>
        <w:t xml:space="preserve">Cada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 w:rsidRPr="00690AEB">
        <w:rPr>
          <w:rFonts w:ascii="NewsGotT" w:hAnsi="NewsGotT"/>
          <w:sz w:val="24"/>
          <w:szCs w:val="24"/>
        </w:rPr>
        <w:t>pode ter</w:t>
      </w:r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>
        <w:rPr>
          <w:rFonts w:ascii="NewsGotT" w:hAnsi="NewsGotT"/>
          <w:sz w:val="24"/>
          <w:szCs w:val="24"/>
        </w:rPr>
        <w:t xml:space="preserve">até 16 canais </w:t>
      </w:r>
      <w:r w:rsidR="00690AEB" w:rsidRPr="00690AEB">
        <w:rPr>
          <w:rFonts w:ascii="NewsGotT" w:hAnsi="NewsGotT"/>
          <w:sz w:val="24"/>
          <w:szCs w:val="24"/>
        </w:rPr>
        <w:t>independentes e configuráveis</w:t>
      </w:r>
      <w:r w:rsidR="002A4FF6">
        <w:rPr>
          <w:rFonts w:ascii="NewsGotT" w:hAnsi="NewsGotT"/>
          <w:sz w:val="24"/>
          <w:szCs w:val="24"/>
        </w:rPr>
        <w:t xml:space="preserve">, como apresentado na </w:t>
      </w:r>
      <w:r w:rsidR="002A4FF6" w:rsidRPr="002A4FF6">
        <w:rPr>
          <w:rFonts w:ascii="NewsGotT" w:hAnsi="NewsGotT"/>
          <w:sz w:val="24"/>
          <w:szCs w:val="24"/>
          <w:highlight w:val="yellow"/>
        </w:rPr>
        <w:t>figura</w:t>
      </w:r>
      <w:r w:rsidR="00690AEB">
        <w:rPr>
          <w:rFonts w:ascii="NewsGotT" w:hAnsi="NewsGotT"/>
          <w:sz w:val="24"/>
          <w:szCs w:val="24"/>
        </w:rPr>
        <w:t xml:space="preserve">. </w:t>
      </w:r>
      <w:r w:rsidR="002A4FF6">
        <w:rPr>
          <w:rFonts w:ascii="NewsGotT" w:hAnsi="NewsGotT"/>
          <w:sz w:val="24"/>
          <w:szCs w:val="24"/>
        </w:rPr>
        <w:t xml:space="preserve">A priorização da </w:t>
      </w:r>
      <w:proofErr w:type="spellStart"/>
      <w:r w:rsidR="002A4FF6"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2A4FF6">
        <w:rPr>
          <w:rFonts w:ascii="NewsGotT" w:hAnsi="NewsGotT"/>
          <w:sz w:val="24"/>
          <w:szCs w:val="24"/>
        </w:rPr>
        <w:t xml:space="preserve"> pode ser definida pelo utilizador em quatro níveis, baixa, média, alta e muito alta</w:t>
      </w:r>
      <w:r w:rsidR="00BF7A2F">
        <w:rPr>
          <w:rFonts w:ascii="NewsGotT" w:hAnsi="NewsGotT"/>
          <w:sz w:val="24"/>
          <w:szCs w:val="24"/>
        </w:rPr>
        <w:t xml:space="preserve">. Além disso, </w:t>
      </w:r>
      <w:proofErr w:type="spellStart"/>
      <w:r w:rsidR="00BF7A2F"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BF7A2F">
        <w:rPr>
          <w:rFonts w:ascii="NewsGotT" w:hAnsi="NewsGotT"/>
          <w:sz w:val="24"/>
          <w:szCs w:val="24"/>
        </w:rPr>
        <w:t xml:space="preserve"> </w:t>
      </w:r>
      <w:r w:rsidR="00BF7A2F">
        <w:rPr>
          <w:rFonts w:ascii="NewsGotT" w:hAnsi="NewsGotT"/>
          <w:sz w:val="24"/>
          <w:szCs w:val="24"/>
        </w:rPr>
        <w:t>pode ser configurada</w:t>
      </w:r>
      <w:r w:rsidR="00255D75">
        <w:rPr>
          <w:rFonts w:ascii="NewsGotT" w:hAnsi="NewsGotT"/>
          <w:sz w:val="24"/>
          <w:szCs w:val="24"/>
        </w:rPr>
        <w:t xml:space="preserve"> com um tamanho específico </w:t>
      </w:r>
      <w:r w:rsidR="00BF7A2F">
        <w:rPr>
          <w:rFonts w:ascii="NewsGotT" w:hAnsi="NewsGotT"/>
          <w:sz w:val="24"/>
          <w:szCs w:val="24"/>
        </w:rPr>
        <w:t xml:space="preserve">de </w:t>
      </w:r>
      <w:r w:rsidR="00255D75">
        <w:rPr>
          <w:rFonts w:ascii="NewsGotT" w:hAnsi="NewsGotT"/>
          <w:sz w:val="24"/>
          <w:szCs w:val="24"/>
        </w:rPr>
        <w:t>8,16 ou 32 bits</w:t>
      </w:r>
      <w:r w:rsidR="002A4FF6">
        <w:rPr>
          <w:rFonts w:ascii="NewsGotT" w:hAnsi="NewsGotT"/>
          <w:sz w:val="24"/>
          <w:szCs w:val="24"/>
        </w:rPr>
        <w:t xml:space="preserve">. </w:t>
      </w:r>
      <w:r w:rsidR="002A4FF6">
        <w:rPr>
          <w:rFonts w:ascii="NewsGotT" w:hAnsi="NewsGotT"/>
          <w:sz w:val="24"/>
          <w:szCs w:val="24"/>
        </w:rPr>
        <w:t>As transferências permitidas são entre memória</w:t>
      </w:r>
      <w:r w:rsidR="00BF7A2F">
        <w:rPr>
          <w:rFonts w:ascii="NewsGotT" w:hAnsi="NewsGotT"/>
          <w:sz w:val="24"/>
          <w:szCs w:val="24"/>
        </w:rPr>
        <w:t>s</w:t>
      </w:r>
      <w:r w:rsidR="002A4FF6">
        <w:rPr>
          <w:rFonts w:ascii="NewsGotT" w:hAnsi="NewsGotT"/>
          <w:sz w:val="24"/>
          <w:szCs w:val="24"/>
        </w:rPr>
        <w:t xml:space="preserve">, entre o periférico e a memória e entre a memória e o periférico. 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4"/>
        <w:gridCol w:w="4010"/>
      </w:tblGrid>
      <w:tr w:rsidR="002A4FF6" w14:paraId="07955E9A" w14:textId="77777777" w:rsidTr="002A4FF6">
        <w:tc>
          <w:tcPr>
            <w:tcW w:w="4134" w:type="dxa"/>
          </w:tcPr>
          <w:p w14:paraId="4EC3C0F8" w14:textId="751281F2" w:rsidR="002A4FF6" w:rsidRDefault="002A4FF6" w:rsidP="002A4FF6">
            <w:pPr>
              <w:jc w:val="both"/>
              <w:rPr>
                <w:rFonts w:ascii="NewsGotT" w:hAnsi="NewsGotT"/>
                <w:sz w:val="24"/>
                <w:szCs w:val="24"/>
              </w:rPr>
            </w:pPr>
            <w:r w:rsidRPr="002A4FF6">
              <w:rPr>
                <w:rFonts w:ascii="NewsGotT" w:hAnsi="NewsGotT"/>
                <w:sz w:val="24"/>
                <w:szCs w:val="24"/>
              </w:rPr>
              <w:drawing>
                <wp:inline distT="0" distB="0" distL="0" distR="0" wp14:anchorId="621011AE" wp14:editId="57F5AC68">
                  <wp:extent cx="2518453" cy="1158240"/>
                  <wp:effectExtent l="0" t="0" r="0" b="3810"/>
                  <wp:docPr id="2" name="Imagem 2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mesa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964" cy="11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14:paraId="46CED385" w14:textId="6426DC0D" w:rsidR="002A4FF6" w:rsidRDefault="002A4FF6" w:rsidP="002A4FF6">
            <w:pPr>
              <w:jc w:val="both"/>
              <w:rPr>
                <w:rFonts w:ascii="NewsGotT" w:hAnsi="NewsGotT"/>
                <w:sz w:val="24"/>
                <w:szCs w:val="24"/>
              </w:rPr>
            </w:pPr>
            <w:r w:rsidRPr="002A4FF6">
              <w:rPr>
                <w:rFonts w:ascii="NewsGotT" w:hAnsi="NewsGotT"/>
                <w:sz w:val="24"/>
                <w:szCs w:val="24"/>
              </w:rPr>
              <w:drawing>
                <wp:inline distT="0" distB="0" distL="0" distR="0" wp14:anchorId="41D4D0B0" wp14:editId="52A1EADF">
                  <wp:extent cx="2431609" cy="1455420"/>
                  <wp:effectExtent l="0" t="0" r="6985" b="0"/>
                  <wp:docPr id="3" name="Imagem 3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m mesa&#10;&#10;Descrição gerada automa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310" cy="145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FF6" w14:paraId="60066A92" w14:textId="77777777" w:rsidTr="002A4FF6">
        <w:tc>
          <w:tcPr>
            <w:tcW w:w="4134" w:type="dxa"/>
          </w:tcPr>
          <w:p w14:paraId="085ADFCA" w14:textId="24E206EA" w:rsidR="002A4FF6" w:rsidRDefault="002A4FF6" w:rsidP="002A4FF6">
            <w:pPr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(a)</w:t>
            </w:r>
          </w:p>
        </w:tc>
        <w:tc>
          <w:tcPr>
            <w:tcW w:w="4010" w:type="dxa"/>
          </w:tcPr>
          <w:p w14:paraId="2147F172" w14:textId="6A94AD06" w:rsidR="002A4FF6" w:rsidRDefault="002A4FF6" w:rsidP="002A4FF6">
            <w:pPr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(b)</w:t>
            </w:r>
          </w:p>
        </w:tc>
      </w:tr>
    </w:tbl>
    <w:p w14:paraId="232980D7" w14:textId="04DBFB6A" w:rsidR="0092524A" w:rsidRDefault="002A4FF6" w:rsidP="002A4FF6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2A4FF6">
        <w:rPr>
          <w:rFonts w:ascii="NewsGotT" w:hAnsi="NewsGotT"/>
          <w:sz w:val="24"/>
          <w:szCs w:val="24"/>
          <w:highlight w:val="green"/>
        </w:rPr>
        <w:t xml:space="preserve">Mapa de </w:t>
      </w:r>
      <w:r w:rsidRPr="002A4FF6">
        <w:rPr>
          <w:rFonts w:ascii="NewsGotT" w:hAnsi="NewsGotT"/>
          <w:sz w:val="24"/>
          <w:szCs w:val="24"/>
          <w:highlight w:val="green"/>
        </w:rPr>
        <w:t>pedido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de DMA</w:t>
      </w:r>
    </w:p>
    <w:p w14:paraId="2651ED94" w14:textId="0A06E2CA" w:rsidR="002A4FF6" w:rsidRDefault="00255D75" w:rsidP="002A4FF6">
      <w:pPr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lastRenderedPageBreak/>
        <w:t xml:space="preserve">Quanto aos modos de transferências do DMA, existem dois. Pode-se utilizar o DMA direto, que faz com que a transferência de dados seja feita de forma imediata. Pode-se ainda utilizar o modo </w:t>
      </w:r>
      <w:r w:rsidRPr="00255D75">
        <w:rPr>
          <w:rFonts w:ascii="NewsGotT" w:hAnsi="NewsGotT"/>
          <w:i/>
          <w:iCs/>
          <w:sz w:val="24"/>
          <w:szCs w:val="24"/>
        </w:rPr>
        <w:t>FIFO (</w:t>
      </w:r>
      <w:proofErr w:type="spellStart"/>
      <w:r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Pr="00255D75">
        <w:rPr>
          <w:rFonts w:ascii="NewsGotT" w:hAnsi="NewsGotT"/>
          <w:i/>
          <w:iCs/>
          <w:sz w:val="24"/>
          <w:szCs w:val="24"/>
        </w:rPr>
        <w:t xml:space="preserve"> in </w:t>
      </w:r>
      <w:proofErr w:type="spellStart"/>
      <w:r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Pr="00255D75">
        <w:rPr>
          <w:rFonts w:ascii="NewsGotT" w:hAnsi="NewsGotT"/>
          <w:i/>
          <w:iCs/>
          <w:sz w:val="24"/>
          <w:szCs w:val="24"/>
        </w:rPr>
        <w:t xml:space="preserve"> out)</w:t>
      </w:r>
      <w:r>
        <w:rPr>
          <w:rFonts w:ascii="NewsGotT" w:hAnsi="NewsGotT"/>
          <w:sz w:val="24"/>
          <w:szCs w:val="24"/>
        </w:rPr>
        <w:t xml:space="preserve"> </w:t>
      </w:r>
    </w:p>
    <w:p w14:paraId="5EDCDF4E" w14:textId="5A6F8DEC" w:rsidR="00255D75" w:rsidRDefault="00255D75" w:rsidP="002A4FF6">
      <w:pPr>
        <w:ind w:left="360" w:firstLine="348"/>
        <w:jc w:val="both"/>
        <w:rPr>
          <w:rFonts w:ascii="NewsGotT" w:hAnsi="NewsGotT"/>
          <w:sz w:val="24"/>
          <w:szCs w:val="24"/>
        </w:rPr>
      </w:pPr>
    </w:p>
    <w:p w14:paraId="04A487BB" w14:textId="36F7C11D" w:rsidR="00255D75" w:rsidRDefault="00255D75" w:rsidP="002A4FF6">
      <w:pPr>
        <w:ind w:left="360" w:firstLine="348"/>
        <w:jc w:val="both"/>
        <w:rPr>
          <w:rFonts w:ascii="NewsGotT" w:hAnsi="NewsGotT"/>
          <w:sz w:val="24"/>
          <w:szCs w:val="24"/>
        </w:rPr>
      </w:pPr>
    </w:p>
    <w:p w14:paraId="59B84781" w14:textId="77777777" w:rsidR="00255D75" w:rsidRDefault="00255D75" w:rsidP="002A4FF6">
      <w:pPr>
        <w:ind w:left="360" w:firstLine="348"/>
        <w:jc w:val="both"/>
        <w:rPr>
          <w:rFonts w:ascii="NewsGotT" w:hAnsi="NewsGotT"/>
          <w:sz w:val="24"/>
          <w:szCs w:val="24"/>
        </w:rPr>
      </w:pPr>
    </w:p>
    <w:p w14:paraId="0F98D5EC" w14:textId="1C9E83D9" w:rsidR="002A4FF6" w:rsidRPr="00690AEB" w:rsidRDefault="00255D75" w:rsidP="002A4FF6">
      <w:pPr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De forma a </w:t>
      </w:r>
      <w:r w:rsidRPr="00690AEB">
        <w:rPr>
          <w:rFonts w:ascii="NewsGotT" w:hAnsi="NewsGotT"/>
          <w:sz w:val="24"/>
          <w:szCs w:val="24"/>
        </w:rPr>
        <w:t xml:space="preserve">inicializar o DMA entre um periférico </w:t>
      </w:r>
      <w:r>
        <w:rPr>
          <w:rFonts w:ascii="NewsGotT" w:hAnsi="NewsGotT"/>
          <w:sz w:val="24"/>
          <w:szCs w:val="24"/>
        </w:rPr>
        <w:t xml:space="preserve">específico </w:t>
      </w:r>
      <w:r w:rsidRPr="00690AEB">
        <w:rPr>
          <w:rFonts w:ascii="NewsGotT" w:hAnsi="NewsGotT"/>
          <w:sz w:val="24"/>
          <w:szCs w:val="24"/>
        </w:rPr>
        <w:t>e uma memória, é necessário configurar</w:t>
      </w:r>
      <w:r>
        <w:rPr>
          <w:rFonts w:ascii="NewsGotT" w:hAnsi="NewsGotT"/>
          <w:sz w:val="24"/>
          <w:szCs w:val="24"/>
        </w:rPr>
        <w:t xml:space="preserve"> </w:t>
      </w:r>
      <w:r w:rsidRPr="00690AEB">
        <w:rPr>
          <w:rFonts w:ascii="NewsGotT" w:hAnsi="NewsGotT"/>
          <w:sz w:val="24"/>
          <w:szCs w:val="24"/>
        </w:rPr>
        <w:t>o canal apropriadamente</w:t>
      </w:r>
      <w:r>
        <w:rPr>
          <w:rFonts w:ascii="NewsGotT" w:hAnsi="NewsGotT"/>
          <w:sz w:val="24"/>
          <w:szCs w:val="24"/>
        </w:rPr>
        <w:t>.</w:t>
      </w:r>
    </w:p>
    <w:p w14:paraId="70F6EE31" w14:textId="086888FA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ADC</w:t>
      </w:r>
    </w:p>
    <w:p w14:paraId="2D5BA494" w14:textId="01130E04" w:rsidR="0015477D" w:rsidRPr="0015477D" w:rsidRDefault="0015477D" w:rsidP="0015477D">
      <w:pPr>
        <w:ind w:left="360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Um ADC (</w:t>
      </w:r>
      <w:proofErr w:type="spellStart"/>
      <w:r w:rsidRPr="0015477D">
        <w:rPr>
          <w:rFonts w:ascii="NewsGotT" w:hAnsi="NewsGotT"/>
          <w:sz w:val="24"/>
          <w:szCs w:val="24"/>
        </w:rPr>
        <w:t>Analog</w:t>
      </w:r>
      <w:proofErr w:type="spellEnd"/>
      <w:r w:rsidRPr="0015477D">
        <w:rPr>
          <w:rFonts w:ascii="NewsGotT" w:hAnsi="NewsGotT"/>
          <w:sz w:val="24"/>
          <w:szCs w:val="24"/>
        </w:rPr>
        <w:t xml:space="preserve"> to Digital Converter</w:t>
      </w:r>
      <w:r>
        <w:rPr>
          <w:rFonts w:ascii="NewsGotT" w:hAnsi="NewsGotT"/>
          <w:sz w:val="24"/>
          <w:szCs w:val="24"/>
        </w:rPr>
        <w:t xml:space="preserve">) converte sinais analógicos para digitais. </w:t>
      </w:r>
    </w:p>
    <w:sectPr w:rsidR="0015477D" w:rsidRPr="00154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55A6"/>
    <w:multiLevelType w:val="hybridMultilevel"/>
    <w:tmpl w:val="968CF1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7D"/>
    <w:rsid w:val="0015477D"/>
    <w:rsid w:val="00255D75"/>
    <w:rsid w:val="002A4FF6"/>
    <w:rsid w:val="003502EC"/>
    <w:rsid w:val="00690AEB"/>
    <w:rsid w:val="007C586C"/>
    <w:rsid w:val="0092524A"/>
    <w:rsid w:val="00B229BB"/>
    <w:rsid w:val="00BE0A7C"/>
    <w:rsid w:val="00BF7A2F"/>
    <w:rsid w:val="00D77C77"/>
    <w:rsid w:val="00F1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34C6"/>
  <w15:chartTrackingRefBased/>
  <w15:docId w15:val="{5C76D73E-E193-454C-A90B-AACF687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77D"/>
    <w:pPr>
      <w:ind w:left="720"/>
      <w:contextualSpacing/>
    </w:pPr>
  </w:style>
  <w:style w:type="table" w:styleId="TabelacomGrelha">
    <w:name w:val="Table Grid"/>
    <w:basedOn w:val="Tabelanormal"/>
    <w:uiPriority w:val="39"/>
    <w:rsid w:val="002A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João Pedro Dias Miranda</cp:lastModifiedBy>
  <cp:revision>2</cp:revision>
  <dcterms:created xsi:type="dcterms:W3CDTF">2021-06-14T17:17:00Z</dcterms:created>
  <dcterms:modified xsi:type="dcterms:W3CDTF">2021-06-14T22:30:00Z</dcterms:modified>
</cp:coreProperties>
</file>