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60" w:line="264" w:lineRule="auto"/>
        <w:jc w:val="left"/>
      </w:pPr>
      <w:r>
        <w:rPr>
          <w:rFonts w:ascii="Microsoft YaHei" w:hAnsi="Microsoft YaHei" w:eastAsia="Microsoft YaHei"/>
          <w:b/>
          <w:color w:val="2E74B5"/>
          <w:sz w:val="20"/>
        </w:rPr>
        <w:t>QUANTUM ROUTE FORGE / 正式硬件实验</w:t>
      </w:r>
    </w:p>
    <w:p>
      <w:pPr>
        <w:pStyle w:val="Title"/>
        <w:spacing w:before="0" w:after="120"/>
      </w:pPr>
      <w:r>
        <w:rPr>
          <w:rFonts w:ascii="Microsoft YaHei" w:hAnsi="Microsoft YaHei" w:eastAsia="Microsoft YaHei"/>
          <w:b/>
          <w:color w:val="17365D"/>
          <w:sz w:val="48"/>
        </w:rPr>
        <w:t>Quantum Route Forge</w:t>
        <w:br/>
        <w:t>正式实验最终报告</w:t>
      </w:r>
    </w:p>
    <w:p>
      <w:pPr>
        <w:pStyle w:val="Subtitle"/>
        <w:spacing w:after="320"/>
      </w:pPr>
      <w:r>
        <w:rPr>
          <w:rFonts w:ascii="Microsoft YaHei" w:hAnsi="Microsoft YaHei" w:eastAsia="Microsoft YaHei"/>
          <w:color w:val="667085"/>
          <w:sz w:val="26"/>
        </w:rPr>
        <w:t>24任务真实量子硬件矩阵、BQM候选质量与混合路线贡献分析</w:t>
      </w:r>
    </w:p>
    <w:p>
      <w:pPr>
        <w:spacing w:before="0" w:after="60" w:line="264" w:lineRule="auto"/>
      </w:pPr>
      <w:r>
        <w:rPr>
          <w:rFonts w:ascii="Microsoft YaHei" w:hAnsi="Microsoft YaHei" w:eastAsia="Microsoft YaHei"/>
          <w:b/>
          <w:color w:val="17365D"/>
          <w:sz w:val="21"/>
        </w:rPr>
        <w:t>实验日期：</w:t>
      </w:r>
      <w:r>
        <w:rPr>
          <w:rFonts w:ascii="Microsoft YaHei" w:hAnsi="Microsoft YaHei" w:eastAsia="Microsoft YaHei"/>
          <w:color w:val="1F2937"/>
          <w:sz w:val="21"/>
        </w:rPr>
        <w:t>2026-08-02</w:t>
      </w:r>
    </w:p>
    <w:p>
      <w:pPr>
        <w:spacing w:before="0" w:after="60" w:line="264" w:lineRule="auto"/>
      </w:pPr>
      <w:r>
        <w:rPr>
          <w:rFonts w:ascii="Microsoft YaHei" w:hAnsi="Microsoft YaHei" w:eastAsia="Microsoft YaHei"/>
          <w:b/>
          <w:color w:val="17365D"/>
          <w:sz w:val="21"/>
        </w:rPr>
        <w:t>冻结协议：</w:t>
      </w:r>
      <w:r>
        <w:rPr>
          <w:rFonts w:ascii="Microsoft YaHei" w:hAnsi="Microsoft YaHei" w:eastAsia="Microsoft YaHei"/>
          <w:color w:val="1F2937"/>
          <w:sz w:val="21"/>
        </w:rPr>
        <w:t>formal-matrix-v2 / qrf-formal-protocol-v2</w:t>
      </w:r>
    </w:p>
    <w:p>
      <w:pPr>
        <w:spacing w:before="0" w:after="60" w:line="264" w:lineRule="auto"/>
      </w:pPr>
      <w:r>
        <w:rPr>
          <w:rFonts w:ascii="Microsoft YaHei" w:hAnsi="Microsoft YaHei" w:eastAsia="Microsoft YaHei"/>
          <w:b/>
          <w:color w:val="17365D"/>
          <w:sz w:val="21"/>
        </w:rPr>
        <w:t>执行版本：</w:t>
      </w:r>
      <w:r>
        <w:rPr>
          <w:rFonts w:ascii="Microsoft YaHei" w:hAnsi="Microsoft YaHei" w:eastAsia="Microsoft YaHei"/>
          <w:color w:val="1F2937"/>
          <w:sz w:val="21"/>
        </w:rPr>
        <w:t>9082b74 / qrf-preformal-execution-v2</w:t>
      </w:r>
    </w:p>
    <w:p>
      <w:pPr>
        <w:spacing w:before="0" w:after="60" w:line="264" w:lineRule="auto"/>
      </w:pPr>
      <w:r>
        <w:rPr>
          <w:rFonts w:ascii="Microsoft YaHei" w:hAnsi="Microsoft YaHei" w:eastAsia="Microsoft YaHei"/>
          <w:b/>
          <w:color w:val="17365D"/>
          <w:sz w:val="21"/>
        </w:rPr>
        <w:t>正式结果目录：</w:t>
      </w:r>
      <w:r>
        <w:rPr>
          <w:rFonts w:ascii="Microsoft YaHei" w:hAnsi="Microsoft YaHei" w:eastAsia="Microsoft YaHei"/>
          <w:color w:val="1F2937"/>
          <w:sz w:val="21"/>
        </w:rPr>
        <w:t>results/experiments/qrf_formal_hardware_matrix_v2</w:t>
      </w:r>
    </w:p>
    <w:p>
      <w:pPr>
        <w:spacing w:before="0" w:after="240" w:line="264" w:lineRule="auto"/>
      </w:pPr>
      <w:r>
        <w:rPr>
          <w:rFonts w:ascii="Microsoft YaHei" w:hAnsi="Microsoft YaHei" w:eastAsia="Microsoft YaHei"/>
          <w:b/>
          <w:color w:val="17365D"/>
          <w:sz w:val="21"/>
        </w:rPr>
        <w:t>发布状态：</w:t>
      </w:r>
      <w:r>
        <w:rPr>
          <w:rFonts w:ascii="Microsoft YaHei" w:hAnsi="Microsoft YaHei" w:eastAsia="Microsoft YaHei"/>
          <w:color w:val="1F2937"/>
          <w:sz w:val="21"/>
        </w:rPr>
        <w:t>Pull Request #1 已合并至 main；发布标签 qrf-final-experiment-v2.1</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vAlign w:val="center"/>
            <w:tcMar>
              <w:top w:w="80" w:type="dxa"/>
              <w:start w:w="120" w:type="dxa"/>
              <w:bottom w:w="80" w:type="dxa"/>
              <w:end w:w="120" w:type="dxa"/>
            </w:tcMar>
            <w:shd w:fill="DCE6F1"/>
          </w:tcPr>
          <w:p>
            <w:pPr>
              <w:spacing w:after="40"/>
              <w:jc w:val="center"/>
            </w:pPr>
            <w:r/>
            <w:r>
              <w:rPr>
                <w:rFonts w:ascii="Microsoft YaHei" w:hAnsi="Microsoft YaHei" w:eastAsia="Microsoft YaHei"/>
                <w:b/>
                <w:color w:val="17365D"/>
                <w:sz w:val="36"/>
              </w:rPr>
              <w:t>24/24</w:t>
            </w:r>
          </w:p>
          <w:p>
            <w:pPr>
              <w:spacing w:before="0" w:after="0"/>
              <w:jc w:val="center"/>
            </w:pPr>
            <w:r>
              <w:rPr>
                <w:rFonts w:ascii="Microsoft YaHei" w:hAnsi="Microsoft YaHei" w:eastAsia="Microsoft YaHei"/>
                <w:color w:val="667085"/>
                <w:sz w:val="17"/>
              </w:rPr>
              <w:t>真机任务完成</w:t>
            </w:r>
          </w:p>
        </w:tc>
        <w:tc>
          <w:tcPr>
            <w:tcW w:type="dxa" w:w="2340"/>
            <w:vAlign w:val="center"/>
            <w:tcMar>
              <w:top w:w="80" w:type="dxa"/>
              <w:start w:w="120" w:type="dxa"/>
              <w:bottom w:w="80" w:type="dxa"/>
              <w:end w:w="120" w:type="dxa"/>
            </w:tcMar>
            <w:shd w:fill="DCE6F1"/>
          </w:tcPr>
          <w:p>
            <w:pPr>
              <w:spacing w:after="40"/>
              <w:jc w:val="center"/>
            </w:pPr>
            <w:r/>
            <w:r>
              <w:rPr>
                <w:rFonts w:ascii="Microsoft YaHei" w:hAnsi="Microsoft YaHei" w:eastAsia="Microsoft YaHei"/>
                <w:b/>
                <w:color w:val="17365D"/>
                <w:sz w:val="36"/>
              </w:rPr>
              <w:t>24,576</w:t>
            </w:r>
          </w:p>
          <w:p>
            <w:pPr>
              <w:spacing w:before="0" w:after="0"/>
              <w:jc w:val="center"/>
            </w:pPr>
            <w:r>
              <w:rPr>
                <w:rFonts w:ascii="Microsoft YaHei" w:hAnsi="Microsoft YaHei" w:eastAsia="Microsoft YaHei"/>
                <w:color w:val="667085"/>
                <w:sz w:val="17"/>
              </w:rPr>
              <w:t>有效shots</w:t>
            </w:r>
          </w:p>
        </w:tc>
        <w:tc>
          <w:tcPr>
            <w:tcW w:type="dxa" w:w="2340"/>
            <w:vAlign w:val="center"/>
            <w:tcMar>
              <w:top w:w="80" w:type="dxa"/>
              <w:start w:w="120" w:type="dxa"/>
              <w:bottom w:w="80" w:type="dxa"/>
              <w:end w:w="120" w:type="dxa"/>
            </w:tcMar>
            <w:shd w:fill="DCE6F1"/>
          </w:tcPr>
          <w:p>
            <w:pPr>
              <w:spacing w:after="40"/>
              <w:jc w:val="center"/>
            </w:pPr>
            <w:r/>
            <w:r>
              <w:rPr>
                <w:rFonts w:ascii="Microsoft YaHei" w:hAnsi="Microsoft YaHei" w:eastAsia="Microsoft YaHei"/>
                <w:b/>
                <w:color w:val="17365D"/>
                <w:sz w:val="36"/>
              </w:rPr>
              <w:t>24/24</w:t>
            </w:r>
          </w:p>
          <w:p>
            <w:pPr>
              <w:spacing w:before="0" w:after="0"/>
              <w:jc w:val="center"/>
            </w:pPr>
            <w:r>
              <w:rPr>
                <w:rFonts w:ascii="Microsoft YaHei" w:hAnsi="Microsoft YaHei" w:eastAsia="Microsoft YaHei"/>
                <w:color w:val="667085"/>
                <w:sz w:val="17"/>
              </w:rPr>
              <w:t>命中最优BQM能量</w:t>
            </w:r>
          </w:p>
        </w:tc>
        <w:tc>
          <w:tcPr>
            <w:tcW w:type="dxa" w:w="2340"/>
            <w:vAlign w:val="center"/>
            <w:tcMar>
              <w:top w:w="80" w:type="dxa"/>
              <w:start w:w="120" w:type="dxa"/>
              <w:bottom w:w="80" w:type="dxa"/>
              <w:end w:w="120" w:type="dxa"/>
            </w:tcMar>
            <w:shd w:fill="DCE6F1"/>
          </w:tcPr>
          <w:p>
            <w:pPr>
              <w:spacing w:after="40"/>
              <w:jc w:val="center"/>
            </w:pPr>
            <w:r/>
            <w:r>
              <w:rPr>
                <w:rFonts w:ascii="Microsoft YaHei" w:hAnsi="Microsoft YaHei" w:eastAsia="Microsoft YaHei"/>
                <w:b/>
                <w:color w:val="17365D"/>
                <w:sz w:val="36"/>
              </w:rPr>
              <w:t>0/24</w:t>
            </w:r>
          </w:p>
          <w:p>
            <w:pPr>
              <w:spacing w:before="0" w:after="0"/>
              <w:jc w:val="center"/>
            </w:pPr>
            <w:r>
              <w:rPr>
                <w:rFonts w:ascii="Microsoft YaHei" w:hAnsi="Microsoft YaHei" w:eastAsia="Microsoft YaHei"/>
                <w:color w:val="667085"/>
                <w:sz w:val="17"/>
              </w:rPr>
              <w:t>严格能量胜出</w:t>
            </w:r>
          </w:p>
        </w:tc>
      </w:tr>
    </w:tbl>
    <w:p>
      <w:pPr>
        <w:keepNext w:val="0"/>
        <w:spacing w:before="0" w:after="120" w:line="264" w:lineRule="auto"/>
        <w:jc w:val="left"/>
      </w:pPr>
    </w:p>
    <w:p>
      <w:pPr>
        <w:keepNext w:val="0"/>
        <w:spacing w:before="160" w:after="160" w:line="300" w:lineRule="auto"/>
        <w:jc w:val="left"/>
        <w:shd w:fill="EAF2F8"/>
        <w:pBdr>
          <w:top w:val="single" w:sz="8" w:space="6" w:color="2E74B5"/>
          <w:left w:val="single" w:sz="8" w:space="6" w:color="2E74B5"/>
          <w:bottom w:val="single" w:sz="8" w:space="6" w:color="2E74B5"/>
          <w:right w:val="single" w:sz="8" w:space="6" w:color="2E74B5"/>
        </w:pBdr>
      </w:pPr>
      <w:r>
        <w:rPr>
          <w:rFonts w:ascii="Microsoft YaHei" w:hAnsi="Microsoft YaHei" w:eastAsia="Microsoft YaHei"/>
          <w:b/>
          <w:color w:val="17365D"/>
          <w:sz w:val="23"/>
        </w:rPr>
        <w:t>核心结论  工程执行完整成功；真机在24/24任务中均命中过全局最优BQM能量，但没有严格击败同预算经典阈值，也没有改善最终路线距离。</w:t>
      </w:r>
    </w:p>
    <w:p>
      <w:pPr>
        <w:keepNext w:val="0"/>
        <w:spacing w:before="160" w:after="0" w:line="264" w:lineRule="auto"/>
        <w:jc w:val="left"/>
      </w:pPr>
      <w:r>
        <w:rPr>
          <w:rFonts w:ascii="Microsoft YaHei" w:hAnsi="Microsoft YaHei" w:eastAsia="Microsoft YaHei"/>
          <w:b w:val="0"/>
          <w:i/>
          <w:color w:val="667085"/>
          <w:sz w:val="19"/>
        </w:rPr>
        <w:t>统计说明：不把shots当作独立实验重复；置信区间以硬件任务为统计单位。所有不利结果均被保留。</w:t>
      </w:r>
    </w:p>
    <w:p>
      <w:r>
        <w:br w:type="page"/>
      </w:r>
    </w:p>
    <w:p>
      <w:pPr>
        <w:pStyle w:val="Heading1"/>
        <w:keepNext/>
      </w:pPr>
      <w:r>
        <w:rPr>
          <w:rFonts w:ascii="Microsoft YaHei" w:hAnsi="Microsoft YaHei" w:eastAsia="Microsoft YaHei"/>
          <w:b/>
          <w:color w:val="2E74B5"/>
        </w:rPr>
        <w:t>一、执行摘要</w:t>
      </w:r>
    </w:p>
    <w:p>
      <w:pPr>
        <w:keepNext w:val="0"/>
        <w:spacing w:before="0" w:after="120" w:line="264" w:lineRule="auto"/>
        <w:jc w:val="left"/>
      </w:pPr>
      <w:r>
        <w:rPr>
          <w:rFonts w:ascii="Microsoft YaHei" w:hAnsi="Microsoft YaHei" w:eastAsia="Microsoft YaHei"/>
          <w:b w:val="0"/>
          <w:color w:val="1F2937"/>
          <w:sz w:val="22"/>
        </w:rPr>
        <w:t>本阶段按照预声明的4个实例、3个固定量子后端和2次重复执行正式硬件矩阵。24个任务全部完成，每个任务收到1024个有效shots，请求后端与实际后端完全一致，结果存储严格校验为complete=true、valid=true，错误和警告均为0。</w:t>
      </w:r>
    </w:p>
    <w:tbl>
      <w:tblPr>
        <w:tblW w:type="dxa" w:w="9360"/>
        <w:tblLayout w:type="fixed"/>
        <w:tblLook w:firstColumn="1" w:firstRow="1" w:lastColumn="0" w:lastRow="0" w:noHBand="0" w:noVBand="1" w:val="04A0"/>
        <w:jc w:val="left"/>
        <w:tblInd w:w="120" w:type="dxa"/>
      </w:tblPr>
      <w:tblGrid>
        <w:gridCol w:w="1900"/>
        <w:gridCol w:w="3100"/>
        <w:gridCol w:w="4360"/>
      </w:tblGrid>
      <w:tr>
        <w:trPr>
          <w:tblHeader w:val="true"/>
        </w:trPr>
        <w:tc>
          <w:tcPr>
            <w:tcW w:type="dxa" w:w="1900"/>
            <w:vAlign w:val="center"/>
            <w:tcMar>
              <w:top w:w="80" w:type="dxa"/>
              <w:start w:w="120" w:type="dxa"/>
              <w:bottom w:w="80" w:type="dxa"/>
              <w:end w:w="120" w:type="dxa"/>
            </w:tcMar>
            <w:shd w:fill="17365D"/>
          </w:tcPr>
          <w:p>
            <w:pPr>
              <w:spacing w:before="0" w:after="0" w:line="259" w:lineRule="auto"/>
              <w:jc w:val="center"/>
            </w:pPr>
            <w:r/>
            <w:r>
              <w:rPr>
                <w:rFonts w:ascii="Microsoft YaHei" w:hAnsi="Microsoft YaHei" w:eastAsia="Microsoft YaHei"/>
                <w:b/>
                <w:color w:val="FFFFFF"/>
                <w:sz w:val="19"/>
              </w:rPr>
              <w:t>指标</w:t>
            </w:r>
          </w:p>
        </w:tc>
        <w:tc>
          <w:tcPr>
            <w:tcW w:type="dxa" w:w="3100"/>
            <w:vAlign w:val="center"/>
            <w:tcMar>
              <w:top w:w="80" w:type="dxa"/>
              <w:start w:w="120" w:type="dxa"/>
              <w:bottom w:w="80" w:type="dxa"/>
              <w:end w:w="120" w:type="dxa"/>
            </w:tcMar>
            <w:shd w:fill="17365D"/>
          </w:tcPr>
          <w:p>
            <w:pPr>
              <w:spacing w:before="0" w:after="0" w:line="259" w:lineRule="auto"/>
              <w:jc w:val="center"/>
            </w:pPr>
            <w:r/>
            <w:r>
              <w:rPr>
                <w:rFonts w:ascii="Microsoft YaHei" w:hAnsi="Microsoft YaHei" w:eastAsia="Microsoft YaHei"/>
                <w:b/>
                <w:color w:val="FFFFFF"/>
                <w:sz w:val="19"/>
              </w:rPr>
              <w:t>正式结果</w:t>
            </w:r>
          </w:p>
        </w:tc>
        <w:tc>
          <w:tcPr>
            <w:tcW w:type="dxa" w:w="4360"/>
            <w:vAlign w:val="center"/>
            <w:tcMar>
              <w:top w:w="80" w:type="dxa"/>
              <w:start w:w="120" w:type="dxa"/>
              <w:bottom w:w="80" w:type="dxa"/>
              <w:end w:w="120" w:type="dxa"/>
            </w:tcMar>
            <w:shd w:fill="17365D"/>
          </w:tcPr>
          <w:p>
            <w:pPr>
              <w:spacing w:before="0" w:after="0" w:line="259" w:lineRule="auto"/>
              <w:jc w:val="center"/>
            </w:pPr>
            <w:r/>
            <w:r>
              <w:rPr>
                <w:rFonts w:ascii="Microsoft YaHei" w:hAnsi="Microsoft YaHei" w:eastAsia="Microsoft YaHei"/>
                <w:b/>
                <w:color w:val="FFFFFF"/>
                <w:sz w:val="19"/>
              </w:rPr>
              <w:t>解释</w:t>
            </w:r>
          </w:p>
        </w:tc>
      </w:tr>
      <w:t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color w:val="17365D"/>
                <w:sz w:val="17"/>
              </w:rPr>
              <w:t>任务与shots</w:t>
            </w:r>
          </w:p>
        </w:tc>
        <w:tc>
          <w:tcPr>
            <w:tcW w:type="dxa" w:w="31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color w:val="1F2937"/>
                <w:sz w:val="17"/>
              </w:rPr>
              <w:t>24个任务；24,576/24,576 shots</w:t>
            </w:r>
          </w:p>
        </w:tc>
        <w:tc>
          <w:tcPr>
            <w:tcW w:type="dxa" w:w="436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color w:val="1F2937"/>
                <w:sz w:val="17"/>
              </w:rPr>
              <w:t>完整，无失败或不可评价任务</w:t>
            </w:r>
          </w:p>
        </w:tc>
      </w:tr>
      <w:t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color w:val="17365D"/>
                <w:sz w:val="17"/>
              </w:rPr>
              <w:t>真机QHR</w:t>
            </w:r>
          </w:p>
        </w:tc>
        <w:tc>
          <w:tcPr>
            <w:tcW w:type="dxa" w:w="31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color w:val="1F2937"/>
                <w:sz w:val="17"/>
              </w:rPr>
              <w:t>均值0.161011；95% CI [0.127035, 0.197795]</w:t>
            </w:r>
          </w:p>
        </w:tc>
        <w:tc>
          <w:tcPr>
            <w:tcW w:type="dxa" w:w="436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color w:val="1F2937"/>
                <w:sz w:val="17"/>
              </w:rPr>
              <w:t>反映低能量可行区域的实测命中频率</w:t>
            </w:r>
          </w:p>
        </w:tc>
      </w:tr>
      <w:t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color w:val="17365D"/>
                <w:sz w:val="17"/>
              </w:rPr>
              <w:t>随机参考</w:t>
            </w:r>
          </w:p>
        </w:tc>
        <w:tc>
          <w:tcPr>
            <w:tcW w:type="dxa" w:w="31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color w:val="1F2937"/>
                <w:sz w:val="17"/>
              </w:rPr>
              <w:t>均值0.226562；95% CI [0.186198, 0.270833]</w:t>
            </w:r>
          </w:p>
        </w:tc>
        <w:tc>
          <w:tcPr>
            <w:tcW w:type="dxa" w:w="436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color w:val="1F2937"/>
                <w:sz w:val="17"/>
              </w:rPr>
              <w:t>24个任务中真机超过随机参考为0次</w:t>
            </w:r>
          </w:p>
        </w:tc>
      </w:tr>
      <w:t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color w:val="17365D"/>
                <w:sz w:val="17"/>
              </w:rPr>
              <w:t>量子-随机</w:t>
            </w:r>
          </w:p>
        </w:tc>
        <w:tc>
          <w:tcPr>
            <w:tcW w:type="dxa" w:w="31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color w:val="1F2937"/>
                <w:sz w:val="17"/>
              </w:rPr>
              <w:t>均值-0.065552；95% CI [-0.079427, -0.051514]</w:t>
            </w:r>
          </w:p>
        </w:tc>
        <w:tc>
          <w:tcPr>
            <w:tcW w:type="dxa" w:w="436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color w:val="1F2937"/>
                <w:sz w:val="17"/>
              </w:rPr>
              <w:t>本协议下未观察到正向质量增益</w:t>
            </w:r>
          </w:p>
        </w:tc>
      </w:tr>
      <w:t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color w:val="17365D"/>
                <w:sz w:val="17"/>
              </w:rPr>
              <w:t>达到经典阈值</w:t>
            </w:r>
          </w:p>
        </w:tc>
        <w:tc>
          <w:tcPr>
            <w:tcW w:type="dxa" w:w="31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color w:val="1F2937"/>
                <w:sz w:val="17"/>
              </w:rPr>
              <w:t>平均比率0.050252</w:t>
            </w:r>
          </w:p>
        </w:tc>
        <w:tc>
          <w:tcPr>
            <w:tcW w:type="dxa" w:w="436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color w:val="1F2937"/>
                <w:sz w:val="17"/>
              </w:rPr>
              <w:t>所有任务均有样本达到或等于经典阈值</w:t>
            </w:r>
          </w:p>
        </w:tc>
      </w:tr>
      <w:t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color w:val="17365D"/>
                <w:sz w:val="17"/>
              </w:rPr>
              <w:t>最优BQM能量</w:t>
            </w:r>
          </w:p>
        </w:tc>
        <w:tc>
          <w:tcPr>
            <w:tcW w:type="dxa" w:w="31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color w:val="1F2937"/>
                <w:sz w:val="17"/>
              </w:rPr>
              <w:t>best_gap=0，24/24任务</w:t>
            </w:r>
          </w:p>
        </w:tc>
        <w:tc>
          <w:tcPr>
            <w:tcW w:type="dxa" w:w="436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color w:val="1F2937"/>
                <w:sz w:val="17"/>
              </w:rPr>
              <w:t>每个任务至少命中一次全局最优BQM能量</w:t>
            </w:r>
          </w:p>
        </w:tc>
      </w:tr>
      <w:t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color w:val="17365D"/>
                <w:sz w:val="17"/>
              </w:rPr>
              <w:t>严格经典改进</w:t>
            </w:r>
          </w:p>
        </w:tc>
        <w:tc>
          <w:tcPr>
            <w:tcW w:type="dxa" w:w="31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color w:val="1F2937"/>
                <w:sz w:val="17"/>
              </w:rPr>
              <w:t>0/24任务</w:t>
            </w:r>
          </w:p>
        </w:tc>
        <w:tc>
          <w:tcPr>
            <w:tcW w:type="dxa" w:w="436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color w:val="1F2937"/>
                <w:sz w:val="17"/>
              </w:rPr>
              <w:t>同预算经典方法已达到相同最优能量</w:t>
            </w:r>
          </w:p>
        </w:tc>
      </w:tr>
      <w:tr>
        <w:tc>
          <w:tcPr>
            <w:tcW w:type="dxa" w:w="19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color w:val="17365D"/>
                <w:sz w:val="17"/>
              </w:rPr>
              <w:t>最终路线改善</w:t>
            </w:r>
          </w:p>
        </w:tc>
        <w:tc>
          <w:tcPr>
            <w:tcW w:type="dxa" w:w="31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color w:val="1F2937"/>
                <w:sz w:val="17"/>
              </w:rPr>
              <w:t>C+Q相对C+R为0/24任务</w:t>
            </w:r>
          </w:p>
        </w:tc>
        <w:tc>
          <w:tcPr>
            <w:tcW w:type="dxa" w:w="436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color w:val="1F2937"/>
                <w:sz w:val="17"/>
              </w:rPr>
              <w:t>量子候选没有改变最终路线距离</w:t>
            </w:r>
          </w:p>
        </w:tc>
      </w:tr>
    </w:tbl>
    <w:p>
      <w:pPr>
        <w:pStyle w:val="Heading1"/>
        <w:keepNext/>
      </w:pPr>
      <w:r>
        <w:rPr>
          <w:rFonts w:ascii="Microsoft YaHei" w:hAnsi="Microsoft YaHei" w:eastAsia="Microsoft YaHei"/>
          <w:b/>
          <w:color w:val="2E74B5"/>
        </w:rPr>
        <w:t>二、实验设计与可复现性</w:t>
      </w:r>
    </w:p>
    <w:p>
      <w:pPr>
        <w:keepNext w:val="0"/>
        <w:spacing w:before="0" w:after="120" w:line="264" w:lineRule="auto"/>
        <w:jc w:val="left"/>
      </w:pPr>
      <w:r>
        <w:rPr>
          <w:rFonts w:ascii="Microsoft YaHei" w:hAnsi="Microsoft YaHei" w:eastAsia="Microsoft YaHei"/>
          <w:b w:val="0"/>
          <w:color w:val="1F2937"/>
          <w:sz w:val="22"/>
        </w:rPr>
        <w:t>主实验采用两辆车和100%客户到量子比特覆盖。QAOA风格电路参数固定为gamma=1.1、beta=0.8；每个实例的客户顺序、逻辑QASM、经典阈值和配置哈希均在读取真机结果前冻结。每次命令最多提交一个新硬件任务，提交回执在轮询前持久化。</w:t>
      </w:r>
    </w:p>
    <w:tbl>
      <w:tblPr>
        <w:tblW w:type="dxa" w:w="9360"/>
        <w:tblLayout w:type="fixed"/>
        <w:tblLook w:firstColumn="1" w:firstRow="1" w:lastColumn="0" w:lastRow="0" w:noHBand="0" w:noVBand="1" w:val="04A0"/>
        <w:jc w:val="left"/>
        <w:tblInd w:w="120" w:type="dxa"/>
      </w:tblPr>
      <w:tblGrid>
        <w:gridCol w:w="2700"/>
        <w:gridCol w:w="700"/>
        <w:gridCol w:w="900"/>
        <w:gridCol w:w="700"/>
        <w:gridCol w:w="3100"/>
        <w:gridCol w:w="1260"/>
      </w:tblGrid>
      <w:tr>
        <w:trPr>
          <w:tblHeader w:val="true"/>
        </w:trPr>
        <w:tc>
          <w:tcPr>
            <w:tcW w:type="dxa" w:w="2700"/>
            <w:vAlign w:val="center"/>
            <w:tcMar>
              <w:top w:w="80" w:type="dxa"/>
              <w:start w:w="120" w:type="dxa"/>
              <w:bottom w:w="80" w:type="dxa"/>
              <w:end w:w="120" w:type="dxa"/>
            </w:tcMar>
            <w:shd w:fill="F2F4F7"/>
          </w:tcPr>
          <w:p>
            <w:pPr>
              <w:spacing w:before="0" w:after="0" w:line="259" w:lineRule="auto"/>
              <w:jc w:val="center"/>
            </w:pPr>
            <w:r/>
            <w:r>
              <w:rPr>
                <w:rFonts w:ascii="Microsoft YaHei" w:hAnsi="Microsoft YaHei" w:eastAsia="Microsoft YaHei"/>
                <w:b/>
                <w:color w:val="17365D"/>
                <w:sz w:val="17"/>
              </w:rPr>
              <w:t>实例ID</w:t>
            </w:r>
          </w:p>
        </w:tc>
        <w:tc>
          <w:tcPr>
            <w:tcW w:type="dxa" w:w="700"/>
            <w:vAlign w:val="center"/>
            <w:tcMar>
              <w:top w:w="80" w:type="dxa"/>
              <w:start w:w="120" w:type="dxa"/>
              <w:bottom w:w="80" w:type="dxa"/>
              <w:end w:w="120" w:type="dxa"/>
            </w:tcMar>
            <w:shd w:fill="F2F4F7"/>
          </w:tcPr>
          <w:p>
            <w:pPr>
              <w:spacing w:before="0" w:after="0" w:line="259" w:lineRule="auto"/>
              <w:jc w:val="center"/>
            </w:pPr>
            <w:r/>
            <w:r>
              <w:rPr>
                <w:rFonts w:ascii="Microsoft YaHei" w:hAnsi="Microsoft YaHei" w:eastAsia="Microsoft YaHei"/>
                <w:b/>
                <w:color w:val="17365D"/>
                <w:sz w:val="17"/>
              </w:rPr>
              <w:t>客户数</w:t>
            </w:r>
          </w:p>
        </w:tc>
        <w:tc>
          <w:tcPr>
            <w:tcW w:type="dxa" w:w="900"/>
            <w:vAlign w:val="center"/>
            <w:tcMar>
              <w:top w:w="80" w:type="dxa"/>
              <w:start w:w="120" w:type="dxa"/>
              <w:bottom w:w="80" w:type="dxa"/>
              <w:end w:w="120" w:type="dxa"/>
            </w:tcMar>
            <w:shd w:fill="F2F4F7"/>
          </w:tcPr>
          <w:p>
            <w:pPr>
              <w:spacing w:before="0" w:after="0" w:line="259" w:lineRule="auto"/>
              <w:jc w:val="center"/>
            </w:pPr>
            <w:r/>
            <w:r>
              <w:rPr>
                <w:rFonts w:ascii="Microsoft YaHei" w:hAnsi="Microsoft YaHei" w:eastAsia="Microsoft YaHei"/>
                <w:b/>
                <w:color w:val="17365D"/>
                <w:sz w:val="17"/>
              </w:rPr>
              <w:t>容量压力</w:t>
            </w:r>
          </w:p>
        </w:tc>
        <w:tc>
          <w:tcPr>
            <w:tcW w:type="dxa" w:w="700"/>
            <w:vAlign w:val="center"/>
            <w:tcMar>
              <w:top w:w="80" w:type="dxa"/>
              <w:start w:w="120" w:type="dxa"/>
              <w:bottom w:w="80" w:type="dxa"/>
              <w:end w:w="120" w:type="dxa"/>
            </w:tcMar>
            <w:shd w:fill="F2F4F7"/>
          </w:tcPr>
          <w:p>
            <w:pPr>
              <w:spacing w:before="0" w:after="0" w:line="259" w:lineRule="auto"/>
              <w:jc w:val="center"/>
            </w:pPr>
            <w:r/>
            <w:r>
              <w:rPr>
                <w:rFonts w:ascii="Microsoft YaHei" w:hAnsi="Microsoft YaHei" w:eastAsia="Microsoft YaHei"/>
                <w:b/>
                <w:color w:val="17365D"/>
                <w:sz w:val="17"/>
              </w:rPr>
              <w:t>容量</w:t>
            </w:r>
          </w:p>
        </w:tc>
        <w:tc>
          <w:tcPr>
            <w:tcW w:type="dxa" w:w="3100"/>
            <w:vAlign w:val="center"/>
            <w:tcMar>
              <w:top w:w="80" w:type="dxa"/>
              <w:start w:w="120" w:type="dxa"/>
              <w:bottom w:w="80" w:type="dxa"/>
              <w:end w:w="120" w:type="dxa"/>
            </w:tcMar>
            <w:shd w:fill="F2F4F7"/>
          </w:tcPr>
          <w:p>
            <w:pPr>
              <w:spacing w:before="0" w:after="0" w:line="259" w:lineRule="auto"/>
              <w:jc w:val="center"/>
            </w:pPr>
            <w:r/>
            <w:r>
              <w:rPr>
                <w:rFonts w:ascii="Microsoft YaHei" w:hAnsi="Microsoft YaHei" w:eastAsia="Microsoft YaHei"/>
                <w:b/>
                <w:color w:val="17365D"/>
                <w:sz w:val="17"/>
              </w:rPr>
              <w:t>固定后端</w:t>
            </w:r>
          </w:p>
        </w:tc>
        <w:tc>
          <w:tcPr>
            <w:tcW w:type="dxa" w:w="1260"/>
            <w:vAlign w:val="center"/>
            <w:tcMar>
              <w:top w:w="80" w:type="dxa"/>
              <w:start w:w="120" w:type="dxa"/>
              <w:bottom w:w="80" w:type="dxa"/>
              <w:end w:w="120" w:type="dxa"/>
            </w:tcMar>
            <w:shd w:fill="F2F4F7"/>
          </w:tcPr>
          <w:p>
            <w:pPr>
              <w:spacing w:before="0" w:after="0" w:line="259" w:lineRule="auto"/>
              <w:jc w:val="center"/>
            </w:pPr>
            <w:r/>
            <w:r>
              <w:rPr>
                <w:rFonts w:ascii="Microsoft YaHei" w:hAnsi="Microsoft YaHei" w:eastAsia="Microsoft YaHei"/>
                <w:b/>
                <w:color w:val="17365D"/>
                <w:sz w:val="17"/>
              </w:rPr>
              <w:t>重复</w:t>
            </w:r>
          </w:p>
        </w:tc>
      </w:tr>
      <w:tr>
        <w:tc>
          <w:tcPr>
            <w:tcW w:type="dxa" w:w="27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color w:val="1F2937"/>
                <w:sz w:val="16"/>
              </w:rPr>
              <w:t>seed2026_c4_v2_medium</w:t>
            </w:r>
          </w:p>
        </w:tc>
        <w:tc>
          <w:tcPr>
            <w:tcW w:type="dxa" w:w="7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6"/>
              </w:rPr>
              <w:t>4</w:t>
            </w:r>
          </w:p>
        </w:tc>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6"/>
              </w:rPr>
              <w:t>中等</w:t>
            </w:r>
          </w:p>
        </w:tc>
        <w:tc>
          <w:tcPr>
            <w:tcW w:type="dxa" w:w="7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6"/>
              </w:rPr>
              <w:t>6</w:t>
            </w:r>
          </w:p>
        </w:tc>
        <w:tc>
          <w:tcPr>
            <w:tcW w:type="dxa" w:w="3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6"/>
              </w:rPr>
              <w:t>Baihua / Dongling / Shenglian</w:t>
            </w:r>
          </w:p>
        </w:tc>
        <w:tc>
          <w:tcPr>
            <w:tcW w:type="dxa" w:w="126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6"/>
              </w:rPr>
              <w:t>每后端2次</w:t>
            </w:r>
          </w:p>
        </w:tc>
      </w:tr>
      <w:tr>
        <w:tc>
          <w:tcPr>
            <w:tcW w:type="dxa" w:w="27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color w:val="1F2937"/>
                <w:sz w:val="16"/>
              </w:rPr>
              <w:t>seed2027_c4_v2_tight</w:t>
            </w:r>
          </w:p>
        </w:tc>
        <w:tc>
          <w:tcPr>
            <w:tcW w:type="dxa" w:w="7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6"/>
              </w:rPr>
              <w:t>4</w:t>
            </w:r>
          </w:p>
        </w:tc>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6"/>
              </w:rPr>
              <w:t>紧张</w:t>
            </w:r>
          </w:p>
        </w:tc>
        <w:tc>
          <w:tcPr>
            <w:tcW w:type="dxa" w:w="7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6"/>
              </w:rPr>
              <w:t>6</w:t>
            </w:r>
          </w:p>
        </w:tc>
        <w:tc>
          <w:tcPr>
            <w:tcW w:type="dxa" w:w="3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6"/>
              </w:rPr>
              <w:t>Baihua / Dongling / Shenglian</w:t>
            </w:r>
          </w:p>
        </w:tc>
        <w:tc>
          <w:tcPr>
            <w:tcW w:type="dxa" w:w="126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6"/>
              </w:rPr>
              <w:t>每后端2次</w:t>
            </w:r>
          </w:p>
        </w:tc>
      </w:tr>
      <w:tr>
        <w:tc>
          <w:tcPr>
            <w:tcW w:type="dxa" w:w="27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color w:val="1F2937"/>
                <w:sz w:val="16"/>
              </w:rPr>
              <w:t>seed2026_c6_v2_medium</w:t>
            </w:r>
          </w:p>
        </w:tc>
        <w:tc>
          <w:tcPr>
            <w:tcW w:type="dxa" w:w="7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6"/>
              </w:rPr>
              <w:t>6</w:t>
            </w:r>
          </w:p>
        </w:tc>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6"/>
              </w:rPr>
              <w:t>中等</w:t>
            </w:r>
          </w:p>
        </w:tc>
        <w:tc>
          <w:tcPr>
            <w:tcW w:type="dxa" w:w="7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6"/>
              </w:rPr>
              <w:t>9</w:t>
            </w:r>
          </w:p>
        </w:tc>
        <w:tc>
          <w:tcPr>
            <w:tcW w:type="dxa" w:w="3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6"/>
              </w:rPr>
              <w:t>Baihua / Dongling / Shenglian</w:t>
            </w:r>
          </w:p>
        </w:tc>
        <w:tc>
          <w:tcPr>
            <w:tcW w:type="dxa" w:w="126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6"/>
              </w:rPr>
              <w:t>每后端2次</w:t>
            </w:r>
          </w:p>
        </w:tc>
      </w:tr>
      <w:tr>
        <w:tc>
          <w:tcPr>
            <w:tcW w:type="dxa" w:w="2700"/>
            <w:vAlign w:val="center"/>
            <w:tcMar>
              <w:top w:w="80" w:type="dxa"/>
              <w:start w:w="120" w:type="dxa"/>
              <w:bottom w:w="80" w:type="dxa"/>
              <w:end w:w="120" w:type="dxa"/>
            </w:tcMar>
          </w:tcPr>
          <w:p>
            <w:pPr>
              <w:spacing w:before="0" w:after="0" w:line="259" w:lineRule="auto"/>
              <w:jc w:val="left"/>
            </w:pPr>
            <w:r/>
            <w:r>
              <w:rPr>
                <w:rFonts w:ascii="Microsoft YaHei" w:hAnsi="Microsoft YaHei" w:eastAsia="Microsoft YaHei"/>
                <w:b w:val="0"/>
                <w:color w:val="1F2937"/>
                <w:sz w:val="16"/>
              </w:rPr>
              <w:t>seed2027_c6_v2_tight</w:t>
            </w:r>
          </w:p>
        </w:tc>
        <w:tc>
          <w:tcPr>
            <w:tcW w:type="dxa" w:w="7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6"/>
              </w:rPr>
              <w:t>6</w:t>
            </w:r>
          </w:p>
        </w:tc>
        <w:tc>
          <w:tcPr>
            <w:tcW w:type="dxa" w:w="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6"/>
              </w:rPr>
              <w:t>紧张</w:t>
            </w:r>
          </w:p>
        </w:tc>
        <w:tc>
          <w:tcPr>
            <w:tcW w:type="dxa" w:w="7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6"/>
              </w:rPr>
              <w:t>8</w:t>
            </w:r>
          </w:p>
        </w:tc>
        <w:tc>
          <w:tcPr>
            <w:tcW w:type="dxa" w:w="31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6"/>
              </w:rPr>
              <w:t>Baihua / Dongling / Shenglian</w:t>
            </w:r>
          </w:p>
        </w:tc>
        <w:tc>
          <w:tcPr>
            <w:tcW w:type="dxa" w:w="126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6"/>
              </w:rPr>
              <w:t>每后端2次</w:t>
            </w:r>
          </w:p>
        </w:tc>
      </w:tr>
    </w:tbl>
    <w:p>
      <w:pPr>
        <w:keepNext w:val="0"/>
        <w:spacing w:before="0" w:after="0" w:line="264" w:lineRule="auto"/>
        <w:jc w:val="left"/>
      </w:pPr>
      <w:r>
        <w:rPr>
          <w:rFonts w:ascii="Microsoft YaHei" w:hAnsi="Microsoft YaHei" w:eastAsia="Microsoft YaHei"/>
          <w:b w:val="0"/>
          <w:color w:val="1F2937"/>
          <w:sz w:val="22"/>
        </w:rPr>
        <w:t>完整证据包括任务ID、计数分布、脱敏原始响应、逻辑QASM、客户顺序、冻结哈希、依赖快照、时间戳、队列/轮询字段和编译选项。正式分析只接纳source=hardware且状态为COMPLETED的数据。</w:t>
      </w:r>
    </w:p>
    <w:p>
      <w:pPr>
        <w:pStyle w:val="Heading1"/>
        <w:keepNext/>
      </w:pPr>
      <w:r>
        <w:rPr>
          <w:rFonts w:ascii="Microsoft YaHei" w:hAnsi="Microsoft YaHei" w:eastAsia="Microsoft YaHei"/>
          <w:b/>
          <w:color w:val="2E74B5"/>
        </w:rPr>
        <w:t>三、量子候选质量结果</w:t>
      </w:r>
    </w:p>
    <w:p>
      <w:pPr>
        <w:keepNext w:val="0"/>
        <w:spacing w:before="0" w:after="120" w:line="264" w:lineRule="auto"/>
        <w:jc w:val="left"/>
      </w:pPr>
      <w:r>
        <w:rPr>
          <w:rFonts w:ascii="Microsoft YaHei" w:hAnsi="Microsoft YaHei" w:eastAsia="Microsoft YaHei"/>
          <w:b w:val="0"/>
          <w:color w:val="1F2937"/>
          <w:sz w:val="22"/>
        </w:rPr>
        <w:t>真机质量命中率QHR衡量采样结果进入预声明低能量可行区域的频率。24任务QHR均值为0.161011，冻结均匀随机参考均值为0.226562；配对差值均值为-0.065552，95%任务级Bootstrap置信区间为[-0.079427, -0.051514]。24个任务中没有任何任务的真机QHR超过随机参考。</w:t>
      </w:r>
    </w:p>
    <w:p>
      <w:pPr>
        <w:keepLines/>
        <w:spacing w:before="80" w:after="40"/>
        <w:jc w:val="center"/>
      </w:pPr>
      <w:r>
        <w:drawing>
          <wp:inline xmlns:a="http://schemas.openxmlformats.org/drawingml/2006/main" xmlns:pic="http://schemas.openxmlformats.org/drawingml/2006/picture">
            <wp:extent cx="5623560" cy="3163252"/>
            <wp:docPr id="1" name="Picture 1" descr="图1  逐任务真机质量命中率与冻结随机参考。" title="图1"/>
            <wp:cNvGraphicFramePr>
              <a:graphicFrameLocks noChangeAspect="1"/>
            </wp:cNvGraphicFramePr>
            <a:graphic>
              <a:graphicData uri="http://schemas.openxmlformats.org/drawingml/2006/picture">
                <pic:pic>
                  <pic:nvPicPr>
                    <pic:cNvPr id="0" name="图1_逐任务量子与随机命中率.png"/>
                    <pic:cNvPicPr/>
                  </pic:nvPicPr>
                  <pic:blipFill>
                    <a:blip r:embed="rId11"/>
                    <a:stretch>
                      <a:fillRect/>
                    </a:stretch>
                  </pic:blipFill>
                  <pic:spPr>
                    <a:xfrm>
                      <a:off x="0" y="0"/>
                      <a:ext cx="5623560" cy="3163252"/>
                    </a:xfrm>
                    <a:prstGeom prst="rect"/>
                  </pic:spPr>
                </pic:pic>
              </a:graphicData>
            </a:graphic>
          </wp:inline>
        </w:drawing>
      </w:r>
    </w:p>
    <w:p>
      <w:pPr>
        <w:keepNext w:val="0"/>
        <w:spacing w:before="60" w:after="160" w:line="264" w:lineRule="auto"/>
        <w:jc w:val="center"/>
      </w:pPr>
      <w:r>
        <w:rPr>
          <w:rFonts w:ascii="Microsoft YaHei" w:hAnsi="Microsoft YaHei" w:eastAsia="Microsoft YaHei"/>
          <w:b w:val="0"/>
          <w:i/>
          <w:color w:val="667085"/>
          <w:sz w:val="18"/>
        </w:rPr>
        <w:t>图1  逐任务真机质量命中率与冻结随机参考。</w:t>
      </w:r>
    </w:p>
    <w:p>
      <w:r>
        <w:br w:type="page"/>
      </w:r>
    </w:p>
    <w:p>
      <w:pPr>
        <w:pStyle w:val="Heading1"/>
        <w:keepNext/>
      </w:pPr>
      <w:r>
        <w:rPr>
          <w:rFonts w:ascii="Microsoft YaHei" w:hAnsi="Microsoft YaHei" w:eastAsia="Microsoft YaHei"/>
          <w:b/>
          <w:color w:val="2E74B5"/>
        </w:rPr>
        <w:t>四、后端分层结果</w:t>
      </w:r>
    </w:p>
    <w:p>
      <w:pPr>
        <w:keepNext w:val="0"/>
        <w:spacing w:before="0" w:after="120" w:line="264" w:lineRule="auto"/>
        <w:jc w:val="left"/>
      </w:pPr>
      <w:r>
        <w:rPr>
          <w:rFonts w:ascii="Microsoft YaHei" w:hAnsi="Microsoft YaHei" w:eastAsia="Microsoft YaHei"/>
          <w:b w:val="0"/>
          <w:color w:val="1F2937"/>
          <w:sz w:val="22"/>
        </w:rPr>
        <w:t>三个后端均完成8个正式任务。后端分层仅作描述，不作为芯片优劣排名，因为本实验并未针对后端差异进行统计功效设计。</w:t>
      </w:r>
    </w:p>
    <w:tbl>
      <w:tblPr>
        <w:tblW w:type="dxa" w:w="9360"/>
        <w:tblLayout w:type="fixed"/>
        <w:tblLook w:firstColumn="1" w:firstRow="1" w:lastColumn="0" w:lastRow="0" w:noHBand="0" w:noVBand="1" w:val="04A0"/>
        <w:jc w:val="left"/>
        <w:tblInd w:w="120" w:type="dxa"/>
      </w:tblPr>
      <w:tblGrid>
        <w:gridCol w:w="1700"/>
        <w:gridCol w:w="1000"/>
        <w:gridCol w:w="2200"/>
        <w:gridCol w:w="2200"/>
        <w:gridCol w:w="2260"/>
      </w:tblGrid>
      <w:tr>
        <w:trPr>
          <w:tblHeader w:val="true"/>
        </w:trPr>
        <w:tc>
          <w:tcPr>
            <w:tcW w:type="dxa" w:w="1700"/>
            <w:vAlign w:val="center"/>
            <w:tcMar>
              <w:top w:w="80" w:type="dxa"/>
              <w:start w:w="120" w:type="dxa"/>
              <w:bottom w:w="80" w:type="dxa"/>
              <w:end w:w="120" w:type="dxa"/>
            </w:tcMar>
            <w:shd w:fill="F2F4F7"/>
          </w:tcPr>
          <w:p>
            <w:pPr>
              <w:spacing w:before="0" w:after="0" w:line="259" w:lineRule="auto"/>
              <w:jc w:val="center"/>
            </w:pPr>
            <w:r/>
            <w:r>
              <w:rPr>
                <w:rFonts w:ascii="Microsoft YaHei" w:hAnsi="Microsoft YaHei" w:eastAsia="Microsoft YaHei"/>
                <w:b/>
                <w:color w:val="17365D"/>
                <w:sz w:val="17"/>
              </w:rPr>
              <w:t>后端</w:t>
            </w:r>
          </w:p>
        </w:tc>
        <w:tc>
          <w:tcPr>
            <w:tcW w:type="dxa" w:w="1000"/>
            <w:vAlign w:val="center"/>
            <w:tcMar>
              <w:top w:w="80" w:type="dxa"/>
              <w:start w:w="120" w:type="dxa"/>
              <w:bottom w:w="80" w:type="dxa"/>
              <w:end w:w="120" w:type="dxa"/>
            </w:tcMar>
            <w:shd w:fill="F2F4F7"/>
          </w:tcPr>
          <w:p>
            <w:pPr>
              <w:spacing w:before="0" w:after="0" w:line="259" w:lineRule="auto"/>
              <w:jc w:val="center"/>
            </w:pPr>
            <w:r/>
            <w:r>
              <w:rPr>
                <w:rFonts w:ascii="Microsoft YaHei" w:hAnsi="Microsoft YaHei" w:eastAsia="Microsoft YaHei"/>
                <w:b/>
                <w:color w:val="17365D"/>
                <w:sz w:val="17"/>
              </w:rPr>
              <w:t>任务数</w:t>
            </w:r>
          </w:p>
        </w:tc>
        <w:tc>
          <w:tcPr>
            <w:tcW w:type="dxa" w:w="2200"/>
            <w:vAlign w:val="center"/>
            <w:tcMar>
              <w:top w:w="80" w:type="dxa"/>
              <w:start w:w="120" w:type="dxa"/>
              <w:bottom w:w="80" w:type="dxa"/>
              <w:end w:w="120" w:type="dxa"/>
            </w:tcMar>
            <w:shd w:fill="F2F4F7"/>
          </w:tcPr>
          <w:p>
            <w:pPr>
              <w:spacing w:before="0" w:after="0" w:line="259" w:lineRule="auto"/>
              <w:jc w:val="center"/>
            </w:pPr>
            <w:r/>
            <w:r>
              <w:rPr>
                <w:rFonts w:ascii="Microsoft YaHei" w:hAnsi="Microsoft YaHei" w:eastAsia="Microsoft YaHei"/>
                <w:b/>
                <w:color w:val="17365D"/>
                <w:sz w:val="17"/>
              </w:rPr>
              <w:t>真机QHR均值</w:t>
            </w:r>
          </w:p>
        </w:tc>
        <w:tc>
          <w:tcPr>
            <w:tcW w:type="dxa" w:w="2200"/>
            <w:vAlign w:val="center"/>
            <w:tcMar>
              <w:top w:w="80" w:type="dxa"/>
              <w:start w:w="120" w:type="dxa"/>
              <w:bottom w:w="80" w:type="dxa"/>
              <w:end w:w="120" w:type="dxa"/>
            </w:tcMar>
            <w:shd w:fill="F2F4F7"/>
          </w:tcPr>
          <w:p>
            <w:pPr>
              <w:spacing w:before="0" w:after="0" w:line="259" w:lineRule="auto"/>
              <w:jc w:val="center"/>
            </w:pPr>
            <w:r/>
            <w:r>
              <w:rPr>
                <w:rFonts w:ascii="Microsoft YaHei" w:hAnsi="Microsoft YaHei" w:eastAsia="Microsoft YaHei"/>
                <w:b/>
                <w:color w:val="17365D"/>
                <w:sz w:val="17"/>
              </w:rPr>
              <w:t>随机参考均值</w:t>
            </w:r>
          </w:p>
        </w:tc>
        <w:tc>
          <w:tcPr>
            <w:tcW w:type="dxa" w:w="2260"/>
            <w:vAlign w:val="center"/>
            <w:tcMar>
              <w:top w:w="80" w:type="dxa"/>
              <w:start w:w="120" w:type="dxa"/>
              <w:bottom w:w="80" w:type="dxa"/>
              <w:end w:w="120" w:type="dxa"/>
            </w:tcMar>
            <w:shd w:fill="F2F4F7"/>
          </w:tcPr>
          <w:p>
            <w:pPr>
              <w:spacing w:before="0" w:after="0" w:line="259" w:lineRule="auto"/>
              <w:jc w:val="center"/>
            </w:pPr>
            <w:r/>
            <w:r>
              <w:rPr>
                <w:rFonts w:ascii="Microsoft YaHei" w:hAnsi="Microsoft YaHei" w:eastAsia="Microsoft YaHei"/>
                <w:b/>
                <w:color w:val="17365D"/>
                <w:sz w:val="17"/>
              </w:rPr>
              <w:t>量子-随机均值</w:t>
            </w:r>
          </w:p>
        </w:tc>
      </w:tr>
      <w:tr>
        <w:tc>
          <w:tcPr>
            <w:tcW w:type="dxa" w:w="17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7"/>
              </w:rPr>
              <w:t>Baihua</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7"/>
              </w:rPr>
              <w:t>8</w:t>
            </w:r>
          </w:p>
        </w:tc>
        <w:tc>
          <w:tcPr>
            <w:tcW w:type="dxa" w:w="2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7"/>
              </w:rPr>
              <w:t>0.147461</w:t>
            </w:r>
          </w:p>
        </w:tc>
        <w:tc>
          <w:tcPr>
            <w:tcW w:type="dxa" w:w="2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7"/>
              </w:rPr>
              <w:t>0.226562</w:t>
            </w:r>
          </w:p>
        </w:tc>
        <w:tc>
          <w:tcPr>
            <w:tcW w:type="dxa" w:w="226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7"/>
              </w:rPr>
              <w:t>-0.079102</w:t>
            </w:r>
          </w:p>
        </w:tc>
      </w:tr>
      <w:tr>
        <w:tc>
          <w:tcPr>
            <w:tcW w:type="dxa" w:w="17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7"/>
              </w:rPr>
              <w:t>Dongling</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7"/>
              </w:rPr>
              <w:t>8</w:t>
            </w:r>
          </w:p>
        </w:tc>
        <w:tc>
          <w:tcPr>
            <w:tcW w:type="dxa" w:w="2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7"/>
              </w:rPr>
              <w:t>0.182251</w:t>
            </w:r>
          </w:p>
        </w:tc>
        <w:tc>
          <w:tcPr>
            <w:tcW w:type="dxa" w:w="2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7"/>
              </w:rPr>
              <w:t>0.226562</w:t>
            </w:r>
          </w:p>
        </w:tc>
        <w:tc>
          <w:tcPr>
            <w:tcW w:type="dxa" w:w="226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7"/>
              </w:rPr>
              <w:t>-0.044312</w:t>
            </w:r>
          </w:p>
        </w:tc>
      </w:tr>
      <w:tr>
        <w:tc>
          <w:tcPr>
            <w:tcW w:type="dxa" w:w="17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7"/>
              </w:rPr>
              <w:t>Shenglian</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7"/>
              </w:rPr>
              <w:t>8</w:t>
            </w:r>
          </w:p>
        </w:tc>
        <w:tc>
          <w:tcPr>
            <w:tcW w:type="dxa" w:w="2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7"/>
              </w:rPr>
              <w:t>0.153320</w:t>
            </w:r>
          </w:p>
        </w:tc>
        <w:tc>
          <w:tcPr>
            <w:tcW w:type="dxa" w:w="22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7"/>
              </w:rPr>
              <w:t>0.226562</w:t>
            </w:r>
          </w:p>
        </w:tc>
        <w:tc>
          <w:tcPr>
            <w:tcW w:type="dxa" w:w="226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7"/>
              </w:rPr>
              <w:t>-0.073242</w:t>
            </w:r>
          </w:p>
        </w:tc>
      </w:tr>
    </w:tbl>
    <w:p>
      <w:pPr>
        <w:keepLines/>
        <w:spacing w:before="80" w:after="40"/>
        <w:jc w:val="center"/>
      </w:pPr>
      <w:r>
        <w:drawing>
          <wp:inline xmlns:a="http://schemas.openxmlformats.org/drawingml/2006/main" xmlns:pic="http://schemas.openxmlformats.org/drawingml/2006/picture">
            <wp:extent cx="5623560" cy="3163252"/>
            <wp:docPr id="2" name="Picture 2" descr="图2  各后端真机QHR与随机参考的描述性比较。" title="图2"/>
            <wp:cNvGraphicFramePr>
              <a:graphicFrameLocks noChangeAspect="1"/>
            </wp:cNvGraphicFramePr>
            <a:graphic>
              <a:graphicData uri="http://schemas.openxmlformats.org/drawingml/2006/picture">
                <pic:pic>
                  <pic:nvPicPr>
                    <pic:cNvPr id="0" name="图2_按后端质量命中率.png"/>
                    <pic:cNvPicPr/>
                  </pic:nvPicPr>
                  <pic:blipFill>
                    <a:blip r:embed="rId12"/>
                    <a:stretch>
                      <a:fillRect/>
                    </a:stretch>
                  </pic:blipFill>
                  <pic:spPr>
                    <a:xfrm>
                      <a:off x="0" y="0"/>
                      <a:ext cx="5623560" cy="3163252"/>
                    </a:xfrm>
                    <a:prstGeom prst="rect"/>
                  </pic:spPr>
                </pic:pic>
              </a:graphicData>
            </a:graphic>
          </wp:inline>
        </w:drawing>
      </w:r>
    </w:p>
    <w:p>
      <w:pPr>
        <w:keepNext w:val="0"/>
        <w:spacing w:before="60" w:after="160" w:line="264" w:lineRule="auto"/>
        <w:jc w:val="center"/>
      </w:pPr>
      <w:r>
        <w:rPr>
          <w:rFonts w:ascii="Microsoft YaHei" w:hAnsi="Microsoft YaHei" w:eastAsia="Microsoft YaHei"/>
          <w:b w:val="0"/>
          <w:i/>
          <w:color w:val="667085"/>
          <w:sz w:val="18"/>
        </w:rPr>
        <w:t>图2  各后端真机QHR与随机参考的描述性比较。</w:t>
      </w:r>
    </w:p>
    <w:p>
      <w:r>
        <w:br w:type="page"/>
      </w:r>
    </w:p>
    <w:p>
      <w:pPr>
        <w:pStyle w:val="Heading1"/>
        <w:keepNext/>
      </w:pPr>
      <w:r>
        <w:rPr>
          <w:rFonts w:ascii="Microsoft YaHei" w:hAnsi="Microsoft YaHei" w:eastAsia="Microsoft YaHei"/>
          <w:b/>
          <w:color w:val="2E74B5"/>
        </w:rPr>
        <w:t>五、真机BQM能量是否胜出</w:t>
      </w:r>
    </w:p>
    <w:p>
      <w:pPr>
        <w:keepNext w:val="0"/>
        <w:spacing w:before="0" w:after="120" w:line="264" w:lineRule="auto"/>
        <w:jc w:val="left"/>
      </w:pPr>
      <w:r>
        <w:rPr>
          <w:rFonts w:ascii="Microsoft YaHei" w:hAnsi="Microsoft YaHei" w:eastAsia="Microsoft YaHei"/>
          <w:b w:val="0"/>
          <w:color w:val="1F2937"/>
          <w:sz w:val="22"/>
        </w:rPr>
        <w:t>需要区分“命中最优能量”和“严格击败经典方法”。best_gap定义为真机测得候选能量与该实例精确全局最优BQM能量之差。24个任务的best_gap均为0，因此每个任务至少有一个真机比特串命中全局最优BQM能量。</w:t>
      </w:r>
    </w:p>
    <w:p>
      <w:pPr>
        <w:keepNext w:val="0"/>
        <w:spacing w:before="0" w:after="120" w:line="264" w:lineRule="auto"/>
        <w:jc w:val="left"/>
      </w:pPr>
      <w:r>
        <w:rPr>
          <w:rFonts w:ascii="Microsoft YaHei" w:hAnsi="Microsoft YaHei" w:eastAsia="Microsoft YaHei"/>
          <w:b w:val="0"/>
          <w:color w:val="1F2937"/>
          <w:sz w:val="22"/>
        </w:rPr>
        <w:t>但严格改进率在24个任务中全部为0。结合best_gap=0，这说明同预算可行经典候选也已经达到相同的全局最优BQM能量；真机只能与经典最优打平，无法得到更低能量。在C+Q内部选择中，量子候选有11/24次成为最终来源，但这些属于相同能量或后续来源/排名规则下的选择，不能表述为严格能量胜出。</w:t>
      </w:r>
    </w:p>
    <w:p>
      <w:pPr>
        <w:keepLines/>
        <w:spacing w:before="80" w:after="40"/>
        <w:jc w:val="center"/>
      </w:pPr>
      <w:r>
        <w:drawing>
          <wp:inline xmlns:a="http://schemas.openxmlformats.org/drawingml/2006/main" xmlns:pic="http://schemas.openxmlformats.org/drawingml/2006/picture">
            <wp:extent cx="5623560" cy="3163252"/>
            <wp:docPr id="3" name="Picture 3" descr="图3  最优BQM能量命中、严格能量胜出、量子来源选择和路线改善的任务计数。" title="图3"/>
            <wp:cNvGraphicFramePr>
              <a:graphicFrameLocks noChangeAspect="1"/>
            </wp:cNvGraphicFramePr>
            <a:graphic>
              <a:graphicData uri="http://schemas.openxmlformats.org/drawingml/2006/picture">
                <pic:pic>
                  <pic:nvPicPr>
                    <pic:cNvPr id="0" name="图3_BQM能量结果总览.png"/>
                    <pic:cNvPicPr/>
                  </pic:nvPicPr>
                  <pic:blipFill>
                    <a:blip r:embed="rId13"/>
                    <a:stretch>
                      <a:fillRect/>
                    </a:stretch>
                  </pic:blipFill>
                  <pic:spPr>
                    <a:xfrm>
                      <a:off x="0" y="0"/>
                      <a:ext cx="5623560" cy="3163252"/>
                    </a:xfrm>
                    <a:prstGeom prst="rect"/>
                  </pic:spPr>
                </pic:pic>
              </a:graphicData>
            </a:graphic>
          </wp:inline>
        </w:drawing>
      </w:r>
    </w:p>
    <w:p>
      <w:pPr>
        <w:keepNext w:val="0"/>
        <w:spacing w:before="60" w:after="160" w:line="264" w:lineRule="auto"/>
        <w:jc w:val="center"/>
      </w:pPr>
      <w:r>
        <w:rPr>
          <w:rFonts w:ascii="Microsoft YaHei" w:hAnsi="Microsoft YaHei" w:eastAsia="Microsoft YaHei"/>
          <w:b w:val="0"/>
          <w:i/>
          <w:color w:val="667085"/>
          <w:sz w:val="18"/>
        </w:rPr>
        <w:t>图3  最优BQM能量命中、严格能量胜出、量子来源选择和路线改善的任务计数。</w:t>
      </w:r>
    </w:p>
    <w:p>
      <w:r>
        <w:br w:type="page"/>
      </w:r>
    </w:p>
    <w:p>
      <w:pPr>
        <w:pStyle w:val="Heading1"/>
        <w:keepNext/>
      </w:pPr>
      <w:r>
        <w:rPr>
          <w:rFonts w:ascii="Microsoft YaHei" w:hAnsi="Microsoft YaHei" w:eastAsia="Microsoft YaHei"/>
          <w:b/>
          <w:color w:val="2E74B5"/>
        </w:rPr>
        <w:t>六、经典阈值达到情况</w:t>
      </w:r>
    </w:p>
    <w:p>
      <w:pPr>
        <w:keepNext w:val="0"/>
        <w:spacing w:before="0" w:after="120" w:line="264" w:lineRule="auto"/>
        <w:jc w:val="left"/>
      </w:pPr>
      <w:r>
        <w:rPr>
          <w:rFonts w:ascii="Microsoft YaHei" w:hAnsi="Microsoft YaHei" w:eastAsia="Microsoft YaHei"/>
          <w:b w:val="0"/>
          <w:color w:val="1F2937"/>
          <w:sz w:val="22"/>
        </w:rPr>
        <w:t>真机样本在每个任务中都以较低正比率达到或等于同预算可行经典阈值，整体平均达到率为0.050252；但没有样本严格低于该阈值。达到阈值代表候选质量与经典最好值相当，不代表量子方法击败经典方法。</w:t>
      </w:r>
    </w:p>
    <w:p>
      <w:pPr>
        <w:keepLines/>
        <w:spacing w:before="80" w:after="40"/>
        <w:jc w:val="center"/>
      </w:pPr>
      <w:r>
        <w:drawing>
          <wp:inline xmlns:a="http://schemas.openxmlformats.org/drawingml/2006/main" xmlns:pic="http://schemas.openxmlformats.org/drawingml/2006/picture">
            <wp:extent cx="5623560" cy="3163252"/>
            <wp:docPr id="4" name="Picture 4" descr="图4  四个冻结实例的经典阈值达到率和严格改进率。" title="图4"/>
            <wp:cNvGraphicFramePr>
              <a:graphicFrameLocks noChangeAspect="1"/>
            </wp:cNvGraphicFramePr>
            <a:graphic>
              <a:graphicData uri="http://schemas.openxmlformats.org/drawingml/2006/picture">
                <pic:pic>
                  <pic:nvPicPr>
                    <pic:cNvPr id="0" name="图4_经典阈值达到率与严格改进率.png"/>
                    <pic:cNvPicPr/>
                  </pic:nvPicPr>
                  <pic:blipFill>
                    <a:blip r:embed="rId14"/>
                    <a:stretch>
                      <a:fillRect/>
                    </a:stretch>
                  </pic:blipFill>
                  <pic:spPr>
                    <a:xfrm>
                      <a:off x="0" y="0"/>
                      <a:ext cx="5623560" cy="3163252"/>
                    </a:xfrm>
                    <a:prstGeom prst="rect"/>
                  </pic:spPr>
                </pic:pic>
              </a:graphicData>
            </a:graphic>
          </wp:inline>
        </w:drawing>
      </w:r>
    </w:p>
    <w:p>
      <w:pPr>
        <w:keepNext w:val="0"/>
        <w:spacing w:before="60" w:after="160" w:line="264" w:lineRule="auto"/>
        <w:jc w:val="center"/>
      </w:pPr>
      <w:r>
        <w:rPr>
          <w:rFonts w:ascii="Microsoft YaHei" w:hAnsi="Microsoft YaHei" w:eastAsia="Microsoft YaHei"/>
          <w:b w:val="0"/>
          <w:i/>
          <w:color w:val="667085"/>
          <w:sz w:val="18"/>
        </w:rPr>
        <w:t>图4  四个冻结实例的经典阈值达到率和严格改进率。</w:t>
      </w:r>
    </w:p>
    <w:p>
      <w:r>
        <w:br w:type="page"/>
      </w:r>
    </w:p>
    <w:p>
      <w:pPr>
        <w:pStyle w:val="Heading1"/>
        <w:keepNext/>
      </w:pPr>
      <w:r>
        <w:rPr>
          <w:rFonts w:ascii="Microsoft YaHei" w:hAnsi="Microsoft YaHei" w:eastAsia="Microsoft YaHei"/>
          <w:b/>
          <w:color w:val="2E74B5"/>
        </w:rPr>
        <w:t>七、公平混合路线贡献</w:t>
      </w:r>
    </w:p>
    <w:p>
      <w:pPr>
        <w:keepNext w:val="0"/>
        <w:spacing w:before="0" w:after="120" w:line="264" w:lineRule="auto"/>
        <w:jc w:val="left"/>
      </w:pPr>
      <w:r>
        <w:rPr>
          <w:rFonts w:ascii="Microsoft YaHei" w:hAnsi="Microsoft YaHei" w:eastAsia="Microsoft YaHei"/>
          <w:b w:val="0"/>
          <w:color w:val="1F2937"/>
          <w:sz w:val="22"/>
        </w:rPr>
        <w:t>公平比较中，C、C+R和C+Q使用相同总候选预算；C+R与C+Q共享完全相同的经典子集，仅将另外一半候选替换为随机候选或真机量子候选。所有候选经过相同的BQM评价、容量修复、路线构造、2-opt和最终选择。</w:t>
      </w:r>
    </w:p>
    <w:p>
      <w:pPr>
        <w:keepNext w:val="0"/>
        <w:spacing w:before="0" w:after="120" w:line="264" w:lineRule="auto"/>
        <w:jc w:val="left"/>
      </w:pPr>
      <w:r>
        <w:rPr>
          <w:rFonts w:ascii="Microsoft YaHei" w:hAnsi="Microsoft YaHei" w:eastAsia="Microsoft YaHei"/>
          <w:b w:val="0"/>
          <w:color w:val="1F2937"/>
          <w:sz w:val="22"/>
        </w:rPr>
        <w:t>24个任务的D_C+R-D_C+Q和D_C-D_C+Q均为0。换言之，真机量子候选没有在任何任务中缩短最终路线。量子来源在11个任务中被选中，说明其能够提供与最佳候选相同等级的种子，但没有产生可报告的路线距离增量。</w:t>
      </w:r>
    </w:p>
    <w:p>
      <w:pPr>
        <w:keepLines/>
        <w:spacing w:before="80" w:after="40"/>
        <w:jc w:val="center"/>
      </w:pPr>
      <w:r>
        <w:drawing>
          <wp:inline xmlns:a="http://schemas.openxmlformats.org/drawingml/2006/main" xmlns:pic="http://schemas.openxmlformats.org/drawingml/2006/picture">
            <wp:extent cx="5623560" cy="3163252"/>
            <wp:docPr id="5" name="Picture 5" descr="图5  24个任务的C+Q路线距离增量；所有点均位于0。" title="图5"/>
            <wp:cNvGraphicFramePr>
              <a:graphicFrameLocks noChangeAspect="1"/>
            </wp:cNvGraphicFramePr>
            <a:graphic>
              <a:graphicData uri="http://schemas.openxmlformats.org/drawingml/2006/picture">
                <pic:pic>
                  <pic:nvPicPr>
                    <pic:cNvPr id="0" name="图5_混合路线距离增量.png"/>
                    <pic:cNvPicPr/>
                  </pic:nvPicPr>
                  <pic:blipFill>
                    <a:blip r:embed="rId15"/>
                    <a:stretch>
                      <a:fillRect/>
                    </a:stretch>
                  </pic:blipFill>
                  <pic:spPr>
                    <a:xfrm>
                      <a:off x="0" y="0"/>
                      <a:ext cx="5623560" cy="3163252"/>
                    </a:xfrm>
                    <a:prstGeom prst="rect"/>
                  </pic:spPr>
                </pic:pic>
              </a:graphicData>
            </a:graphic>
          </wp:inline>
        </w:drawing>
      </w:r>
    </w:p>
    <w:p>
      <w:pPr>
        <w:keepNext w:val="0"/>
        <w:spacing w:before="60" w:after="160" w:line="264" w:lineRule="auto"/>
        <w:jc w:val="center"/>
      </w:pPr>
      <w:r>
        <w:rPr>
          <w:rFonts w:ascii="Microsoft YaHei" w:hAnsi="Microsoft YaHei" w:eastAsia="Microsoft YaHei"/>
          <w:b w:val="0"/>
          <w:i/>
          <w:color w:val="667085"/>
          <w:sz w:val="18"/>
        </w:rPr>
        <w:t>图5  24个任务的C+Q路线距离增量；所有点均位于0。</w:t>
      </w:r>
    </w:p>
    <w:p>
      <w:r>
        <w:br w:type="page"/>
      </w:r>
    </w:p>
    <w:p>
      <w:pPr>
        <w:pStyle w:val="Heading1"/>
        <w:keepNext/>
      </w:pPr>
      <w:r>
        <w:rPr>
          <w:rFonts w:ascii="Microsoft YaHei" w:hAnsi="Microsoft YaHei" w:eastAsia="Microsoft YaHei"/>
          <w:b/>
          <w:color w:val="2E74B5"/>
        </w:rPr>
        <w:t>八、最终结论与声明边界</w:t>
      </w:r>
    </w:p>
    <w:p>
      <w:pPr>
        <w:pStyle w:val="Heading2"/>
        <w:keepNext/>
      </w:pPr>
      <w:r>
        <w:rPr>
          <w:rFonts w:ascii="Microsoft YaHei" w:hAnsi="Microsoft YaHei" w:eastAsia="Microsoft YaHei"/>
          <w:b/>
          <w:color w:val="2E74B5"/>
        </w:rPr>
        <w:t>8.1 可以报告的结论</w:t>
      </w:r>
    </w:p>
    <w:p>
      <w:pPr>
        <w:keepNext w:val="0"/>
        <w:spacing w:before="0" w:after="120" w:line="264" w:lineRule="auto"/>
        <w:jc w:val="left"/>
      </w:pPr>
      <w:r>
        <w:rPr>
          <w:rFonts w:ascii="Microsoft YaHei" w:hAnsi="Microsoft YaHei" w:eastAsia="Microsoft YaHei"/>
          <w:b w:val="0"/>
          <w:color w:val="1F2937"/>
          <w:sz w:val="22"/>
        </w:rPr>
        <w:t>本次正式24任务真实硬件矩阵完整执行并通过严格验证。</w:t>
      </w:r>
    </w:p>
    <w:p>
      <w:pPr>
        <w:keepNext w:val="0"/>
        <w:spacing w:before="0" w:after="120" w:line="264" w:lineRule="auto"/>
        <w:jc w:val="left"/>
      </w:pPr>
      <w:r>
        <w:rPr>
          <w:rFonts w:ascii="Microsoft YaHei" w:hAnsi="Microsoft YaHei" w:eastAsia="Microsoft YaHei"/>
          <w:b w:val="0"/>
          <w:color w:val="1F2937"/>
          <w:sz w:val="22"/>
        </w:rPr>
        <w:t>真机在所有任务中均命中过全局最优BQM能量，但未严格优于同预算经典阈值。</w:t>
      </w:r>
    </w:p>
    <w:p>
      <w:pPr>
        <w:keepNext w:val="0"/>
        <w:spacing w:before="0" w:after="120" w:line="264" w:lineRule="auto"/>
        <w:jc w:val="left"/>
      </w:pPr>
      <w:r>
        <w:rPr>
          <w:rFonts w:ascii="Microsoft YaHei" w:hAnsi="Microsoft YaHei" w:eastAsia="Microsoft YaHei"/>
          <w:b w:val="0"/>
          <w:color w:val="1F2937"/>
          <w:sz w:val="22"/>
        </w:rPr>
        <w:t>真机QHR在24/24任务中低于冻结随机参考，未显示稳定的候选质量增益。</w:t>
      </w:r>
    </w:p>
    <w:p>
      <w:pPr>
        <w:keepNext w:val="0"/>
        <w:spacing w:before="0" w:after="120" w:line="264" w:lineRule="auto"/>
        <w:jc w:val="left"/>
      </w:pPr>
      <w:r>
        <w:rPr>
          <w:rFonts w:ascii="Microsoft YaHei" w:hAnsi="Microsoft YaHei" w:eastAsia="Microsoft YaHei"/>
          <w:b w:val="0"/>
          <w:color w:val="1F2937"/>
          <w:sz w:val="22"/>
        </w:rPr>
        <w:t>C+Q没有在任何任务中改善最终路线距离。</w:t>
      </w:r>
    </w:p>
    <w:p>
      <w:pPr>
        <w:pStyle w:val="Heading2"/>
        <w:keepNext/>
      </w:pPr>
      <w:r>
        <w:rPr>
          <w:rFonts w:ascii="Microsoft YaHei" w:hAnsi="Microsoft YaHei" w:eastAsia="Microsoft YaHei"/>
          <w:b/>
          <w:color w:val="2E74B5"/>
        </w:rPr>
        <w:t>8.2 不应报告的结论</w:t>
      </w:r>
    </w:p>
    <w:p>
      <w:pPr>
        <w:keepNext w:val="0"/>
        <w:spacing w:before="0" w:after="120" w:line="264" w:lineRule="auto"/>
        <w:jc w:val="left"/>
      </w:pPr>
      <w:r>
        <w:rPr>
          <w:rFonts w:ascii="Microsoft YaHei" w:hAnsi="Microsoft YaHei" w:eastAsia="Microsoft YaHei"/>
          <w:b w:val="0"/>
          <w:color w:val="1F2937"/>
          <w:sz w:val="22"/>
        </w:rPr>
        <w:t>不能声称量子优势、速度优势、后端优劣排名或纯量子求解完整车辆路径问题。</w:t>
      </w:r>
    </w:p>
    <w:p>
      <w:pPr>
        <w:keepNext w:val="0"/>
        <w:spacing w:before="0" w:after="120" w:line="264" w:lineRule="auto"/>
        <w:jc w:val="left"/>
      </w:pPr>
      <w:r>
        <w:rPr>
          <w:rFonts w:ascii="Microsoft YaHei" w:hAnsi="Microsoft YaHei" w:eastAsia="Microsoft YaHei"/>
          <w:b w:val="0"/>
          <w:color w:val="1F2937"/>
          <w:sz w:val="22"/>
        </w:rPr>
        <w:t>不能把能量打平、量子来源平局胜出或达到经典阈值改写为“量子击败经典”。</w:t>
      </w:r>
    </w:p>
    <w:p>
      <w:pPr>
        <w:pStyle w:val="Heading2"/>
        <w:keepNext/>
      </w:pPr>
      <w:r>
        <w:rPr>
          <w:rFonts w:ascii="Microsoft YaHei" w:hAnsi="Microsoft YaHei" w:eastAsia="Microsoft YaHei"/>
          <w:b/>
          <w:color w:val="2E74B5"/>
        </w:rPr>
        <w:t>8.3 适用范围</w:t>
      </w:r>
    </w:p>
    <w:p>
      <w:pPr>
        <w:keepNext w:val="0"/>
        <w:spacing w:before="0" w:after="120" w:line="264" w:lineRule="auto"/>
        <w:jc w:val="left"/>
      </w:pPr>
      <w:r>
        <w:rPr>
          <w:rFonts w:ascii="Microsoft YaHei" w:hAnsi="Microsoft YaHei" w:eastAsia="Microsoft YaHei"/>
          <w:b w:val="0"/>
          <w:color w:val="1F2937"/>
          <w:sz w:val="22"/>
        </w:rPr>
        <w:t>结论仅适用于本次冻结的4个小规模实例、两车辆设定、固定QAOA风格参数、三种被测后端、1024 shots和当前经典对照预算。结果不能外推为所有量子路线优化方法均无效。</w:t>
      </w:r>
    </w:p>
    <w:p>
      <w:pPr>
        <w:pStyle w:val="Heading1"/>
        <w:keepNext/>
      </w:pPr>
      <w:r>
        <w:rPr>
          <w:rFonts w:ascii="Microsoft YaHei" w:hAnsi="Microsoft YaHei" w:eastAsia="Microsoft YaHei"/>
          <w:b/>
          <w:color w:val="2E74B5"/>
        </w:rPr>
        <w:t>九、审计与发布记录</w:t>
      </w:r>
    </w:p>
    <w:p>
      <w:pPr>
        <w:spacing w:before="0" w:after="60" w:line="264" w:lineRule="auto"/>
      </w:pPr>
      <w:r>
        <w:rPr>
          <w:rFonts w:ascii="Microsoft YaHei" w:hAnsi="Microsoft YaHei" w:eastAsia="Microsoft YaHei"/>
          <w:b/>
          <w:color w:val="17365D"/>
          <w:sz w:val="21"/>
        </w:rPr>
        <w:t>完整性报告：</w:t>
      </w:r>
      <w:r>
        <w:rPr>
          <w:rFonts w:ascii="Microsoft YaHei" w:hAnsi="Microsoft YaHei" w:eastAsia="Microsoft YaHei"/>
          <w:color w:val="1F2937"/>
          <w:sz w:val="21"/>
        </w:rPr>
        <w:t>results/experiments/qrf_formal_hardware_matrix_v2/integrity_report.json</w:t>
      </w:r>
    </w:p>
    <w:p>
      <w:pPr>
        <w:spacing w:before="0" w:after="60" w:line="264" w:lineRule="auto"/>
      </w:pPr>
      <w:r>
        <w:rPr>
          <w:rFonts w:ascii="Microsoft YaHei" w:hAnsi="Microsoft YaHei" w:eastAsia="Microsoft YaHei"/>
          <w:b/>
          <w:color w:val="17365D"/>
          <w:sz w:val="21"/>
        </w:rPr>
        <w:t>统计汇总：</w:t>
      </w:r>
      <w:r>
        <w:rPr>
          <w:rFonts w:ascii="Microsoft YaHei" w:hAnsi="Microsoft YaHei" w:eastAsia="Microsoft YaHei"/>
          <w:color w:val="1F2937"/>
          <w:sz w:val="21"/>
        </w:rPr>
        <w:t>results/experiments/qrf_formal_hardware_matrix_v2/statistics_summary.json</w:t>
      </w:r>
    </w:p>
    <w:p>
      <w:pPr>
        <w:spacing w:before="0" w:after="60" w:line="264" w:lineRule="auto"/>
      </w:pPr>
      <w:r>
        <w:rPr>
          <w:rFonts w:ascii="Microsoft YaHei" w:hAnsi="Microsoft YaHei" w:eastAsia="Microsoft YaHei"/>
          <w:b/>
          <w:color w:val="17365D"/>
          <w:sz w:val="21"/>
        </w:rPr>
        <w:t>混合结果：</w:t>
      </w:r>
      <w:r>
        <w:rPr>
          <w:rFonts w:ascii="Microsoft YaHei" w:hAnsi="Microsoft YaHei" w:eastAsia="Microsoft YaHei"/>
          <w:color w:val="1F2937"/>
          <w:sz w:val="21"/>
        </w:rPr>
        <w:t>results/experiments/qrf_formal_hardware_matrix_v2/hybrid_summary.csv</w:t>
      </w:r>
    </w:p>
    <w:p>
      <w:pPr>
        <w:spacing w:before="0" w:after="60" w:line="264" w:lineRule="auto"/>
      </w:pPr>
      <w:r>
        <w:rPr>
          <w:rFonts w:ascii="Microsoft YaHei" w:hAnsi="Microsoft YaHei" w:eastAsia="Microsoft YaHei"/>
          <w:b/>
          <w:color w:val="17365D"/>
          <w:sz w:val="21"/>
        </w:rPr>
        <w:t>正式配置：</w:t>
      </w:r>
      <w:r>
        <w:rPr>
          <w:rFonts w:ascii="Microsoft YaHei" w:hAnsi="Microsoft YaHei" w:eastAsia="Microsoft YaHei"/>
          <w:color w:val="1F2937"/>
          <w:sz w:val="21"/>
        </w:rPr>
        <w:t>experiments/configs/formal_hardware_matrix_v2.json</w:t>
      </w:r>
    </w:p>
    <w:p>
      <w:pPr>
        <w:spacing w:before="0" w:after="60" w:line="264" w:lineRule="auto"/>
      </w:pPr>
      <w:r>
        <w:rPr>
          <w:rFonts w:ascii="Microsoft YaHei" w:hAnsi="Microsoft YaHei" w:eastAsia="Microsoft YaHei"/>
          <w:b/>
          <w:color w:val="17365D"/>
          <w:sz w:val="21"/>
        </w:rPr>
        <w:t>最终版本：</w:t>
      </w:r>
      <w:r>
        <w:rPr>
          <w:rFonts w:ascii="Microsoft YaHei" w:hAnsi="Microsoft YaHei" w:eastAsia="Microsoft YaHei"/>
          <w:color w:val="1F2937"/>
          <w:sz w:val="21"/>
        </w:rPr>
        <w:t>qrf-final-experiment-v2.1；PR #1已合并至main</w:t>
      </w:r>
    </w:p>
    <w:p>
      <w:pPr>
        <w:keepNext w:val="0"/>
        <w:spacing w:before="0" w:after="0" w:line="264" w:lineRule="auto"/>
        <w:jc w:val="left"/>
      </w:pPr>
      <w:r>
        <w:rPr>
          <w:rFonts w:ascii="Microsoft YaHei" w:hAnsi="Microsoft YaHei" w:eastAsia="Microsoft YaHei"/>
          <w:b w:val="0"/>
          <w:color w:val="1F2937"/>
          <w:sz w:val="22"/>
        </w:rPr>
        <w:t>凭证扫描覆盖529个文本证据或源文件，命中数为0；415个正式证据与分析文件已在本地设置为只读。回归验证为44项测试通过，远端GitHub CI全部通过。</w:t>
      </w:r>
    </w:p>
    <w:p>
      <w:r>
        <w:br w:type="page"/>
      </w:r>
    </w:p>
    <w:p>
      <w:pPr>
        <w:pStyle w:val="Heading1"/>
        <w:keepNext/>
      </w:pPr>
      <w:r>
        <w:rPr>
          <w:rFonts w:ascii="Microsoft YaHei" w:hAnsi="Microsoft YaHei" w:eastAsia="Microsoft YaHei"/>
          <w:b/>
          <w:color w:val="2E74B5"/>
        </w:rPr>
        <w:t>附录A  24个正式硬件任务明细</w:t>
      </w:r>
    </w:p>
    <w:p>
      <w:pPr>
        <w:keepNext w:val="0"/>
        <w:spacing w:before="0" w:after="120" w:line="264" w:lineRule="auto"/>
        <w:jc w:val="left"/>
      </w:pPr>
      <w:r>
        <w:rPr>
          <w:rFonts w:ascii="Microsoft YaHei" w:hAnsi="Microsoft YaHei" w:eastAsia="Microsoft YaHei"/>
          <w:b w:val="0"/>
          <w:color w:val="667085"/>
          <w:sz w:val="19"/>
        </w:rPr>
        <w:t>表中QHR为真机质量命中率；随机参考为冻结均匀随机命中率；经典阈值达到率允许与经典阈值相等。24个任务的严格改进率均为0。</w:t>
      </w:r>
    </w:p>
    <w:tbl>
      <w:tblPr>
        <w:tblW w:type="dxa" w:w="9360"/>
        <w:tblLayout w:type="fixed"/>
        <w:tblLook w:firstColumn="1" w:firstRow="1" w:lastColumn="0" w:lastRow="0" w:noHBand="0" w:noVBand="1" w:val="04A0"/>
        <w:jc w:val="left"/>
        <w:tblInd w:w="120" w:type="dxa"/>
      </w:tblPr>
      <w:tblGrid>
        <w:gridCol w:w="500"/>
        <w:gridCol w:w="1900"/>
        <w:gridCol w:w="1900"/>
        <w:gridCol w:w="1080"/>
        <w:gridCol w:w="620"/>
        <w:gridCol w:w="1000"/>
        <w:gridCol w:w="1000"/>
        <w:gridCol w:w="1360"/>
      </w:tblGrid>
      <w:tr>
        <w:trPr>
          <w:tblHeader w:val="true"/>
        </w:trPr>
        <w:tc>
          <w:tcPr>
            <w:tcW w:type="dxa" w:w="500"/>
            <w:vAlign w:val="center"/>
            <w:tcMar>
              <w:top w:w="80" w:type="dxa"/>
              <w:start w:w="120" w:type="dxa"/>
              <w:bottom w:w="80" w:type="dxa"/>
              <w:end w:w="120" w:type="dxa"/>
            </w:tcMar>
            <w:shd w:fill="17365D"/>
          </w:tcPr>
          <w:p>
            <w:pPr>
              <w:spacing w:before="0" w:after="0" w:line="259" w:lineRule="auto"/>
              <w:jc w:val="center"/>
            </w:pPr>
            <w:r/>
            <w:r>
              <w:rPr>
                <w:rFonts w:ascii="Microsoft YaHei" w:hAnsi="Microsoft YaHei" w:eastAsia="Microsoft YaHei"/>
                <w:b/>
                <w:color w:val="FFFFFF"/>
                <w:sz w:val="15"/>
              </w:rPr>
              <w:t>#</w:t>
            </w:r>
          </w:p>
        </w:tc>
        <w:tc>
          <w:tcPr>
            <w:tcW w:type="dxa" w:w="1900"/>
            <w:vAlign w:val="center"/>
            <w:tcMar>
              <w:top w:w="80" w:type="dxa"/>
              <w:start w:w="120" w:type="dxa"/>
              <w:bottom w:w="80" w:type="dxa"/>
              <w:end w:w="120" w:type="dxa"/>
            </w:tcMar>
            <w:shd w:fill="17365D"/>
          </w:tcPr>
          <w:p>
            <w:pPr>
              <w:spacing w:before="0" w:after="0" w:line="259" w:lineRule="auto"/>
              <w:jc w:val="center"/>
            </w:pPr>
            <w:r/>
            <w:r>
              <w:rPr>
                <w:rFonts w:ascii="Microsoft YaHei" w:hAnsi="Microsoft YaHei" w:eastAsia="Microsoft YaHei"/>
                <w:b/>
                <w:color w:val="FFFFFF"/>
                <w:sz w:val="15"/>
              </w:rPr>
              <w:t>任务ID</w:t>
            </w:r>
          </w:p>
        </w:tc>
        <w:tc>
          <w:tcPr>
            <w:tcW w:type="dxa" w:w="1900"/>
            <w:vAlign w:val="center"/>
            <w:tcMar>
              <w:top w:w="80" w:type="dxa"/>
              <w:start w:w="120" w:type="dxa"/>
              <w:bottom w:w="80" w:type="dxa"/>
              <w:end w:w="120" w:type="dxa"/>
            </w:tcMar>
            <w:shd w:fill="17365D"/>
          </w:tcPr>
          <w:p>
            <w:pPr>
              <w:spacing w:before="0" w:after="0" w:line="259" w:lineRule="auto"/>
              <w:jc w:val="center"/>
            </w:pPr>
            <w:r/>
            <w:r>
              <w:rPr>
                <w:rFonts w:ascii="Microsoft YaHei" w:hAnsi="Microsoft YaHei" w:eastAsia="Microsoft YaHei"/>
                <w:b/>
                <w:color w:val="FFFFFF"/>
                <w:sz w:val="15"/>
              </w:rPr>
              <w:t>实例</w:t>
            </w:r>
          </w:p>
        </w:tc>
        <w:tc>
          <w:tcPr>
            <w:tcW w:type="dxa" w:w="1080"/>
            <w:vAlign w:val="center"/>
            <w:tcMar>
              <w:top w:w="80" w:type="dxa"/>
              <w:start w:w="120" w:type="dxa"/>
              <w:bottom w:w="80" w:type="dxa"/>
              <w:end w:w="120" w:type="dxa"/>
            </w:tcMar>
            <w:shd w:fill="17365D"/>
          </w:tcPr>
          <w:p>
            <w:pPr>
              <w:spacing w:before="0" w:after="0" w:line="259" w:lineRule="auto"/>
              <w:jc w:val="center"/>
            </w:pPr>
            <w:r/>
            <w:r>
              <w:rPr>
                <w:rFonts w:ascii="Microsoft YaHei" w:hAnsi="Microsoft YaHei" w:eastAsia="Microsoft YaHei"/>
                <w:b/>
                <w:color w:val="FFFFFF"/>
                <w:sz w:val="15"/>
              </w:rPr>
              <w:t>后端</w:t>
            </w:r>
          </w:p>
        </w:tc>
        <w:tc>
          <w:tcPr>
            <w:tcW w:type="dxa" w:w="620"/>
            <w:vAlign w:val="center"/>
            <w:tcMar>
              <w:top w:w="80" w:type="dxa"/>
              <w:start w:w="120" w:type="dxa"/>
              <w:bottom w:w="80" w:type="dxa"/>
              <w:end w:w="120" w:type="dxa"/>
            </w:tcMar>
            <w:shd w:fill="17365D"/>
          </w:tcPr>
          <w:p>
            <w:pPr>
              <w:spacing w:before="0" w:after="0" w:line="259" w:lineRule="auto"/>
              <w:jc w:val="center"/>
            </w:pPr>
            <w:r/>
            <w:r>
              <w:rPr>
                <w:rFonts w:ascii="Microsoft YaHei" w:hAnsi="Microsoft YaHei" w:eastAsia="Microsoft YaHei"/>
                <w:b/>
                <w:color w:val="FFFFFF"/>
                <w:sz w:val="15"/>
              </w:rPr>
              <w:t>轮次</w:t>
            </w:r>
          </w:p>
        </w:tc>
        <w:tc>
          <w:tcPr>
            <w:tcW w:type="dxa" w:w="1000"/>
            <w:vAlign w:val="center"/>
            <w:tcMar>
              <w:top w:w="80" w:type="dxa"/>
              <w:start w:w="120" w:type="dxa"/>
              <w:bottom w:w="80" w:type="dxa"/>
              <w:end w:w="120" w:type="dxa"/>
            </w:tcMar>
            <w:shd w:fill="17365D"/>
          </w:tcPr>
          <w:p>
            <w:pPr>
              <w:spacing w:before="0" w:after="0" w:line="259" w:lineRule="auto"/>
              <w:jc w:val="center"/>
            </w:pPr>
            <w:r/>
            <w:r>
              <w:rPr>
                <w:rFonts w:ascii="Microsoft YaHei" w:hAnsi="Microsoft YaHei" w:eastAsia="Microsoft YaHei"/>
                <w:b/>
                <w:color w:val="FFFFFF"/>
                <w:sz w:val="15"/>
              </w:rPr>
              <w:t>QHR</w:t>
            </w:r>
          </w:p>
        </w:tc>
        <w:tc>
          <w:tcPr>
            <w:tcW w:type="dxa" w:w="1000"/>
            <w:vAlign w:val="center"/>
            <w:tcMar>
              <w:top w:w="80" w:type="dxa"/>
              <w:start w:w="120" w:type="dxa"/>
              <w:bottom w:w="80" w:type="dxa"/>
              <w:end w:w="120" w:type="dxa"/>
            </w:tcMar>
            <w:shd w:fill="17365D"/>
          </w:tcPr>
          <w:p>
            <w:pPr>
              <w:spacing w:before="0" w:after="0" w:line="259" w:lineRule="auto"/>
              <w:jc w:val="center"/>
            </w:pPr>
            <w:r/>
            <w:r>
              <w:rPr>
                <w:rFonts w:ascii="Microsoft YaHei" w:hAnsi="Microsoft YaHei" w:eastAsia="Microsoft YaHei"/>
                <w:b/>
                <w:color w:val="FFFFFF"/>
                <w:sz w:val="15"/>
              </w:rPr>
              <w:t>随机参考</w:t>
            </w:r>
          </w:p>
        </w:tc>
        <w:tc>
          <w:tcPr>
            <w:tcW w:type="dxa" w:w="1360"/>
            <w:vAlign w:val="center"/>
            <w:tcMar>
              <w:top w:w="80" w:type="dxa"/>
              <w:start w:w="120" w:type="dxa"/>
              <w:bottom w:w="80" w:type="dxa"/>
              <w:end w:w="120" w:type="dxa"/>
            </w:tcMar>
            <w:shd w:fill="17365D"/>
          </w:tcPr>
          <w:p>
            <w:pPr>
              <w:spacing w:before="0" w:after="0" w:line="259" w:lineRule="auto"/>
              <w:jc w:val="center"/>
            </w:pPr>
            <w:r/>
            <w:r>
              <w:rPr>
                <w:rFonts w:ascii="Microsoft YaHei" w:hAnsi="Microsoft YaHei" w:eastAsia="Microsoft YaHei"/>
                <w:b/>
                <w:color w:val="FFFFFF"/>
                <w:sz w:val="15"/>
              </w:rPr>
              <w:t>经典阈值达到率</w:t>
            </w:r>
          </w:p>
        </w:tc>
      </w:tr>
      <w:tr>
        <w:tc>
          <w:tcPr>
            <w:tcW w:type="dxa" w:w="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2608020032220735213</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2026-C4-中等</w:t>
            </w:r>
          </w:p>
        </w:tc>
        <w:tc>
          <w:tcPr>
            <w:tcW w:type="dxa" w:w="108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Baihua</w:t>
            </w:r>
          </w:p>
        </w:tc>
        <w:tc>
          <w:tcPr>
            <w:tcW w:type="dxa" w:w="6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0.258789</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0.375000</w:t>
            </w:r>
          </w:p>
        </w:tc>
        <w:tc>
          <w:tcPr>
            <w:tcW w:type="dxa" w:w="136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0.053711</w:t>
            </w:r>
          </w:p>
        </w:tc>
      </w:tr>
      <w:tr>
        <w:tc>
          <w:tcPr>
            <w:tcW w:type="dxa" w:w="5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2608020035387167015</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2027-C4-紧张</w:t>
            </w:r>
          </w:p>
        </w:tc>
        <w:tc>
          <w:tcPr>
            <w:tcW w:type="dxa" w:w="108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Shenglian</w:t>
            </w:r>
          </w:p>
        </w:tc>
        <w:tc>
          <w:tcPr>
            <w:tcW w:type="dxa" w:w="62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0.066406</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0.125000</w:t>
            </w:r>
          </w:p>
        </w:tc>
        <w:tc>
          <w:tcPr>
            <w:tcW w:type="dxa" w:w="136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0.066406</w:t>
            </w:r>
          </w:p>
        </w:tc>
      </w:tr>
      <w:tr>
        <w:tc>
          <w:tcPr>
            <w:tcW w:type="dxa" w:w="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3</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2608020035573093702</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2026-C6-中等</w:t>
            </w:r>
          </w:p>
        </w:tc>
        <w:tc>
          <w:tcPr>
            <w:tcW w:type="dxa" w:w="108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Dongling</w:t>
            </w:r>
          </w:p>
        </w:tc>
        <w:tc>
          <w:tcPr>
            <w:tcW w:type="dxa" w:w="6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0.096680</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0.125000</w:t>
            </w:r>
          </w:p>
        </w:tc>
        <w:tc>
          <w:tcPr>
            <w:tcW w:type="dxa" w:w="136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0.029297</w:t>
            </w:r>
          </w:p>
        </w:tc>
      </w:tr>
      <w:tr>
        <w:tc>
          <w:tcPr>
            <w:tcW w:type="dxa" w:w="5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4</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2608020036161889350</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2027-C6-紧张</w:t>
            </w:r>
          </w:p>
        </w:tc>
        <w:tc>
          <w:tcPr>
            <w:tcW w:type="dxa" w:w="108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Baihua</w:t>
            </w:r>
          </w:p>
        </w:tc>
        <w:tc>
          <w:tcPr>
            <w:tcW w:type="dxa" w:w="62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0.174805</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0.281250</w:t>
            </w:r>
          </w:p>
        </w:tc>
        <w:tc>
          <w:tcPr>
            <w:tcW w:type="dxa" w:w="136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0.028320</w:t>
            </w:r>
          </w:p>
        </w:tc>
      </w:tr>
      <w:tr>
        <w:tc>
          <w:tcPr>
            <w:tcW w:type="dxa" w:w="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5</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2608020037098703942</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2026-C4-中等</w:t>
            </w:r>
          </w:p>
        </w:tc>
        <w:tc>
          <w:tcPr>
            <w:tcW w:type="dxa" w:w="108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Dongling</w:t>
            </w:r>
          </w:p>
        </w:tc>
        <w:tc>
          <w:tcPr>
            <w:tcW w:type="dxa" w:w="6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0.289062</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0.375000</w:t>
            </w:r>
          </w:p>
        </w:tc>
        <w:tc>
          <w:tcPr>
            <w:tcW w:type="dxa" w:w="136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0.054688</w:t>
            </w:r>
          </w:p>
        </w:tc>
      </w:tr>
      <w:tr>
        <w:tc>
          <w:tcPr>
            <w:tcW w:type="dxa" w:w="5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6</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2608020037262690867</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2027-C4-紧张</w:t>
            </w:r>
          </w:p>
        </w:tc>
        <w:tc>
          <w:tcPr>
            <w:tcW w:type="dxa" w:w="108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Baihua</w:t>
            </w:r>
          </w:p>
        </w:tc>
        <w:tc>
          <w:tcPr>
            <w:tcW w:type="dxa" w:w="62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0.063477</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0.125000</w:t>
            </w:r>
          </w:p>
        </w:tc>
        <w:tc>
          <w:tcPr>
            <w:tcW w:type="dxa" w:w="136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0.063477</w:t>
            </w:r>
          </w:p>
        </w:tc>
      </w:tr>
      <w:tr>
        <w:tc>
          <w:tcPr>
            <w:tcW w:type="dxa" w:w="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7</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2608020037456281068</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2026-C6-中等</w:t>
            </w:r>
          </w:p>
        </w:tc>
        <w:tc>
          <w:tcPr>
            <w:tcW w:type="dxa" w:w="108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Shenglian</w:t>
            </w:r>
          </w:p>
        </w:tc>
        <w:tc>
          <w:tcPr>
            <w:tcW w:type="dxa" w:w="6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0.110352</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0.125000</w:t>
            </w:r>
          </w:p>
        </w:tc>
        <w:tc>
          <w:tcPr>
            <w:tcW w:type="dxa" w:w="136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0.058594</w:t>
            </w:r>
          </w:p>
        </w:tc>
      </w:tr>
      <w:tr>
        <w:tc>
          <w:tcPr>
            <w:tcW w:type="dxa" w:w="5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8</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2608020038033582912</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2027-C6-紧张</w:t>
            </w:r>
          </w:p>
        </w:tc>
        <w:tc>
          <w:tcPr>
            <w:tcW w:type="dxa" w:w="108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Shenglian</w:t>
            </w:r>
          </w:p>
        </w:tc>
        <w:tc>
          <w:tcPr>
            <w:tcW w:type="dxa" w:w="62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0.179688</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0.281250</w:t>
            </w:r>
          </w:p>
        </w:tc>
        <w:tc>
          <w:tcPr>
            <w:tcW w:type="dxa" w:w="136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0.035156</w:t>
            </w:r>
          </w:p>
        </w:tc>
      </w:tr>
      <w:tr>
        <w:tc>
          <w:tcPr>
            <w:tcW w:type="dxa" w:w="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9</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2608020038368682694</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2026-C4-中等</w:t>
            </w:r>
          </w:p>
        </w:tc>
        <w:tc>
          <w:tcPr>
            <w:tcW w:type="dxa" w:w="108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Shenglian</w:t>
            </w:r>
          </w:p>
        </w:tc>
        <w:tc>
          <w:tcPr>
            <w:tcW w:type="dxa" w:w="6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0.256836</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0.375000</w:t>
            </w:r>
          </w:p>
        </w:tc>
        <w:tc>
          <w:tcPr>
            <w:tcW w:type="dxa" w:w="136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0.062500</w:t>
            </w:r>
          </w:p>
        </w:tc>
      </w:tr>
      <w:tr>
        <w:tc>
          <w:tcPr>
            <w:tcW w:type="dxa" w:w="5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10</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2608020038518531868</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2027-C4-紧张</w:t>
            </w:r>
          </w:p>
        </w:tc>
        <w:tc>
          <w:tcPr>
            <w:tcW w:type="dxa" w:w="108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Dongling</w:t>
            </w:r>
          </w:p>
        </w:tc>
        <w:tc>
          <w:tcPr>
            <w:tcW w:type="dxa" w:w="62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0.052734</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0.125000</w:t>
            </w:r>
          </w:p>
        </w:tc>
        <w:tc>
          <w:tcPr>
            <w:tcW w:type="dxa" w:w="136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0.052734</w:t>
            </w:r>
          </w:p>
        </w:tc>
      </w:tr>
      <w:tr>
        <w:tc>
          <w:tcPr>
            <w:tcW w:type="dxa" w:w="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11</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2608020039128886917</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2026-C6-中等</w:t>
            </w:r>
          </w:p>
        </w:tc>
        <w:tc>
          <w:tcPr>
            <w:tcW w:type="dxa" w:w="108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Baihua</w:t>
            </w:r>
          </w:p>
        </w:tc>
        <w:tc>
          <w:tcPr>
            <w:tcW w:type="dxa" w:w="6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0.083008</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0.125000</w:t>
            </w:r>
          </w:p>
        </w:tc>
        <w:tc>
          <w:tcPr>
            <w:tcW w:type="dxa" w:w="136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0.032227</w:t>
            </w:r>
          </w:p>
        </w:tc>
      </w:tr>
      <w:tr>
        <w:tc>
          <w:tcPr>
            <w:tcW w:type="dxa" w:w="5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12</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2608020039322530245</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2027-C6-紧张</w:t>
            </w:r>
          </w:p>
        </w:tc>
        <w:tc>
          <w:tcPr>
            <w:tcW w:type="dxa" w:w="108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Dongling</w:t>
            </w:r>
          </w:p>
        </w:tc>
        <w:tc>
          <w:tcPr>
            <w:tcW w:type="dxa" w:w="62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0.244141</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0.281250</w:t>
            </w:r>
          </w:p>
        </w:tc>
        <w:tc>
          <w:tcPr>
            <w:tcW w:type="dxa" w:w="136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0.040039</w:t>
            </w:r>
          </w:p>
        </w:tc>
      </w:tr>
      <w:tr>
        <w:tc>
          <w:tcPr>
            <w:tcW w:type="dxa" w:w="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13</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2608020040094471234</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2026-C4-中等</w:t>
            </w:r>
          </w:p>
        </w:tc>
        <w:tc>
          <w:tcPr>
            <w:tcW w:type="dxa" w:w="108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Shenglian</w:t>
            </w:r>
          </w:p>
        </w:tc>
        <w:tc>
          <w:tcPr>
            <w:tcW w:type="dxa" w:w="6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0.263672</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0.375000</w:t>
            </w:r>
          </w:p>
        </w:tc>
        <w:tc>
          <w:tcPr>
            <w:tcW w:type="dxa" w:w="136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0.059570</w:t>
            </w:r>
          </w:p>
        </w:tc>
      </w:tr>
      <w:tr>
        <w:tc>
          <w:tcPr>
            <w:tcW w:type="dxa" w:w="5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14</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2608020040246279597</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2027-C4-紧张</w:t>
            </w:r>
          </w:p>
        </w:tc>
        <w:tc>
          <w:tcPr>
            <w:tcW w:type="dxa" w:w="108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Dongling</w:t>
            </w:r>
          </w:p>
        </w:tc>
        <w:tc>
          <w:tcPr>
            <w:tcW w:type="dxa" w:w="62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0.069336</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0.125000</w:t>
            </w:r>
          </w:p>
        </w:tc>
        <w:tc>
          <w:tcPr>
            <w:tcW w:type="dxa" w:w="136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0.069336</w:t>
            </w:r>
          </w:p>
        </w:tc>
      </w:tr>
      <w:tr>
        <w:tc>
          <w:tcPr>
            <w:tcW w:type="dxa" w:w="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15</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2608020040447289172</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2026-C6-中等</w:t>
            </w:r>
          </w:p>
        </w:tc>
        <w:tc>
          <w:tcPr>
            <w:tcW w:type="dxa" w:w="108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Baihua</w:t>
            </w:r>
          </w:p>
        </w:tc>
        <w:tc>
          <w:tcPr>
            <w:tcW w:type="dxa" w:w="6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0.107422</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0.125000</w:t>
            </w:r>
          </w:p>
        </w:tc>
        <w:tc>
          <w:tcPr>
            <w:tcW w:type="dxa" w:w="136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0.046875</w:t>
            </w:r>
          </w:p>
        </w:tc>
      </w:tr>
      <w:tr>
        <w:tc>
          <w:tcPr>
            <w:tcW w:type="dxa" w:w="5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16</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2608020041040293103</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2027-C6-紧张</w:t>
            </w:r>
          </w:p>
        </w:tc>
        <w:tc>
          <w:tcPr>
            <w:tcW w:type="dxa" w:w="108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Dongling</w:t>
            </w:r>
          </w:p>
        </w:tc>
        <w:tc>
          <w:tcPr>
            <w:tcW w:type="dxa" w:w="62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0.259766</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0.281250</w:t>
            </w:r>
          </w:p>
        </w:tc>
        <w:tc>
          <w:tcPr>
            <w:tcW w:type="dxa" w:w="136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0.034180</w:t>
            </w:r>
          </w:p>
        </w:tc>
      </w:tr>
      <w:tr>
        <w:tc>
          <w:tcPr>
            <w:tcW w:type="dxa" w:w="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17</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2608020041346878482</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2026-C4-中等</w:t>
            </w:r>
          </w:p>
        </w:tc>
        <w:tc>
          <w:tcPr>
            <w:tcW w:type="dxa" w:w="108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Baihua</w:t>
            </w:r>
          </w:p>
        </w:tc>
        <w:tc>
          <w:tcPr>
            <w:tcW w:type="dxa" w:w="6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0.273438</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0.375000</w:t>
            </w:r>
          </w:p>
        </w:tc>
        <w:tc>
          <w:tcPr>
            <w:tcW w:type="dxa" w:w="136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0.075195</w:t>
            </w:r>
          </w:p>
        </w:tc>
      </w:tr>
      <w:tr>
        <w:tc>
          <w:tcPr>
            <w:tcW w:type="dxa" w:w="5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18</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2608020041516483770</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2027-C4-紧张</w:t>
            </w:r>
          </w:p>
        </w:tc>
        <w:tc>
          <w:tcPr>
            <w:tcW w:type="dxa" w:w="108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Shenglian</w:t>
            </w:r>
          </w:p>
        </w:tc>
        <w:tc>
          <w:tcPr>
            <w:tcW w:type="dxa" w:w="62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0.077148</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0.125000</w:t>
            </w:r>
          </w:p>
        </w:tc>
        <w:tc>
          <w:tcPr>
            <w:tcW w:type="dxa" w:w="136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0.077148</w:t>
            </w:r>
          </w:p>
        </w:tc>
      </w:tr>
      <w:tr>
        <w:tc>
          <w:tcPr>
            <w:tcW w:type="dxa" w:w="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19</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2608020042116490390</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2026-C6-中等</w:t>
            </w:r>
          </w:p>
        </w:tc>
        <w:tc>
          <w:tcPr>
            <w:tcW w:type="dxa" w:w="108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Dongling</w:t>
            </w:r>
          </w:p>
        </w:tc>
        <w:tc>
          <w:tcPr>
            <w:tcW w:type="dxa" w:w="6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0.125000</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0.125000</w:t>
            </w:r>
          </w:p>
        </w:tc>
        <w:tc>
          <w:tcPr>
            <w:tcW w:type="dxa" w:w="136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0.037109</w:t>
            </w:r>
          </w:p>
        </w:tc>
      </w:tr>
      <w:tr>
        <w:tc>
          <w:tcPr>
            <w:tcW w:type="dxa" w:w="5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2608020042297182893</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2027-C6-紧张</w:t>
            </w:r>
          </w:p>
        </w:tc>
        <w:tc>
          <w:tcPr>
            <w:tcW w:type="dxa" w:w="108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Baihua</w:t>
            </w:r>
          </w:p>
        </w:tc>
        <w:tc>
          <w:tcPr>
            <w:tcW w:type="dxa" w:w="62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0.162109</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0.281250</w:t>
            </w:r>
          </w:p>
        </w:tc>
        <w:tc>
          <w:tcPr>
            <w:tcW w:type="dxa" w:w="136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0.029297</w:t>
            </w:r>
          </w:p>
        </w:tc>
      </w:tr>
      <w:tr>
        <w:tc>
          <w:tcPr>
            <w:tcW w:type="dxa" w:w="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21</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2608020043089686015</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2026-C4-中等</w:t>
            </w:r>
          </w:p>
        </w:tc>
        <w:tc>
          <w:tcPr>
            <w:tcW w:type="dxa" w:w="108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Dongling</w:t>
            </w:r>
          </w:p>
        </w:tc>
        <w:tc>
          <w:tcPr>
            <w:tcW w:type="dxa" w:w="6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0.321289</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0.375000</w:t>
            </w:r>
          </w:p>
        </w:tc>
        <w:tc>
          <w:tcPr>
            <w:tcW w:type="dxa" w:w="136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0.070312</w:t>
            </w:r>
          </w:p>
        </w:tc>
      </w:tr>
      <w:tr>
        <w:tc>
          <w:tcPr>
            <w:tcW w:type="dxa" w:w="5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22</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2608020043245682799</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2027-C4-紧张</w:t>
            </w:r>
          </w:p>
        </w:tc>
        <w:tc>
          <w:tcPr>
            <w:tcW w:type="dxa" w:w="108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Baihua</w:t>
            </w:r>
          </w:p>
        </w:tc>
        <w:tc>
          <w:tcPr>
            <w:tcW w:type="dxa" w:w="62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0.056641</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0.125000</w:t>
            </w:r>
          </w:p>
        </w:tc>
        <w:tc>
          <w:tcPr>
            <w:tcW w:type="dxa" w:w="136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0.056641</w:t>
            </w:r>
          </w:p>
        </w:tc>
      </w:tr>
      <w:tr>
        <w:tc>
          <w:tcPr>
            <w:tcW w:type="dxa" w:w="5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23</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2608020043451218721</w:t>
            </w:r>
          </w:p>
        </w:tc>
        <w:tc>
          <w:tcPr>
            <w:tcW w:type="dxa" w:w="19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2026-C6-中等</w:t>
            </w:r>
          </w:p>
        </w:tc>
        <w:tc>
          <w:tcPr>
            <w:tcW w:type="dxa" w:w="108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Shenglian</w:t>
            </w:r>
          </w:p>
        </w:tc>
        <w:tc>
          <w:tcPr>
            <w:tcW w:type="dxa" w:w="62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0.083984</w:t>
            </w:r>
          </w:p>
        </w:tc>
        <w:tc>
          <w:tcPr>
            <w:tcW w:type="dxa" w:w="100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0.125000</w:t>
            </w:r>
          </w:p>
        </w:tc>
        <w:tc>
          <w:tcPr>
            <w:tcW w:type="dxa" w:w="1360"/>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0.031250</w:t>
            </w:r>
          </w:p>
        </w:tc>
      </w:tr>
      <w:tr>
        <w:tc>
          <w:tcPr>
            <w:tcW w:type="dxa" w:w="5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24</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2608020044026086405</w:t>
            </w:r>
          </w:p>
        </w:tc>
        <w:tc>
          <w:tcPr>
            <w:tcW w:type="dxa" w:w="19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2027-C6-紧张</w:t>
            </w:r>
          </w:p>
        </w:tc>
        <w:tc>
          <w:tcPr>
            <w:tcW w:type="dxa" w:w="108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Shenglian</w:t>
            </w:r>
          </w:p>
        </w:tc>
        <w:tc>
          <w:tcPr>
            <w:tcW w:type="dxa" w:w="62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2</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0.188477</w:t>
            </w:r>
          </w:p>
        </w:tc>
        <w:tc>
          <w:tcPr>
            <w:tcW w:type="dxa" w:w="100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0.281250</w:t>
            </w:r>
          </w:p>
        </w:tc>
        <w:tc>
          <w:tcPr>
            <w:tcW w:type="dxa" w:w="1360"/>
            <w:shd w:fill="F8FAFC"/>
            <w:vAlign w:val="center"/>
            <w:tcMar>
              <w:top w:w="80" w:type="dxa"/>
              <w:start w:w="120" w:type="dxa"/>
              <w:bottom w:w="80" w:type="dxa"/>
              <w:end w:w="120" w:type="dxa"/>
            </w:tcMar>
          </w:tcPr>
          <w:p>
            <w:pPr>
              <w:spacing w:before="0" w:after="0" w:line="259" w:lineRule="auto"/>
              <w:jc w:val="center"/>
            </w:pPr>
            <w:r/>
            <w:r>
              <w:rPr>
                <w:rFonts w:ascii="Microsoft YaHei" w:hAnsi="Microsoft YaHei" w:eastAsia="Microsoft YaHei"/>
                <w:b w:val="0"/>
                <w:color w:val="1F2937"/>
                <w:sz w:val="14"/>
              </w:rPr>
              <w:t>0.041992</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667085"/>
        <w:sz w:val="18"/>
      </w:rPr>
      <w:t xml:space="preserve">第 </w:t>
      <w:fldChar w:fldCharType="begin"/>
      <w:instrText xml:space="preserve"> PAGE </w:instrText>
      <w:fldChar w:fldCharType="end"/>
    </w:r>
    <w:r>
      <w:rPr>
        <w:rFonts w:ascii="Microsoft YaHei" w:hAnsi="Microsoft YaHei" w:eastAsia="Microsoft YaHe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Microsoft YaHei" w:hAnsi="Microsoft YaHei" w:eastAsia="Microsoft YaHei"/>
        <w:b/>
        <w:color w:val="667085"/>
        <w:sz w:val="17"/>
      </w:rPr>
      <w:t>Quantum Route Forge  |  正式实验最终报告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Microsoft YaHei" w:hAnsi="Microsoft YaHei" w:eastAsia="Microsoft YaHei"/>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Route Forge 正式实验最终报告（中文版）</dc:title>
  <dc:subject>24任务真实量子硬件矩阵、BQM候选质量与混合路线贡献分析</dc:subject>
  <dc:creator>Quantum Route Forge Project</dc:creator>
  <cp:keywords>量子硬件, BQM, 路线优化, 正式实验, 可复现性</cp:keywords>
  <dc:description>由冻结正式实验数据生成；不包含凭证。</dc:description>
  <cp:lastModifiedBy/>
  <cp:revision>1</cp:revision>
  <dcterms:created xsi:type="dcterms:W3CDTF">2013-12-23T23:15:00Z</dcterms:created>
  <dcterms:modified xsi:type="dcterms:W3CDTF">2013-12-23T23:15:00Z</dcterms:modified>
  <cp:category/>
</cp:coreProperties>
</file>