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24D0A" w:rsidRDefault="00C87C83" w14:paraId="2380C6B9" w14:textId="77777777">
      <w:pPr>
        <w:pStyle w:val="Heading1"/>
      </w:pPr>
      <w:bookmarkStart w:name="further-reading" w:id="0"/>
      <w:r>
        <w:t>Further Reading</w:t>
      </w:r>
    </w:p>
    <w:p w:rsidR="00924D0A" w:rsidRDefault="00C87C83" w14:paraId="1E547C8E" w14:textId="77777777">
      <w:pPr>
        <w:pStyle w:val="FirstParagraph"/>
      </w:pPr>
      <w:r>
        <w:rPr>
          <w:b/>
          <w:bCs/>
        </w:rPr>
        <w:t>|Y&gt;Quantum 2026 – DQI vs QAOA Challenge</w:t>
      </w:r>
      <w:r>
        <w:t xml:space="preserve"> </w:t>
      </w:r>
      <w:r>
        <w:rPr>
          <w:b/>
          <w:bCs/>
        </w:rPr>
        <w:t>Travelers Insurance + Quantinuum + LTM</w:t>
      </w:r>
    </w:p>
    <w:p w:rsidR="00924D0A" w:rsidRDefault="00C87C83" w14:paraId="2A3B02CB" w14:textId="77777777">
      <w:pPr>
        <w:pStyle w:val="BodyText"/>
      </w:pPr>
      <w:r>
        <w:t>This curated reading list will help you understand and implement both algorithms. Entries marked with a star are the most important for this challenge.</w:t>
      </w:r>
    </w:p>
    <w:p w:rsidR="00924D0A" w:rsidRDefault="00C87C83" w14:paraId="34E6E9DB" w14:textId="77777777">
      <w:r>
        <w:rPr>
          <w:noProof/>
        </w:rPr>
        <w:pict w14:anchorId="5BB4F2B4">
          <v:rect id="_x0000_i1025" style="width:468pt;height:.05pt;mso-width-percent:0;mso-height-percent:0;mso-width-percent:0;mso-height-percent:0" alt="" o:hr="t" o:hrstd="t" o:hralign="center"/>
        </w:pict>
      </w:r>
    </w:p>
    <w:p w:rsidR="00924D0A" w:rsidRDefault="00C87C83" w14:paraId="19A654AC" w14:textId="77777777">
      <w:pPr>
        <w:pStyle w:val="Heading2"/>
      </w:pPr>
      <w:bookmarkStart w:name="dqi-decoded-quantum-interferometry" w:id="1"/>
      <w:r>
        <w:t>DQI (Decoded Quantum Interferometry)</w:t>
      </w:r>
    </w:p>
    <w:p w:rsidR="00924D0A" w:rsidRDefault="00C87C83" w14:paraId="1D0B035B" w14:textId="77777777">
      <w:pPr>
        <w:pStyle w:val="Heading3"/>
      </w:pPr>
      <w:bookmarkStart w:name="core-papers" w:id="2"/>
      <w:r>
        <w:t>Core Papers</w:t>
      </w:r>
    </w:p>
    <w:p w:rsidR="00924D0A" w:rsidRDefault="00C93036" w14:paraId="4A8C8EBA" w14:textId="7EDC300C">
      <w:pPr>
        <w:numPr>
          <w:ilvl w:val="0"/>
          <w:numId w:val="2"/>
        </w:numPr>
      </w:pPr>
      <w:hyperlink w:history="1" r:id="rId5">
        <w:r w:rsidRPr="00C93036">
          <w:rPr>
            <w:rStyle w:val="Hyperlink"/>
            <w:b/>
            <w:bCs/>
          </w:rPr>
          <w:t>Jordan et al. (2024)</w:t>
        </w:r>
      </w:hyperlink>
      <w:r>
        <w:rPr>
          <w:b/>
          <w:bCs/>
        </w:rPr>
        <w:t xml:space="preserve"> “Optimization by Decoded Quantum Interferometry”</w:t>
      </w:r>
      <w:r>
        <w:t xml:space="preserve"> </w:t>
      </w:r>
      <w:r>
        <w:rPr>
          <w:i/>
          <w:iCs/>
        </w:rPr>
        <w:t>The original DQI paper from Google Quantum AI. Introduces the algorithm, proves interference-based amplification, and demonstrates on random optimization instances. Start here.</w:t>
      </w:r>
    </w:p>
    <w:p w:rsidR="00924D0A" w:rsidRDefault="00C93036" w14:paraId="0D4C5927" w14:textId="55082794">
      <w:pPr>
        <w:numPr>
          <w:ilvl w:val="0"/>
          <w:numId w:val="2"/>
        </w:numPr>
      </w:pPr>
      <w:hyperlink w:history="1" r:id="rId6">
        <w:r w:rsidRPr="00C93036">
          <w:rPr>
            <w:rStyle w:val="Hyperlink"/>
            <w:b/>
            <w:bCs/>
          </w:rPr>
          <w:t>Sabater et al. (2025)</w:t>
        </w:r>
      </w:hyperlink>
      <w:r>
        <w:rPr>
          <w:b/>
          <w:bCs/>
        </w:rPr>
        <w:t xml:space="preserve"> “Towards Solving Industrial Integer Linear Programs with Decoded Quantum Interferometry”</w:t>
      </w:r>
      <w:r>
        <w:t xml:space="preserve"> </w:t>
      </w:r>
      <w:r>
        <w:rPr>
          <w:i/>
          <w:iCs/>
        </w:rPr>
        <w:t>Extends DQI to real-world ILPs (automotive/insurance). Contains the full ILP-to-max-XORSAT pipeline with gadgets (AND, CARRY, CARRY1). The reference for our starter code.</w:t>
      </w:r>
    </w:p>
    <w:p w:rsidR="00924D0A" w:rsidRDefault="00C87C83" w14:paraId="4504F001" w14:textId="77777777">
      <w:pPr>
        <w:pStyle w:val="Heading3"/>
      </w:pPr>
      <w:bookmarkStart w:name="dqi-theory-and-limitations" w:id="3"/>
      <w:bookmarkEnd w:id="2"/>
      <w:r>
        <w:t>DQI Theory and Limitations</w:t>
      </w:r>
    </w:p>
    <w:p w:rsidR="00924D0A" w:rsidRDefault="00C87C83" w14:paraId="69783119" w14:textId="0FEDDA24">
      <w:pPr>
        <w:numPr>
          <w:ilvl w:val="0"/>
          <w:numId w:val="3"/>
        </w:numPr>
      </w:pPr>
      <w:bookmarkStart w:name="OLE_LINK2" w:id="4"/>
      <w:r>
        <w:rPr>
          <w:b/>
          <w:bCs/>
        </w:rPr>
        <w:t>“</w:t>
      </w:r>
      <w:hyperlink w:history="1" r:id="rId7">
        <w:r w:rsidRPr="00C93036" w:rsidR="00924D0A">
          <w:rPr>
            <w:rStyle w:val="Hyperlink"/>
            <w:b/>
            <w:bCs/>
          </w:rPr>
          <w:t>Decoded quantum interferometry under noise</w:t>
        </w:r>
      </w:hyperlink>
      <w:r>
        <w:rPr>
          <w:b/>
          <w:bCs/>
        </w:rPr>
        <w:t>” (2026)</w:t>
      </w:r>
      <w:r>
        <w:t xml:space="preserve"> </w:t>
      </w:r>
      <w:bookmarkEnd w:id="4"/>
      <w:r>
        <w:rPr>
          <w:i/>
          <w:iCs/>
        </w:rPr>
        <w:t>Analyzes DQI performance under realistic noise. Key finding: performance depends on a “noise-weighted sparsity parameter” of the instance matrix. Directly relevant to Quantinuum emulation.</w:t>
      </w:r>
    </w:p>
    <w:p w:rsidR="00924D0A" w:rsidRDefault="00C87C83" w14:paraId="43008B03" w14:textId="7D0459EA">
      <w:pPr>
        <w:numPr>
          <w:ilvl w:val="0"/>
          <w:numId w:val="3"/>
        </w:numPr>
      </w:pPr>
      <w:r>
        <w:rPr>
          <w:b/>
          <w:bCs/>
        </w:rPr>
        <w:t>“</w:t>
      </w:r>
      <w:hyperlink w:history="1" r:id="rId8">
        <w:r w:rsidRPr="00C93036" w:rsidR="00924D0A">
          <w:rPr>
            <w:rStyle w:val="Hyperlink"/>
            <w:b/>
            <w:bCs/>
          </w:rPr>
          <w:t>DQI Requires Structure”</w:t>
        </w:r>
      </w:hyperlink>
      <w:r>
        <w:rPr>
          <w:b/>
          <w:bCs/>
        </w:rPr>
        <w:t xml:space="preserve"> (2025)</w:t>
      </w:r>
      <w:r>
        <w:t xml:space="preserve"> </w:t>
      </w:r>
      <w:r>
        <w:rPr>
          <w:i/>
          <w:iCs/>
        </w:rPr>
        <w:t>Shows DQI needs algebraic structure in the problem to achieve speedups. Important for understanding DQI behavior on random QUBO instances.</w:t>
      </w:r>
    </w:p>
    <w:p w:rsidR="00924D0A" w:rsidRDefault="00C87C83" w14:paraId="06E1C065" w14:textId="77777777">
      <w:pPr>
        <w:pStyle w:val="Heading3"/>
      </w:pPr>
      <w:bookmarkStart w:name="dqi-implementation" w:id="5"/>
      <w:bookmarkEnd w:id="3"/>
      <w:r>
        <w:t>DQI Implementation</w:t>
      </w:r>
    </w:p>
    <w:p w:rsidR="00924D0A" w:rsidRDefault="00C93036" w14:paraId="1D9E8F0D" w14:textId="4DDB39BE">
      <w:pPr>
        <w:pStyle w:val="Compact"/>
        <w:numPr>
          <w:ilvl w:val="0"/>
          <w:numId w:val="4"/>
        </w:numPr>
      </w:pPr>
      <w:hyperlink w:history="1" r:id="rId9">
        <w:r w:rsidRPr="00C93036">
          <w:rPr>
            <w:rStyle w:val="Hyperlink"/>
            <w:b/>
            <w:bCs/>
          </w:rPr>
          <w:t>BCG-X DQI Library</w:t>
        </w:r>
      </w:hyperlink>
      <w:r>
        <w:t xml:space="preserve"> </w:t>
      </w:r>
      <w:r>
        <w:rPr>
          <w:i/>
          <w:iCs/>
        </w:rPr>
        <w:t>Open-source Qiskit implementation. Contains Dicke state preparation, syndrome encoding, BP1 decoder circuits, and the full ILP-to-max-XORSAT transformation.</w:t>
      </w:r>
    </w:p>
    <w:p w:rsidR="00924D0A" w:rsidRDefault="00C87C83" w14:paraId="66E2AD94" w14:textId="77777777">
      <w:r>
        <w:rPr>
          <w:noProof/>
        </w:rPr>
        <w:pict w14:anchorId="7318CACE">
          <v:rect id="_x0000_i1026" style="width:468pt;height:.05pt;mso-width-percent:0;mso-height-percent:0;mso-width-percent:0;mso-height-percent:0" alt="" o:hr="t" o:hrstd="t" o:hralign="center"/>
        </w:pict>
      </w:r>
    </w:p>
    <w:p w:rsidR="00924D0A" w:rsidRDefault="00C87C83" w14:paraId="2129E806" w14:textId="77777777">
      <w:pPr>
        <w:pStyle w:val="Heading2"/>
      </w:pPr>
      <w:bookmarkStart w:name="X69812fc4b83db3e2648f18f7dc33414630b607f" w:id="6"/>
      <w:bookmarkEnd w:id="1"/>
      <w:bookmarkEnd w:id="5"/>
      <w:r>
        <w:t>QAOA (Quantum Approximate Optimization Algorithm)</w:t>
      </w:r>
    </w:p>
    <w:p w:rsidR="00924D0A" w:rsidRDefault="00C87C83" w14:paraId="5FB6FF2D" w14:textId="77777777">
      <w:pPr>
        <w:pStyle w:val="Heading3"/>
      </w:pPr>
      <w:bookmarkStart w:name="core-papers-1" w:id="7"/>
      <w:r>
        <w:t>Core Papers</w:t>
      </w:r>
    </w:p>
    <w:p w:rsidR="00924D0A" w:rsidRDefault="00C93036" w14:paraId="0A6848C1" w14:textId="24A9991D">
      <w:pPr>
        <w:numPr>
          <w:ilvl w:val="0"/>
          <w:numId w:val="5"/>
        </w:numPr>
      </w:pPr>
      <w:hyperlink w:history="1" r:id="rId10">
        <w:r w:rsidRPr="00C93036">
          <w:rPr>
            <w:rStyle w:val="Hyperlink"/>
            <w:b/>
            <w:bCs/>
          </w:rPr>
          <w:t>Farhi, Goldstone, Gutmann (2014)</w:t>
        </w:r>
      </w:hyperlink>
      <w:r>
        <w:rPr>
          <w:b/>
          <w:bCs/>
        </w:rPr>
        <w:t xml:space="preserve"> “A Quantum Approximate Optimization Algorithm”</w:t>
      </w:r>
      <w:r>
        <w:t xml:space="preserve"> </w:t>
      </w:r>
      <w:r>
        <w:rPr>
          <w:i/>
          <w:iCs/>
        </w:rPr>
        <w:t>The foundational QAOA paper. Defines the algorithm and proves the p=1 approximation ratio for MaxCut on 3-regular graphs.</w:t>
      </w:r>
    </w:p>
    <w:p w:rsidR="00924D0A" w:rsidRDefault="00C93036" w14:paraId="5DBBBAB3" w14:textId="4B537278">
      <w:pPr>
        <w:numPr>
          <w:ilvl w:val="0"/>
          <w:numId w:val="5"/>
        </w:numPr>
      </w:pPr>
      <w:hyperlink w:history="1" r:id="rId11">
        <w:r w:rsidRPr="00C93036">
          <w:rPr>
            <w:rStyle w:val="Hyperlink"/>
            <w:b/>
            <w:bCs/>
          </w:rPr>
          <w:t>Blekos et al. (2024)</w:t>
        </w:r>
      </w:hyperlink>
      <w:r>
        <w:rPr>
          <w:b/>
          <w:bCs/>
        </w:rPr>
        <w:t xml:space="preserve"> “A Review on QAOA and its Variants”</w:t>
      </w:r>
      <w:r>
        <w:t xml:space="preserve"> </w:t>
      </w:r>
      <w:r>
        <w:rPr>
          <w:i/>
          <w:iCs/>
        </w:rPr>
        <w:t>Comprehensive 100+ page review covering QAOA theory, variants, implementations, and benchmarks. Best single reference for QAOA.</w:t>
      </w:r>
    </w:p>
    <w:p w:rsidR="00924D0A" w:rsidRDefault="00C87C83" w14:paraId="05F653C6" w14:textId="77777777">
      <w:pPr>
        <w:pStyle w:val="Heading3"/>
      </w:pPr>
      <w:bookmarkStart w:name="qaoa-variants-and-improvements" w:id="8"/>
      <w:bookmarkEnd w:id="7"/>
      <w:r>
        <w:t>QAOA Variants and Improvements</w:t>
      </w:r>
    </w:p>
    <w:p w:rsidR="00924D0A" w:rsidRDefault="00C93036" w14:paraId="55F8983D" w14:textId="4E9A4D23">
      <w:pPr>
        <w:numPr>
          <w:ilvl w:val="0"/>
          <w:numId w:val="6"/>
        </w:numPr>
      </w:pPr>
      <w:hyperlink w:history="1" r:id="rId12">
        <w:r w:rsidRPr="00C93036">
          <w:rPr>
            <w:rStyle w:val="Hyperlink"/>
            <w:b/>
            <w:bCs/>
          </w:rPr>
          <w:t>Hadfield et al. (2019)</w:t>
        </w:r>
      </w:hyperlink>
      <w:r>
        <w:rPr>
          <w:b/>
          <w:bCs/>
        </w:rPr>
        <w:t xml:space="preserve"> “Quantum Alternating Operator Ansatz”</w:t>
      </w:r>
      <w:r>
        <w:t xml:space="preserve"> </w:t>
      </w:r>
      <w:r>
        <w:rPr>
          <w:i/>
          <w:iCs/>
        </w:rPr>
        <w:t>Generalizes QAOA with problem-specific mixers. Can enforce hard constraints during the optimization.</w:t>
      </w:r>
    </w:p>
    <w:p w:rsidR="00924D0A" w:rsidRDefault="00C93036" w14:paraId="3CF536AD" w14:textId="55CB7CFE">
      <w:pPr>
        <w:numPr>
          <w:ilvl w:val="0"/>
          <w:numId w:val="6"/>
        </w:numPr>
      </w:pPr>
      <w:hyperlink w:history="1" r:id="rId13">
        <w:r w:rsidRPr="00C93036">
          <w:rPr>
            <w:rStyle w:val="Hyperlink"/>
            <w:b/>
            <w:bCs/>
          </w:rPr>
          <w:t>Sack, Serbyn (2021)</w:t>
        </w:r>
      </w:hyperlink>
      <w:r>
        <w:rPr>
          <w:b/>
          <w:bCs/>
        </w:rPr>
        <w:t xml:space="preserve"> “Quantum Annealing Initialization of QAOA”</w:t>
      </w:r>
      <w:r>
        <w:t xml:space="preserve"> </w:t>
      </w:r>
      <w:r>
        <w:rPr>
          <w:i/>
          <w:iCs/>
        </w:rPr>
        <w:t>Smart parameter initialization from an annealing schedule. Can dramatically speed up QAOA convergence.</w:t>
      </w:r>
    </w:p>
    <w:p w:rsidR="00924D0A" w:rsidRDefault="00C93036" w14:paraId="263F4E83" w14:textId="4BCF5E83">
      <w:pPr>
        <w:numPr>
          <w:ilvl w:val="0"/>
          <w:numId w:val="6"/>
        </w:numPr>
      </w:pPr>
      <w:hyperlink w:history="1" r:id="rId14">
        <w:r w:rsidRPr="00C93036">
          <w:rPr>
            <w:rStyle w:val="Hyperlink"/>
            <w:b/>
            <w:bCs/>
          </w:rPr>
          <w:t>Vijendran et al. (2024)</w:t>
        </w:r>
      </w:hyperlink>
      <w:r>
        <w:rPr>
          <w:b/>
          <w:bCs/>
        </w:rPr>
        <w:t xml:space="preserve"> “XQAOA: Expressive Ansatz for Low-Depth QAOA”</w:t>
      </w:r>
      <w:r>
        <w:t xml:space="preserve"> </w:t>
      </w:r>
      <w:r>
        <w:rPr>
          <w:i/>
          <w:iCs/>
        </w:rPr>
        <w:t>Enhanced QAOA variant that achieves better results at lower circuit depth.</w:t>
      </w:r>
    </w:p>
    <w:p w:rsidR="00924D0A" w:rsidRDefault="00C87C83" w14:paraId="65B3ABE3" w14:textId="77777777">
      <w:pPr>
        <w:pStyle w:val="Heading3"/>
      </w:pPr>
      <w:bookmarkStart w:name="qaoa-limitations" w:id="9"/>
      <w:bookmarkEnd w:id="8"/>
      <w:r>
        <w:t>QAOA Limitations</w:t>
      </w:r>
    </w:p>
    <w:p w:rsidR="00924D0A" w:rsidRDefault="00C93036" w14:paraId="38D61B6D" w14:textId="69692FF5">
      <w:pPr>
        <w:pStyle w:val="Compact"/>
        <w:numPr>
          <w:ilvl w:val="0"/>
          <w:numId w:val="7"/>
        </w:numPr>
      </w:pPr>
      <w:hyperlink w:history="1" r:id="rId15">
        <w:r w:rsidRPr="00C93036">
          <w:rPr>
            <w:rStyle w:val="Hyperlink"/>
            <w:b/>
            <w:bCs/>
          </w:rPr>
          <w:t>Farhi, Gamarnik, Gutmann (2020)</w:t>
        </w:r>
      </w:hyperlink>
      <w:r>
        <w:rPr>
          <w:b/>
          <w:bCs/>
        </w:rPr>
        <w:t xml:space="preserve"> “QAOA Needs to See the Whole Graph”</w:t>
      </w:r>
      <w:r>
        <w:t xml:space="preserve"> </w:t>
      </w:r>
      <w:r>
        <w:rPr>
          <w:i/>
          <w:iCs/>
        </w:rPr>
        <w:t>Proves locality barriers for constant-depth QAOA. Important for understanding QAOA scaling.</w:t>
      </w:r>
    </w:p>
    <w:p w:rsidR="00924D0A" w:rsidRDefault="00C87C83" w14:paraId="08E6F706" w14:textId="77777777">
      <w:pPr>
        <w:pStyle w:val="Heading3"/>
      </w:pPr>
      <w:bookmarkStart w:name="qaoa-for-constraint-satisfaction" w:id="10"/>
      <w:bookmarkEnd w:id="9"/>
      <w:r>
        <w:t>QAOA for Constraint Satisfaction</w:t>
      </w:r>
    </w:p>
    <w:p w:rsidR="00924D0A" w:rsidRDefault="00C93036" w14:paraId="1F9F4D2A" w14:textId="33421A5B">
      <w:pPr>
        <w:pStyle w:val="Compact"/>
        <w:numPr>
          <w:ilvl w:val="0"/>
          <w:numId w:val="8"/>
        </w:numPr>
      </w:pPr>
      <w:hyperlink w:history="1" r:id="rId16">
        <w:r w:rsidRPr="00C93036">
          <w:rPr>
            <w:rStyle w:val="Hyperlink"/>
            <w:b/>
            <w:bCs/>
          </w:rPr>
          <w:t>Boulebnane, Montanaro (2022)</w:t>
        </w:r>
      </w:hyperlink>
      <w:r>
        <w:rPr>
          <w:b/>
          <w:bCs/>
        </w:rPr>
        <w:t xml:space="preserve"> “Solving Boolean SAT with QAOA”</w:t>
      </w:r>
      <w:r>
        <w:t xml:space="preserve"> </w:t>
      </w:r>
      <w:r>
        <w:rPr>
          <w:i/>
          <w:iCs/>
        </w:rPr>
        <w:t>QAOA applied to satisfiability problems – relevant for max-XORSAT connections.</w:t>
      </w:r>
    </w:p>
    <w:p w:rsidR="00924D0A" w:rsidRDefault="00C87C83" w14:paraId="3D600FA3" w14:textId="77777777">
      <w:r>
        <w:rPr>
          <w:noProof/>
        </w:rPr>
        <w:pict w14:anchorId="6650D3AC">
          <v:rect id="_x0000_i1027" style="width:468pt;height:.05pt;mso-width-percent:0;mso-height-percent:0;mso-width-percent:0;mso-height-percent:0" alt="" o:hr="t" o:hrstd="t" o:hralign="center"/>
        </w:pict>
      </w:r>
    </w:p>
    <w:p w:rsidR="00924D0A" w:rsidRDefault="00C87C83" w14:paraId="2944AFB7" w14:textId="77777777">
      <w:pPr>
        <w:pStyle w:val="Heading2"/>
      </w:pPr>
      <w:bookmarkStart w:name="quantinuum-platform" w:id="11"/>
      <w:bookmarkEnd w:id="6"/>
      <w:bookmarkEnd w:id="10"/>
      <w:r>
        <w:t>Quantinuum Platform</w:t>
      </w:r>
    </w:p>
    <w:p w:rsidR="00924D0A" w:rsidRDefault="00C87C83" w14:paraId="4B15CE9B" w14:textId="77777777">
      <w:pPr>
        <w:pStyle w:val="Heading3"/>
      </w:pPr>
      <w:bookmarkStart w:name="qaoa-on-quantinuum-hardware" w:id="12"/>
      <w:r>
        <w:t>QAOA on Quantinuum Hardware</w:t>
      </w:r>
    </w:p>
    <w:p w:rsidR="00924D0A" w:rsidRDefault="00C93036" w14:paraId="1EA3E2F5" w14:textId="2ED9E7FB">
      <w:pPr>
        <w:numPr>
          <w:ilvl w:val="0"/>
          <w:numId w:val="9"/>
        </w:numPr>
      </w:pPr>
      <w:hyperlink w:history="1" r:id="rId17">
        <w:r w:rsidRPr="00C93036">
          <w:rPr>
            <w:rStyle w:val="Hyperlink"/>
            <w:b/>
            <w:bCs/>
          </w:rPr>
          <w:t>Leontica &amp; Amaro (2023)</w:t>
        </w:r>
      </w:hyperlink>
      <w:r>
        <w:rPr>
          <w:b/>
          <w:bCs/>
        </w:rPr>
        <w:t xml:space="preserve"> “Exploring the neighborhood of 1-layer QAOA with IQP circuits”</w:t>
      </w:r>
      <w:r>
        <w:t xml:space="preserve"> </w:t>
      </w:r>
      <w:r>
        <w:rPr>
          <w:i/>
          <w:iCs/>
        </w:rPr>
        <w:t>QAOA on Quantinuum H2 hardware. Found optimal solutions for 136/312 instances, including 30-qubit optimal solutions with only 776 shots. Demonstrates the power of native ZZPhase gates.</w:t>
      </w:r>
    </w:p>
    <w:p w:rsidR="00924D0A" w:rsidRDefault="00C87C83" w14:paraId="104691E5" w14:textId="5C1A2EF7">
      <w:pPr>
        <w:numPr>
          <w:ilvl w:val="0"/>
          <w:numId w:val="9"/>
        </w:numPr>
      </w:pPr>
      <w:r>
        <w:rPr>
          <w:b/>
          <w:bCs/>
        </w:rPr>
        <w:t>“</w:t>
      </w:r>
      <w:bookmarkStart w:name="OLE_LINK4" w:id="13"/>
      <w:r w:rsidR="007E3C3C">
        <w:rPr>
          <w:b/>
          <w:bCs/>
        </w:rPr>
        <w:fldChar w:fldCharType="begin"/>
      </w:r>
      <w:r w:rsidR="007E3C3C">
        <w:rPr>
          <w:b/>
          <w:bCs/>
        </w:rPr>
        <w:instrText>HYPERLINK "https://arxiv.org/pdf/2409.12104"</w:instrText>
      </w:r>
      <w:r w:rsidR="007E3C3C">
        <w:rPr>
          <w:b/>
          <w:bCs/>
        </w:rPr>
      </w:r>
      <w:r w:rsidR="007E3C3C">
        <w:rPr>
          <w:b/>
          <w:bCs/>
        </w:rPr>
        <w:fldChar w:fldCharType="separate"/>
      </w:r>
      <w:r w:rsidRPr="007E3C3C">
        <w:rPr>
          <w:rStyle w:val="Hyperlink"/>
          <w:b/>
          <w:bCs/>
        </w:rPr>
        <w:t>Performance of quantum approximate optimization with quantum error detection</w:t>
      </w:r>
      <w:bookmarkEnd w:id="13"/>
      <w:r w:rsidR="007E3C3C">
        <w:rPr>
          <w:b/>
          <w:bCs/>
        </w:rPr>
        <w:fldChar w:fldCharType="end"/>
      </w:r>
      <w:r>
        <w:rPr>
          <w:b/>
          <w:bCs/>
        </w:rPr>
        <w:t>” (2025)</w:t>
      </w:r>
      <w:r>
        <w:t xml:space="preserve"> </w:t>
      </w:r>
      <w:r>
        <w:rPr>
          <w:i/>
          <w:iCs/>
        </w:rPr>
        <w:t>Logical QAOA on Quantinuum hardware with error detection.</w:t>
      </w:r>
    </w:p>
    <w:p w:rsidR="00924D0A" w:rsidRDefault="00C87C83" w14:paraId="7E57BD34" w14:textId="77777777">
      <w:pPr>
        <w:pStyle w:val="Heading3"/>
      </w:pPr>
      <w:bookmarkStart w:name="quantinuum-documentation" w:id="14"/>
      <w:bookmarkEnd w:id="12"/>
      <w:r w:rsidR="2B9377B2">
        <w:rPr/>
        <w:t>Quantinuum Documentation</w:t>
      </w:r>
    </w:p>
    <w:p w:rsidR="2B9377B2" w:rsidP="2B9377B2" w:rsidRDefault="2B9377B2" w14:paraId="09E1D5BF" w14:textId="08850618">
      <w:pPr>
        <w:numPr>
          <w:ilvl w:val="0"/>
          <w:numId w:val="10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859425763eae41cd">
        <w:r w:rsidRPr="2B9377B2" w:rsidR="2B9377B2">
          <w:rPr>
            <w:rStyle w:val="Hyperlink"/>
            <w:b w:val="1"/>
            <w:bCs w:val="1"/>
          </w:rPr>
          <w:t>Guppy Language Guide</w:t>
        </w:r>
      </w:hyperlink>
      <w:r w:rsidRPr="2B9377B2" w:rsidR="2B9377B2">
        <w:rPr>
          <w:b w:val="1"/>
          <w:bCs w:val="1"/>
        </w:rPr>
        <w:t xml:space="preserve"> </w:t>
      </w:r>
      <w:r w:rsidRPr="2B9377B2" w:rsidR="2B9377B2">
        <w:rPr>
          <w:b w:val="0"/>
          <w:bCs w:val="0"/>
          <w:i w:val="1"/>
          <w:iCs w:val="1"/>
        </w:rPr>
        <w:t xml:space="preserve">The high-level quantum-native language for </w:t>
      </w:r>
      <w:r w:rsidRPr="2B9377B2" w:rsidR="2B9377B2">
        <w:rPr>
          <w:b w:val="0"/>
          <w:bCs w:val="0"/>
          <w:i w:val="1"/>
          <w:iCs w:val="1"/>
        </w:rPr>
        <w:t>submitting</w:t>
      </w:r>
      <w:r w:rsidRPr="2B9377B2" w:rsidR="2B9377B2">
        <w:rPr>
          <w:b w:val="0"/>
          <w:bCs w:val="0"/>
          <w:i w:val="1"/>
          <w:iCs w:val="1"/>
        </w:rPr>
        <w:t xml:space="preserve"> programs to </w:t>
      </w:r>
      <w:r w:rsidRPr="2B9377B2" w:rsidR="2B9377B2">
        <w:rPr>
          <w:b w:val="0"/>
          <w:bCs w:val="0"/>
          <w:i w:val="1"/>
          <w:iCs w:val="1"/>
        </w:rPr>
        <w:t>Quantinuum</w:t>
      </w:r>
      <w:r w:rsidRPr="2B9377B2" w:rsidR="2B9377B2">
        <w:rPr>
          <w:b w:val="0"/>
          <w:bCs w:val="0"/>
          <w:i w:val="1"/>
          <w:iCs w:val="1"/>
        </w:rPr>
        <w:t xml:space="preserve"> Helios. </w:t>
      </w:r>
    </w:p>
    <w:p w:rsidR="2B9377B2" w:rsidP="2B9377B2" w:rsidRDefault="2B9377B2" w14:paraId="21263703" w14:textId="54FC7152">
      <w:pPr>
        <w:numPr>
          <w:ilvl w:val="0"/>
          <w:numId w:val="10"/>
        </w:numPr>
        <w:rPr>
          <w:b w:val="0"/>
          <w:bCs w:val="0"/>
        </w:rPr>
      </w:pPr>
      <w:hyperlink r:id="Rb206db8e348f4304">
        <w:r w:rsidRPr="2B9377B2" w:rsidR="2B9377B2">
          <w:rPr>
            <w:rStyle w:val="Hyperlink"/>
            <w:b w:val="1"/>
            <w:bCs w:val="1"/>
          </w:rPr>
          <w:t>Quantinuum Nexus</w:t>
        </w:r>
      </w:hyperlink>
      <w:r w:rsidRPr="2B9377B2" w:rsidR="2B9377B2">
        <w:rPr>
          <w:b w:val="1"/>
          <w:bCs w:val="1"/>
        </w:rPr>
        <w:t xml:space="preserve"> </w:t>
      </w:r>
      <w:r w:rsidRPr="2B9377B2" w:rsidR="2B9377B2">
        <w:rPr>
          <w:b w:val="0"/>
          <w:bCs w:val="0"/>
          <w:i w:val="1"/>
          <w:iCs w:val="1"/>
        </w:rPr>
        <w:t xml:space="preserve">The cloud platform for </w:t>
      </w:r>
      <w:r w:rsidRPr="2B9377B2" w:rsidR="2B9377B2">
        <w:rPr>
          <w:b w:val="0"/>
          <w:bCs w:val="0"/>
          <w:i w:val="1"/>
          <w:iCs w:val="1"/>
        </w:rPr>
        <w:t>submitting</w:t>
      </w:r>
      <w:r w:rsidRPr="2B9377B2" w:rsidR="2B9377B2">
        <w:rPr>
          <w:b w:val="0"/>
          <w:bCs w:val="0"/>
          <w:i w:val="1"/>
          <w:iCs w:val="1"/>
        </w:rPr>
        <w:t xml:space="preserve"> Guppy programs or legacy </w:t>
      </w:r>
      <w:r w:rsidRPr="2B9377B2" w:rsidR="2B9377B2">
        <w:rPr>
          <w:b w:val="0"/>
          <w:bCs w:val="0"/>
          <w:i w:val="1"/>
          <w:iCs w:val="1"/>
        </w:rPr>
        <w:t>pytket</w:t>
      </w:r>
      <w:r w:rsidRPr="2B9377B2" w:rsidR="2B9377B2">
        <w:rPr>
          <w:b w:val="0"/>
          <w:bCs w:val="0"/>
          <w:i w:val="1"/>
          <w:iCs w:val="1"/>
        </w:rPr>
        <w:t xml:space="preserve"> programs to </w:t>
      </w:r>
      <w:r w:rsidRPr="2B9377B2" w:rsidR="2B9377B2">
        <w:rPr>
          <w:b w:val="0"/>
          <w:bCs w:val="0"/>
          <w:i w:val="1"/>
          <w:iCs w:val="1"/>
        </w:rPr>
        <w:t>Quantinuum</w:t>
      </w:r>
      <w:r w:rsidRPr="2B9377B2" w:rsidR="2B9377B2">
        <w:rPr>
          <w:b w:val="0"/>
          <w:bCs w:val="0"/>
          <w:i w:val="1"/>
          <w:iCs w:val="1"/>
        </w:rPr>
        <w:t xml:space="preserve"> QPUs.</w:t>
      </w:r>
    </w:p>
    <w:p w:rsidR="00924D0A" w:rsidRDefault="00C93036" w14:paraId="07026AE1" w14:textId="7695E017">
      <w:pPr>
        <w:numPr>
          <w:ilvl w:val="0"/>
          <w:numId w:val="10"/>
        </w:numPr>
        <w:rPr/>
      </w:pPr>
      <w:hyperlink r:id="R4adda55f4f5e4ca4">
        <w:r w:rsidRPr="2B9377B2" w:rsidR="2B9377B2">
          <w:rPr>
            <w:rStyle w:val="Hyperlink"/>
            <w:b w:val="1"/>
            <w:bCs w:val="1"/>
          </w:rPr>
          <w:t>pytket User Manual</w:t>
        </w:r>
      </w:hyperlink>
      <w:r w:rsidR="2B9377B2">
        <w:rPr/>
        <w:t xml:space="preserve"> </w:t>
      </w:r>
      <w:r w:rsidRPr="2B9377B2" w:rsidR="2B9377B2">
        <w:rPr>
          <w:i w:val="1"/>
          <w:iCs w:val="1"/>
        </w:rPr>
        <w:t xml:space="preserve">The legacy SDK for </w:t>
      </w:r>
      <w:r w:rsidRPr="2B9377B2" w:rsidR="2B9377B2">
        <w:rPr>
          <w:i w:val="1"/>
          <w:iCs w:val="1"/>
        </w:rPr>
        <w:t>Quantinuum</w:t>
      </w:r>
      <w:r w:rsidRPr="2B9377B2" w:rsidR="2B9377B2">
        <w:rPr>
          <w:i w:val="1"/>
          <w:iCs w:val="1"/>
        </w:rPr>
        <w:t xml:space="preserve"> circuits, good for examples. </w:t>
      </w:r>
    </w:p>
    <w:p w:rsidR="00924D0A" w:rsidRDefault="00C93036" w14:paraId="408A8B2B" w14:textId="4D03994E">
      <w:pPr>
        <w:numPr>
          <w:ilvl w:val="0"/>
          <w:numId w:val="10"/>
        </w:numPr>
      </w:pPr>
      <w:hyperlink w:history="1" r:id="rId20">
        <w:r w:rsidRPr="00C93036">
          <w:rPr>
            <w:rStyle w:val="Hyperlink"/>
            <w:b/>
            <w:bCs/>
          </w:rPr>
          <w:t>Quantinuum Hardware Specifications</w:t>
        </w:r>
      </w:hyperlink>
      <w:r>
        <w:t xml:space="preserve"> </w:t>
      </w:r>
      <w:bookmarkStart w:name="OLE_LINK3" w:id="15"/>
      <w:r>
        <w:t xml:space="preserve">https://docs.quantinuum.com/h-series/ </w:t>
      </w:r>
      <w:bookmarkEnd w:id="15"/>
      <w:r>
        <w:rPr>
          <w:i/>
          <w:iCs/>
        </w:rPr>
        <w:t>Official H-Series specs: gate set, fidelities, connectivity, emulator access.</w:t>
      </w:r>
    </w:p>
    <w:p w:rsidR="00924D0A" w:rsidRDefault="00C87C83" w14:paraId="1E09B722" w14:textId="77777777">
      <w:r>
        <w:rPr>
          <w:noProof/>
        </w:rPr>
        <w:pict w14:anchorId="7D262868">
          <v:rect id="_x0000_i1028" style="width:468pt;height:.05pt;mso-width-percent:0;mso-height-percent:0;mso-width-percent:0;mso-height-percent:0" alt="" o:hr="t" o:hrstd="t" o:hralign="center"/>
        </w:pict>
      </w:r>
    </w:p>
    <w:p w:rsidR="00924D0A" w:rsidRDefault="00C87C83" w14:paraId="75C35AE8" w14:textId="77777777">
      <w:pPr>
        <w:pStyle w:val="Heading2"/>
      </w:pPr>
      <w:bookmarkStart w:name="qubo-combinatorial-optimization" w:id="16"/>
      <w:bookmarkEnd w:id="11"/>
      <w:bookmarkEnd w:id="14"/>
      <w:r>
        <w:t>QUBO / Combinatorial Optimization</w:t>
      </w:r>
    </w:p>
    <w:p w:rsidR="00924D0A" w:rsidRDefault="00C93036" w14:paraId="62836207" w14:textId="176B27FE">
      <w:pPr>
        <w:numPr>
          <w:ilvl w:val="0"/>
          <w:numId w:val="11"/>
        </w:numPr>
      </w:pPr>
      <w:hyperlink w:history="1" r:id="rId21">
        <w:r w:rsidRPr="00C93036">
          <w:rPr>
            <w:rStyle w:val="Hyperlink"/>
            <w:b/>
            <w:bCs/>
          </w:rPr>
          <w:t>Glover et al. (2019)</w:t>
        </w:r>
      </w:hyperlink>
      <w:r>
        <w:rPr>
          <w:b/>
          <w:bCs/>
        </w:rPr>
        <w:t xml:space="preserve"> “A Tutorial on Formulating and Using QUBO Models”</w:t>
      </w:r>
      <w:r>
        <w:t xml:space="preserve"> </w:t>
      </w:r>
      <w:r>
        <w:rPr>
          <w:i/>
          <w:iCs/>
        </w:rPr>
        <w:t>Definitive guide to QUBO formulation. Shows how to convert many combinatorial problems to QUBO form.</w:t>
      </w:r>
    </w:p>
    <w:p w:rsidR="00924D0A" w:rsidRDefault="00C93036" w14:paraId="65548806" w14:textId="0099971E">
      <w:pPr>
        <w:numPr>
          <w:ilvl w:val="0"/>
          <w:numId w:val="11"/>
        </w:numPr>
      </w:pPr>
      <w:hyperlink w:history="1" r:id="rId22">
        <w:r w:rsidRPr="00C93036">
          <w:rPr>
            <w:rStyle w:val="Hyperlink"/>
            <w:b/>
            <w:bCs/>
          </w:rPr>
          <w:t>Lucas (2014)</w:t>
        </w:r>
      </w:hyperlink>
      <w:r>
        <w:rPr>
          <w:b/>
          <w:bCs/>
        </w:rPr>
        <w:t xml:space="preserve"> “Ising formulations of many NP problems”</w:t>
      </w:r>
      <w:r>
        <w:t xml:space="preserve"> </w:t>
      </w:r>
      <w:r>
        <w:rPr>
          <w:i/>
          <w:iCs/>
        </w:rPr>
        <w:t>Maps NP-hard problems to Ising/QUBO form. Useful reference for understanding the problem landscape.</w:t>
      </w:r>
    </w:p>
    <w:p w:rsidR="00924D0A" w:rsidRDefault="00C93036" w14:paraId="76F33414" w14:textId="74E667BE">
      <w:pPr>
        <w:numPr>
          <w:ilvl w:val="0"/>
          <w:numId w:val="11"/>
        </w:numPr>
      </w:pPr>
      <w:hyperlink w:history="1" r:id="rId23">
        <w:r w:rsidRPr="00C93036">
          <w:rPr>
            <w:rStyle w:val="Hyperlink"/>
            <w:b/>
            <w:bCs/>
          </w:rPr>
          <w:t>Gilliam, Woerner, Gonciulea (2021)</w:t>
        </w:r>
      </w:hyperlink>
      <w:r>
        <w:rPr>
          <w:b/>
          <w:bCs/>
        </w:rPr>
        <w:t xml:space="preserve"> “Grover Adaptive Search for CPBO”</w:t>
      </w:r>
      <w:r>
        <w:t xml:space="preserve"> </w:t>
      </w:r>
      <w:r>
        <w:rPr>
          <w:i/>
          <w:iCs/>
        </w:rPr>
        <w:t>Alternative quantum approach to binary optimization – useful comparison point.</w:t>
      </w:r>
    </w:p>
    <w:p w:rsidR="00924D0A" w:rsidP="00C93036" w:rsidRDefault="00C87C83" w14:paraId="6F46A93A" w14:textId="2ECAC17B">
      <w:r>
        <w:rPr>
          <w:noProof/>
        </w:rPr>
        <w:pict w14:anchorId="57E1CE20">
          <v:rect id="_x0000_i1029" style="width:468pt;height:.05pt;mso-width-percent:0;mso-height-percent:0;mso-width-percent:0;mso-height-percent:0" alt="" o:hr="t" o:hrstd="t" o:hralign="center"/>
        </w:pict>
      </w:r>
      <w:bookmarkStart w:name="recommended-reading-order" w:id="17"/>
      <w:bookmarkEnd w:id="0"/>
      <w:bookmarkEnd w:id="16"/>
      <w:bookmarkEnd w:id="17"/>
    </w:p>
    <w:p w:rsidR="2B9377B2" w:rsidP="2B9377B2" w:rsidRDefault="2B9377B2" w14:paraId="273C0840" w14:textId="357DA9EF">
      <w:pPr>
        <w:pStyle w:val="Heading2"/>
      </w:pPr>
      <w:r w:rsidR="2B9377B2">
        <w:rPr/>
        <w:t>Q-Net Community</w:t>
      </w:r>
    </w:p>
    <w:p w:rsidR="2B9377B2" w:rsidP="2B9377B2" w:rsidRDefault="2B9377B2" w14:paraId="5B41587B" w14:textId="11DC994E">
      <w:pPr>
        <w:pStyle w:val="Normal"/>
      </w:pPr>
      <w:r w:rsidRPr="2B9377B2" w:rsidR="2B9377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 encourage you to </w:t>
      </w:r>
      <w:hyperlink r:id="Rdaac591e1001461e">
        <w:r w:rsidRPr="2B9377B2" w:rsidR="2B9377B2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join our Quantinuum Network</w:t>
        </w:r>
      </w:hyperlink>
      <w:r w:rsidRPr="2B9377B2" w:rsidR="2B9377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(Q‑Net) . Q‑Net offers year‑round resources to keep you up to date on all things related to Quantinuum, including developer tools, documentation, trainings, webinars, events, and more.</w:t>
      </w:r>
    </w:p>
    <w:sectPr w:rsidR="00924D0A">
      <w:footnotePr>
        <w:numRestart w:val="eachSect"/>
      </w:footnotePr>
      <w:pgSz w:w="12240" w:h="15840" w:orient="portrait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08C3F4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6C6644C"/>
    <w:lvl w:ilvl="0"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" w15:restartNumberingAfterBreak="0">
    <w:nsid w:val="00A99411"/>
    <w:multiLevelType w:val="multilevel"/>
    <w:tmpl w:val="39362A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450932028">
    <w:abstractNumId w:val="0"/>
  </w:num>
  <w:num w:numId="2" w16cid:durableId="1020277210">
    <w:abstractNumId w:val="1"/>
  </w:num>
  <w:num w:numId="3" w16cid:durableId="61024785">
    <w:abstractNumId w:val="1"/>
  </w:num>
  <w:num w:numId="4" w16cid:durableId="1386102333">
    <w:abstractNumId w:val="1"/>
  </w:num>
  <w:num w:numId="5" w16cid:durableId="326787571">
    <w:abstractNumId w:val="1"/>
  </w:num>
  <w:num w:numId="6" w16cid:durableId="1710567110">
    <w:abstractNumId w:val="1"/>
  </w:num>
  <w:num w:numId="7" w16cid:durableId="1865055661">
    <w:abstractNumId w:val="1"/>
  </w:num>
  <w:num w:numId="8" w16cid:durableId="604850212">
    <w:abstractNumId w:val="1"/>
  </w:num>
  <w:num w:numId="9" w16cid:durableId="1027606094">
    <w:abstractNumId w:val="1"/>
  </w:num>
  <w:num w:numId="10" w16cid:durableId="1718819797">
    <w:abstractNumId w:val="1"/>
  </w:num>
  <w:num w:numId="11" w16cid:durableId="1687830928">
    <w:abstractNumId w:val="1"/>
  </w:num>
  <w:num w:numId="12" w16cid:durableId="19933663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D0A"/>
    <w:rsid w:val="00301ED7"/>
    <w:rsid w:val="00645EF4"/>
    <w:rsid w:val="007E3C3C"/>
    <w:rsid w:val="00924D0A"/>
    <w:rsid w:val="00C87C83"/>
    <w:rsid w:val="00C93036"/>
    <w:rsid w:val="00F70349"/>
    <w:rsid w:val="2B937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97147"/>
  <w15:docId w15:val="{F67614AE-7DD9-184B-A060-4DC8BC7D0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styleId="FootnoteBlockText" w:customStyle="1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styleId="Table" w:customStyle="1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color="auto" w:sz="0" w:space="0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CaptionChar" w:customStyle="1">
    <w:name w:val="Caption Char"/>
    <w:basedOn w:val="DefaultParagraphFont"/>
    <w:link w:val="Caption"/>
  </w:style>
  <w:style w:type="character" w:styleId="VerbatimChar" w:customStyle="1">
    <w:name w:val="Verbatim Char"/>
    <w:basedOn w:val="CaptionChar"/>
    <w:link w:val="SourceCode"/>
    <w:rPr>
      <w:rFonts w:ascii="Consolas" w:hAnsi="Consolas"/>
      <w:sz w:val="22"/>
    </w:rPr>
  </w:style>
  <w:style w:type="character" w:styleId="SectionNumber" w:customStyle="1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rFonts w:ascii="Consolas" w:hAnsi="Consolas"/>
      <w:b/>
      <w:color w:val="007020"/>
      <w:sz w:val="22"/>
    </w:rPr>
  </w:style>
  <w:style w:type="character" w:styleId="DataTypeTok" w:customStyle="1">
    <w:name w:val="DataTypeTok"/>
    <w:basedOn w:val="VerbatimChar"/>
    <w:rPr>
      <w:rFonts w:ascii="Consolas" w:hAnsi="Consolas"/>
      <w:color w:val="902000"/>
      <w:sz w:val="22"/>
    </w:rPr>
  </w:style>
  <w:style w:type="character" w:styleId="DecValTok" w:customStyle="1">
    <w:name w:val="DecValTok"/>
    <w:basedOn w:val="VerbatimChar"/>
    <w:rPr>
      <w:rFonts w:ascii="Consolas" w:hAnsi="Consolas"/>
      <w:color w:val="40A070"/>
      <w:sz w:val="22"/>
    </w:rPr>
  </w:style>
  <w:style w:type="character" w:styleId="BaseNTok" w:customStyle="1">
    <w:name w:val="BaseNTok"/>
    <w:basedOn w:val="VerbatimChar"/>
    <w:rPr>
      <w:rFonts w:ascii="Consolas" w:hAnsi="Consolas"/>
      <w:color w:val="40A070"/>
      <w:sz w:val="22"/>
    </w:rPr>
  </w:style>
  <w:style w:type="character" w:styleId="FloatTok" w:customStyle="1">
    <w:name w:val="FloatTok"/>
    <w:basedOn w:val="VerbatimChar"/>
    <w:rPr>
      <w:rFonts w:ascii="Consolas" w:hAnsi="Consolas"/>
      <w:color w:val="40A070"/>
      <w:sz w:val="22"/>
    </w:rPr>
  </w:style>
  <w:style w:type="character" w:styleId="ConstantTok" w:customStyle="1">
    <w:name w:val="ConstantTok"/>
    <w:basedOn w:val="VerbatimChar"/>
    <w:rPr>
      <w:rFonts w:ascii="Consolas" w:hAnsi="Consolas"/>
      <w:color w:val="880000"/>
      <w:sz w:val="22"/>
    </w:rPr>
  </w:style>
  <w:style w:type="character" w:styleId="CharTok" w:customStyle="1">
    <w:name w:val="CharTok"/>
    <w:basedOn w:val="VerbatimChar"/>
    <w:rPr>
      <w:rFonts w:ascii="Consolas" w:hAnsi="Consolas"/>
      <w:color w:val="4070A0"/>
      <w:sz w:val="22"/>
    </w:rPr>
  </w:style>
  <w:style w:type="character" w:styleId="SpecialCharTok" w:customStyle="1">
    <w:name w:val="SpecialCharTok"/>
    <w:basedOn w:val="VerbatimChar"/>
    <w:rPr>
      <w:rFonts w:ascii="Consolas" w:hAnsi="Consolas"/>
      <w:color w:val="4070A0"/>
      <w:sz w:val="22"/>
    </w:rPr>
  </w:style>
  <w:style w:type="character" w:styleId="StringTok" w:customStyle="1">
    <w:name w:val="StringTok"/>
    <w:basedOn w:val="VerbatimChar"/>
    <w:rPr>
      <w:rFonts w:ascii="Consolas" w:hAnsi="Consolas"/>
      <w:color w:val="4070A0"/>
      <w:sz w:val="22"/>
    </w:rPr>
  </w:style>
  <w:style w:type="character" w:styleId="VerbatimStringTok" w:customStyle="1">
    <w:name w:val="VerbatimStringTok"/>
    <w:basedOn w:val="VerbatimChar"/>
    <w:rPr>
      <w:rFonts w:ascii="Consolas" w:hAnsi="Consolas"/>
      <w:color w:val="4070A0"/>
      <w:sz w:val="22"/>
    </w:rPr>
  </w:style>
  <w:style w:type="character" w:styleId="SpecialStringTok" w:customStyle="1">
    <w:name w:val="SpecialStringTok"/>
    <w:basedOn w:val="VerbatimChar"/>
    <w:rPr>
      <w:rFonts w:ascii="Consolas" w:hAnsi="Consolas"/>
      <w:color w:val="BB6688"/>
      <w:sz w:val="22"/>
    </w:rPr>
  </w:style>
  <w:style w:type="character" w:styleId="ImportTok" w:customStyle="1">
    <w:name w:val="ImportTok"/>
    <w:basedOn w:val="VerbatimChar"/>
    <w:rPr>
      <w:rFonts w:ascii="Consolas" w:hAnsi="Consolas"/>
      <w:b/>
      <w:color w:val="008000"/>
      <w:sz w:val="22"/>
    </w:rPr>
  </w:style>
  <w:style w:type="character" w:styleId="CommentTok" w:customStyle="1">
    <w:name w:val="CommentTok"/>
    <w:basedOn w:val="VerbatimChar"/>
    <w:rPr>
      <w:rFonts w:ascii="Consolas" w:hAnsi="Consolas"/>
      <w:i/>
      <w:color w:val="60A0B0"/>
      <w:sz w:val="22"/>
    </w:rPr>
  </w:style>
  <w:style w:type="character" w:styleId="DocumentationTok" w:customStyle="1">
    <w:name w:val="DocumentationTok"/>
    <w:basedOn w:val="VerbatimChar"/>
    <w:rPr>
      <w:rFonts w:ascii="Consolas" w:hAnsi="Consolas"/>
      <w:i/>
      <w:color w:val="BA2121"/>
      <w:sz w:val="22"/>
    </w:rPr>
  </w:style>
  <w:style w:type="character" w:styleId="AnnotationTok" w:customStyle="1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styleId="CommentVarTok" w:customStyle="1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styleId="OtherTok" w:customStyle="1">
    <w:name w:val="OtherTok"/>
    <w:basedOn w:val="VerbatimChar"/>
    <w:rPr>
      <w:rFonts w:ascii="Consolas" w:hAnsi="Consolas"/>
      <w:color w:val="007020"/>
      <w:sz w:val="22"/>
    </w:rPr>
  </w:style>
  <w:style w:type="character" w:styleId="FunctionTok" w:customStyle="1">
    <w:name w:val="FunctionTok"/>
    <w:basedOn w:val="VerbatimChar"/>
    <w:rPr>
      <w:rFonts w:ascii="Consolas" w:hAnsi="Consolas"/>
      <w:color w:val="06287E"/>
      <w:sz w:val="22"/>
    </w:rPr>
  </w:style>
  <w:style w:type="character" w:styleId="VariableTok" w:customStyle="1">
    <w:name w:val="VariableTok"/>
    <w:basedOn w:val="VerbatimChar"/>
    <w:rPr>
      <w:rFonts w:ascii="Consolas" w:hAnsi="Consolas"/>
      <w:color w:val="19177C"/>
      <w:sz w:val="22"/>
    </w:rPr>
  </w:style>
  <w:style w:type="character" w:styleId="ControlFlowTok" w:customStyle="1">
    <w:name w:val="ControlFlowTok"/>
    <w:basedOn w:val="VerbatimChar"/>
    <w:rPr>
      <w:rFonts w:ascii="Consolas" w:hAnsi="Consolas"/>
      <w:b/>
      <w:color w:val="007020"/>
      <w:sz w:val="22"/>
    </w:rPr>
  </w:style>
  <w:style w:type="character" w:styleId="OperatorTok" w:customStyle="1">
    <w:name w:val="OperatorTok"/>
    <w:basedOn w:val="VerbatimChar"/>
    <w:rPr>
      <w:rFonts w:ascii="Consolas" w:hAnsi="Consolas"/>
      <w:color w:val="666666"/>
      <w:sz w:val="22"/>
    </w:rPr>
  </w:style>
  <w:style w:type="character" w:styleId="BuiltInTok" w:customStyle="1">
    <w:name w:val="BuiltInTok"/>
    <w:basedOn w:val="VerbatimChar"/>
    <w:rPr>
      <w:rFonts w:ascii="Consolas" w:hAnsi="Consolas"/>
      <w:color w:val="008000"/>
      <w:sz w:val="22"/>
    </w:rPr>
  </w:style>
  <w:style w:type="character" w:styleId="ExtensionTok" w:customStyle="1">
    <w:name w:val="ExtensionTok"/>
    <w:basedOn w:val="VerbatimChar"/>
    <w:rPr>
      <w:rFonts w:ascii="Consolas" w:hAnsi="Consolas"/>
      <w:sz w:val="22"/>
    </w:rPr>
  </w:style>
  <w:style w:type="character" w:styleId="PreprocessorTok" w:customStyle="1">
    <w:name w:val="PreprocessorTok"/>
    <w:basedOn w:val="VerbatimChar"/>
    <w:rPr>
      <w:rFonts w:ascii="Consolas" w:hAnsi="Consolas"/>
      <w:color w:val="BC7A00"/>
      <w:sz w:val="22"/>
    </w:rPr>
  </w:style>
  <w:style w:type="character" w:styleId="AttributeTok" w:customStyle="1">
    <w:name w:val="AttributeTok"/>
    <w:basedOn w:val="VerbatimChar"/>
    <w:rPr>
      <w:rFonts w:ascii="Consolas" w:hAnsi="Consolas"/>
      <w:color w:val="7D9029"/>
      <w:sz w:val="22"/>
    </w:rPr>
  </w:style>
  <w:style w:type="character" w:styleId="RegionMarkerTok" w:customStyle="1">
    <w:name w:val="RegionMarkerTok"/>
    <w:basedOn w:val="VerbatimChar"/>
    <w:rPr>
      <w:rFonts w:ascii="Consolas" w:hAnsi="Consolas"/>
      <w:sz w:val="22"/>
    </w:rPr>
  </w:style>
  <w:style w:type="character" w:styleId="InformationTok" w:customStyle="1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styleId="WarningTok" w:customStyle="1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styleId="AlertTok" w:customStyle="1">
    <w:name w:val="AlertTok"/>
    <w:basedOn w:val="VerbatimChar"/>
    <w:rPr>
      <w:rFonts w:ascii="Consolas" w:hAnsi="Consolas"/>
      <w:b/>
      <w:color w:val="FF0000"/>
      <w:sz w:val="22"/>
    </w:rPr>
  </w:style>
  <w:style w:type="character" w:styleId="ErrorTok" w:customStyle="1">
    <w:name w:val="ErrorTok"/>
    <w:basedOn w:val="VerbatimChar"/>
    <w:rPr>
      <w:rFonts w:ascii="Consolas" w:hAnsi="Consolas"/>
      <w:b/>
      <w:color w:val="FF0000"/>
      <w:sz w:val="22"/>
    </w:rPr>
  </w:style>
  <w:style w:type="character" w:styleId="NormalTok" w:customStyle="1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C930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arxiv.org/abs/2509.14509" TargetMode="External" Id="rId8" /><Relationship Type="http://schemas.openxmlformats.org/officeDocument/2006/relationships/hyperlink" Target="https://arxiv.org/abs/2101.05742" TargetMode="External" Id="rId13" /><Relationship Type="http://schemas.openxmlformats.org/officeDocument/2006/relationships/settings" Target="settings.xml" Id="rId3" /><Relationship Type="http://schemas.openxmlformats.org/officeDocument/2006/relationships/hyperlink" Target="https://arxiv.org/abs/1811.11538" TargetMode="External" Id="rId21" /><Relationship Type="http://schemas.openxmlformats.org/officeDocument/2006/relationships/hyperlink" Target="https://arxiv.org/pdf/2508.10725" TargetMode="External" Id="rId7" /><Relationship Type="http://schemas.openxmlformats.org/officeDocument/2006/relationships/hyperlink" Target="https://arxiv.org/abs/1709.03489" TargetMode="External" Id="rId12" /><Relationship Type="http://schemas.openxmlformats.org/officeDocument/2006/relationships/hyperlink" Target="https://arxiv.org/abs/2210.05526" TargetMode="External" Id="rId17" /><Relationship Type="http://schemas.openxmlformats.org/officeDocument/2006/relationships/theme" Target="theme/theme1.xml" Id="rId25" /><Relationship Type="http://schemas.openxmlformats.org/officeDocument/2006/relationships/styles" Target="styles.xml" Id="rId2" /><Relationship Type="http://schemas.openxmlformats.org/officeDocument/2006/relationships/hyperlink" Target="https://arxiv.org/abs/2208.06909" TargetMode="External" Id="rId16" /><Relationship Type="http://schemas.openxmlformats.org/officeDocument/2006/relationships/hyperlink" Target="https://docs.quantinuum.com/h-series/" TargetMode="External" Id="rId20" /><Relationship Type="http://schemas.openxmlformats.org/officeDocument/2006/relationships/numbering" Target="numbering.xml" Id="rId1" /><Relationship Type="http://schemas.openxmlformats.org/officeDocument/2006/relationships/hyperlink" Target="https://arxiv.org/abs/2509.08328" TargetMode="External" Id="rId6" /><Relationship Type="http://schemas.openxmlformats.org/officeDocument/2006/relationships/hyperlink" Target="https://arxiv.org/abs/2306.09198" TargetMode="External" Id="rId11" /><Relationship Type="http://schemas.openxmlformats.org/officeDocument/2006/relationships/fontTable" Target="fontTable.xml" Id="rId24" /><Relationship Type="http://schemas.openxmlformats.org/officeDocument/2006/relationships/hyperlink" Target="https://arxiv.org/abs/2408.08292" TargetMode="External" Id="rId5" /><Relationship Type="http://schemas.openxmlformats.org/officeDocument/2006/relationships/hyperlink" Target="https://arxiv.org/abs/2004.09002" TargetMode="External" Id="rId15" /><Relationship Type="http://schemas.openxmlformats.org/officeDocument/2006/relationships/hyperlink" Target="https://arxiv.org/abs/1912.04088" TargetMode="External" Id="rId23" /><Relationship Type="http://schemas.openxmlformats.org/officeDocument/2006/relationships/hyperlink" Target="https://arxiv.org/abs/1411.4028" TargetMode="External" Id="rId10" /><Relationship Type="http://schemas.openxmlformats.org/officeDocument/2006/relationships/webSettings" Target="webSettings.xml" Id="rId4" /><Relationship Type="http://schemas.openxmlformats.org/officeDocument/2006/relationships/hyperlink" Target="https://bcg-x-official.github.io/dqi/" TargetMode="External" Id="rId9" /><Relationship Type="http://schemas.openxmlformats.org/officeDocument/2006/relationships/hyperlink" Target="https://arxiv.org/abs/2302.04479" TargetMode="External" Id="rId14" /><Relationship Type="http://schemas.openxmlformats.org/officeDocument/2006/relationships/hyperlink" Target="https://arxiv.org/abs/1302.5843" TargetMode="External" Id="rId22" /><Relationship Type="http://schemas.openxmlformats.org/officeDocument/2006/relationships/hyperlink" Target="https://docs.quantinuum.com/guppy/language_guide/language_guide_index.html" TargetMode="External" Id="R859425763eae41cd" /><Relationship Type="http://schemas.openxmlformats.org/officeDocument/2006/relationships/hyperlink" Target="https://docs.quantinuum.com/nexus/trainings/notebooks/basics/getting_started.html" TargetMode="External" Id="Rb206db8e348f4304" /><Relationship Type="http://schemas.openxmlformats.org/officeDocument/2006/relationships/hyperlink" Target="https://docs.quantinuum.com/tket/user-guide/" TargetMode="External" Id="R4adda55f4f5e4ca4" /><Relationship Type="http://schemas.openxmlformats.org/officeDocument/2006/relationships/hyperlink" Target="https://www.quantinuum.com/q-net" TargetMode="External" Id="Rdaac591e1001461e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/>
  <keywords/>
  <lastModifiedBy>Mikail Shaikh</lastModifiedBy>
  <revision>4</revision>
  <dcterms:created xsi:type="dcterms:W3CDTF">2026-03-26T14:23:00.0000000Z</dcterms:created>
  <dcterms:modified xsi:type="dcterms:W3CDTF">2026-03-26T16:13:04.7576931Z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90f5e94-b30f-4e73-9b6b-e333361c0d6b_Enabled">
    <vt:lpwstr>true</vt:lpwstr>
  </property>
  <property fmtid="{D5CDD505-2E9C-101B-9397-08002B2CF9AE}" pid="3" name="MSIP_Label_290f5e94-b30f-4e73-9b6b-e333361c0d6b_SetDate">
    <vt:lpwstr>2026-03-17T00:33:17Z</vt:lpwstr>
  </property>
  <property fmtid="{D5CDD505-2E9C-101B-9397-08002B2CF9AE}" pid="4" name="MSIP_Label_290f5e94-b30f-4e73-9b6b-e333361c0d6b_Method">
    <vt:lpwstr>Standard</vt:lpwstr>
  </property>
  <property fmtid="{D5CDD505-2E9C-101B-9397-08002B2CF9AE}" pid="5" name="MSIP_Label_290f5e94-b30f-4e73-9b6b-e333361c0d6b_Name">
    <vt:lpwstr>290f5e94-b30f-4e73-9b6b-e333361c0d6b</vt:lpwstr>
  </property>
  <property fmtid="{D5CDD505-2E9C-101B-9397-08002B2CF9AE}" pid="6" name="MSIP_Label_290f5e94-b30f-4e73-9b6b-e333361c0d6b_SiteId">
    <vt:lpwstr>399ead0d-c7c4-4583-88a4-d98814f80b0e</vt:lpwstr>
  </property>
  <property fmtid="{D5CDD505-2E9C-101B-9397-08002B2CF9AE}" pid="7" name="MSIP_Label_290f5e94-b30f-4e73-9b6b-e333361c0d6b_ActionId">
    <vt:lpwstr>c38b2c5d-487d-44dc-bb2e-c47bae9e14d2</vt:lpwstr>
  </property>
  <property fmtid="{D5CDD505-2E9C-101B-9397-08002B2CF9AE}" pid="8" name="MSIP_Label_290f5e94-b30f-4e73-9b6b-e333361c0d6b_ContentBits">
    <vt:lpwstr>0</vt:lpwstr>
  </property>
  <property fmtid="{D5CDD505-2E9C-101B-9397-08002B2CF9AE}" pid="9" name="MSIP_Label_290f5e94-b30f-4e73-9b6b-e333361c0d6b_Tag">
    <vt:lpwstr>50, 3, 0, 1</vt:lpwstr>
  </property>
</Properties>
</file>