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80"/>
      </w:pPr>
      <w:r>
        <w:rPr>
          <w:rFonts w:ascii="Arial" w:hAnsi="Arial"/>
          <w:b/>
          <w:color w:val="1F4E79"/>
          <w:sz w:val="50"/>
        </w:rPr>
        <w:t>Data And Sources Appendix</w:t>
      </w:r>
    </w:p>
    <w:p>
      <w:pPr>
        <w:spacing w:after="360"/>
      </w:pPr>
      <w:r>
        <w:rPr>
          <w:rFonts w:ascii="Arial" w:hAnsi="Arial"/>
          <w:color w:val="595959"/>
          <w:sz w:val="26"/>
        </w:rPr>
        <w:t>Plain-language background for the e-dispo-atRisk-v2 Excel model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Active model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e-dispo-v4.0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Workbook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e-dispo-atRisk-v2.xlsx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Dataset basis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Derived pooled NHAMCS 2018-2022 artifacts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Raw data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Not included in this package</w:t>
            </w:r>
          </w:p>
        </w:tc>
      </w:tr>
    </w:tbl>
    <w:p>
      <w:pPr>
        <w:pStyle w:val="SmallNote"/>
      </w:pPr>
    </w:p>
    <w:tbl>
      <w:tblPr>
        <w:tblW w:type="dxa" w:w="760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/>
            <w:r>
              <w:rPr>
                <w:b/>
                <w:color w:val="1F4E79"/>
              </w:rPr>
              <w:t xml:space="preserve">Important: </w:t>
            </w:r>
            <w:r>
              <w:rPr>
                <w:b w:val="0"/>
              </w:rPr>
              <w:t>This is an educational/statistical workbook for testing and learning. It is not clinical decision support, diagnosis, triage, treatment advice, discharge guidance, medical advice, or a medical device.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rPr>
          <w:b w:val="0"/>
        </w:rPr>
        <w:t>Model Snapshot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Model ID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e-dispo-v4.0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Model version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e_dispo_v4_0_pain_severe_20260501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Workbook version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e-dispo-atRisk-v2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Population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Adult men ages 18-64 already in the ED with non-traumatic abdominal pain.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Endpoint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Same-hospital admission versus routine ED discharge home after exclusions.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Simulation settings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Seed 20260428; planned 100,000 @RISK iterations.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Allowed use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Educational/statistical testing only.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b w:val="0"/>
        </w:rPr>
        <w:t>Where The Evidence Comes From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What it supports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docs/model-card.md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High-level model status, use boundary, performance summary, and limitations.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docs/validation/model-validation-handoff.md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Technical reviewer handoff that this friend guide simplifies.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docs/validation/performance-report.md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AUROC, Brier score, calibration, and active model performance.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docs/validation/predictive-power-usability-review.md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Plain-language interpretation of predictive power and usability limits.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src/data/eDispoV4Model.ts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Authoritative exported coefficients and model metadata.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outputs/nhamcs_pooled/*.csv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Derived pooled NHAMCS 2018-2022 artifacts, including coefficients, calibration, and cohort summaries.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output/e-dispo-atRisk-v2.xlsx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The Excel @RISK workbook being tested.</w:t>
            </w:r>
          </w:p>
        </w:tc>
      </w:tr>
    </w:tbl>
    <w:p>
      <w:pPr>
        <w:pStyle w:val="SmallNote"/>
      </w:pPr>
    </w:p>
    <w:tbl>
      <w:tblPr>
        <w:tblW w:type="dxa" w:w="760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/>
            <w:r>
              <w:rPr>
                <w:b/>
                <w:color w:val="1F4E79"/>
              </w:rPr>
              <w:t xml:space="preserve">Raw data note: </w:t>
            </w:r>
            <w:r>
              <w:rPr>
                <w:b w:val="0"/>
              </w:rPr>
              <w:t>The friend package does not include raw NHAMCS data. It includes the workbook and plain-language documents built from already-derived repo artifacts.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rPr>
          <w:b w:val="0"/>
        </w:rPr>
        <w:t>Cohort Summary</w:t>
      </w:r>
    </w:p>
    <w:p>
      <w:pPr/>
      <w:r>
        <w:rPr>
          <w:b w:val="0"/>
        </w:rPr>
        <w:t>The active model uses a pooled NHAMCS 2018-2022 educational export. These counts help explain the scale of the source data behind the model.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Complete-case unweighted N used for e-dispo-v4.0 fit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2,674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Admission events in the complete-case fit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307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Full strict binary pooled NHAMCS N before complete-case restriction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3,805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Admission events before complete-case restriction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459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Weighted admission prevalence in strict binary pooled artifact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0.1244851498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b w:val="0"/>
        </w:rPr>
        <w:t>Historical 2022 audit context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Step or count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All NHAMCS ED records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16,025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Male records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8,465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Male age 18-64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5,066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Abdominal pain RFV proxy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840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Strict non-trauma proxy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721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Primary binary endpoint records before missing predictor exclusions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660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Reduced fit sample after pain-scale availability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469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Primary admit records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87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Primary routine home discharge records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573</w:t>
            </w:r>
          </w:p>
        </w:tc>
      </w:tr>
      <w:tr>
        <w:tc>
          <w:tcPr>
            <w:tcW w:type="dxa" w:w="633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Primary excluded records</w:t>
            </w:r>
          </w:p>
        </w:tc>
        <w:tc>
          <w:tcPr>
            <w:tcW w:type="dxa" w:w="34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61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rPr>
          <w:b w:val="0"/>
        </w:rPr>
        <w:t>Model Ingredients</w:t>
      </w:r>
    </w:p>
    <w:p>
      <w:pPr/>
      <w:r>
        <w:rPr>
          <w:b w:val="0"/>
        </w:rPr>
        <w:t>These are the ingredients the model uses. The numbers are included for transparency, but the friend guide does not require the reader to calculate them by hand.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Ingredient</w:t>
            </w:r>
          </w:p>
        </w:tc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Plain meaning</w:t>
            </w:r>
          </w:p>
        </w:tc>
        <w:tc>
          <w:tcPr>
            <w:tcW w:type="dxa" w:w="158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Beta</w:t>
            </w:r>
          </w:p>
        </w:tc>
        <w:tc>
          <w:tcPr>
            <w:tcW w:type="dxa" w:w="16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SE/SD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Intercept</w:t>
            </w:r>
          </w:p>
        </w:tc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Starting point before the case details are added.</w:t>
            </w:r>
          </w:p>
        </w:tc>
        <w:tc>
          <w:tcPr>
            <w:tcW w:type="dxa" w:w="158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-2.5279874917</w:t>
            </w:r>
          </w:p>
        </w:tc>
        <w:tc>
          <w:tcPr>
            <w:tcW w:type="dxa" w:w="16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0.1843311883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Age centered</w:t>
            </w:r>
          </w:p>
        </w:tc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Effect of each year above or below age 42.</w:t>
            </w:r>
          </w:p>
        </w:tc>
        <w:tc>
          <w:tcPr>
            <w:tcW w:type="dxa" w:w="158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0.0431187878</w:t>
            </w:r>
          </w:p>
        </w:tc>
        <w:tc>
          <w:tcPr>
            <w:tcW w:type="dxa" w:w="16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0.0071464503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Severe pain</w:t>
            </w:r>
          </w:p>
        </w:tc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Severe pain versus non-severe pain.</w:t>
            </w:r>
          </w:p>
        </w:tc>
        <w:tc>
          <w:tcPr>
            <w:tcW w:type="dxa" w:w="158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0.5218188180</w:t>
            </w:r>
          </w:p>
        </w:tc>
        <w:tc>
          <w:tcPr>
            <w:tcW w:type="dxa" w:w="16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0.1839432890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Fever/temp proxy</w:t>
            </w:r>
          </w:p>
        </w:tc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Observed fever or temperature proxy.</w:t>
            </w:r>
          </w:p>
        </w:tc>
        <w:tc>
          <w:tcPr>
            <w:tcW w:type="dxa" w:w="158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0.8870420313</w:t>
            </w:r>
          </w:p>
        </w:tc>
        <w:tc>
          <w:tcPr>
            <w:tcW w:type="dxa" w:w="16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0.7464334686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Vomiting</w:t>
            </w:r>
          </w:p>
        </w:tc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Observed vomiting.</w:t>
            </w:r>
          </w:p>
        </w:tc>
        <w:tc>
          <w:tcPr>
            <w:tcW w:type="dxa" w:w="158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0.4691225797</w:t>
            </w:r>
          </w:p>
        </w:tc>
        <w:tc>
          <w:tcPr>
            <w:tcW w:type="dxa" w:w="16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0.1828017370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Tachycardia burden</w:t>
            </w:r>
          </w:p>
        </w:tc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Heart rate burden per 10 bpm over 100.</w:t>
            </w:r>
          </w:p>
        </w:tc>
        <w:tc>
          <w:tcPr>
            <w:tcW w:type="dxa" w:w="158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0.4269432162</w:t>
            </w:r>
          </w:p>
        </w:tc>
        <w:tc>
          <w:tcPr>
            <w:tcW w:type="dxa" w:w="165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0.1121627597</w:t>
            </w:r>
          </w:p>
        </w:tc>
      </w:tr>
    </w:tbl>
    <w:p>
      <w:pPr>
        <w:pStyle w:val="SmallNote"/>
      </w:pPr>
    </w:p>
    <w:tbl>
      <w:tblPr>
        <w:tblW w:type="dxa" w:w="760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6FB"/>
            <w:tcBorders>
              <w:top w:val="single" w:sz="8" w:space="0" w:color="9EADBD"/>
              <w:left w:val="single" w:sz="8" w:space="0" w:color="9EADBD"/>
              <w:bottom w:val="single" w:sz="8" w:space="0" w:color="9EADBD"/>
              <w:right w:val="single" w:sz="8" w:space="0" w:color="9EADBD"/>
            </w:tcBorders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/>
            <w:r>
              <w:rPr>
                <w:b/>
                <w:color w:val="1F4E79"/>
              </w:rPr>
              <w:t xml:space="preserve">Uncertainty: </w:t>
            </w:r>
            <w:r>
              <w:rPr>
                <w:b w:val="0"/>
              </w:rPr>
              <w:t>The workbook uses @RISK to sample each coefficient from a normal approximation centered on the beta with spread from the SE/SD. That lets the tester see uncertainty around P(admit).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rPr>
          <w:b w:val="0"/>
        </w:rPr>
        <w:t>Performance Summary In Plain Language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19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Value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Plain-language interpretation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AUROC</w:t>
            </w:r>
          </w:p>
        </w:tc>
        <w:tc>
          <w:tcPr>
            <w:tcW w:type="dxa" w:w="19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0.7130954172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Moderate ranking ability. Better than chance, but not strong enough for individual decisions.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Brier score</w:t>
            </w:r>
          </w:p>
        </w:tc>
        <w:tc>
          <w:tcPr>
            <w:tcW w:type="dxa" w:w="19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0.0976402591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Average probability error measure. It is only modestly better than predicting the overall admission rate.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Observed prevalence</w:t>
            </w:r>
          </w:p>
        </w:tc>
        <w:tc>
          <w:tcPr>
            <w:tcW w:type="dxa" w:w="19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11.75%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About 11.75% of the complete-case source cohort had the admission endpoint.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Mean predicted probability</w:t>
            </w:r>
          </w:p>
        </w:tc>
        <w:tc>
          <w:tcPr>
            <w:tcW w:type="dxa" w:w="19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11.75%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The model's average prediction matches the source cohort prevalence internally.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Calibration intercept</w:t>
            </w:r>
          </w:p>
        </w:tc>
        <w:tc>
          <w:tcPr>
            <w:tcW w:type="dxa" w:w="19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Near 0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Internally coherent in the exported pooled dataset.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Calibration slope</w:t>
            </w:r>
          </w:p>
        </w:tc>
        <w:tc>
          <w:tcPr>
            <w:tcW w:type="dxa" w:w="19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Near 1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Internally coherent in the exported pooled dataset.</w:t>
            </w:r>
          </w:p>
        </w:tc>
      </w:tr>
    </w:tbl>
    <w:p>
      <w:pPr>
        <w:pStyle w:val="SmallNote"/>
      </w:pPr>
    </w:p>
    <w:p>
      <w:pPr/>
      <w:r>
        <w:rPr>
          <w:b w:val="0"/>
        </w:rPr>
        <w:t>A prevalence-only model would have a Brier score around 0.104 in this complete-case cohort, so the active model improves the Brier score by about 0.006 in absolute terms.</w:t>
      </w:r>
    </w:p>
    <w:p>
      <w:r>
        <w:br w:type="page"/>
      </w:r>
    </w:p>
    <w:p>
      <w:pPr>
        <w:pStyle w:val="Heading1"/>
      </w:pPr>
      <w:r>
        <w:rPr>
          <w:b w:val="0"/>
        </w:rPr>
        <w:t>Known Limits And Gaps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No clinical validity claim is made.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No external validation has been completed.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Transportability to another hospital, data source, subgroup, or workflow is not proven.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Survey-design variance is still incomplete.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Subgroup and fairness checks remain next-phase work.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Fever/temp and vomiting are proxy-supported predictors.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Missing pain and missing heart rate should withhold the empirical estimate.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Severe pain is a binary signal. The model does not support a monotonic mild/moderate/severe pain claim.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The @RISK workbook uses independent normal coefficient draws; full covariance simulation remains a review question.</w:t>
      </w:r>
    </w:p>
    <w:p>
      <w:r>
        <w:br w:type="page"/>
      </w:r>
    </w:p>
    <w:p>
      <w:pPr>
        <w:pStyle w:val="Heading1"/>
      </w:pPr>
      <w:r>
        <w:rPr>
          <w:b w:val="0"/>
        </w:rPr>
        <w:t>Workbook Screenshots</w:t>
      </w:r>
    </w:p>
    <w:p>
      <w:pPr>
        <w:pStyle w:val="Heading3"/>
      </w:pPr>
      <w:r>
        <w:rPr>
          <w:b w:val="0"/>
        </w:rPr>
        <w:t>Model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430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-e-dispo-atRisk-v2-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3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b w:val="0"/>
        </w:rPr>
        <w:t>Main testing surface with inputs and live @RISK formulas.</w:t>
      </w:r>
    </w:p>
    <w:p>
      <w:r>
        <w:br w:type="page"/>
      </w:r>
    </w:p>
    <w:p>
      <w:pPr>
        <w:pStyle w:val="Heading3"/>
      </w:pPr>
      <w:r>
        <w:rPr>
          <w:b w:val="0"/>
        </w:rPr>
        <w:t>Assumptions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19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-e-dispo-atRisk-v2-Assump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1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b w:val="0"/>
        </w:rPr>
        <w:t>Reference tab with coefficients, source notes, and simulation assumptions.</w:t>
      </w:r>
    </w:p>
    <w:p>
      <w:r>
        <w:br w:type="page"/>
      </w:r>
    </w:p>
    <w:p>
      <w:pPr>
        <w:pStyle w:val="Heading3"/>
      </w:pPr>
      <w:r>
        <w:rPr>
          <w:b w:val="0"/>
        </w:rPr>
        <w:t>Audit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597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-e-dispo-atRisk-v2-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7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b w:val="0"/>
        </w:rPr>
        <w:t>Technical check tab with deterministic audit-only calculations.</w:t>
      </w:r>
    </w:p>
    <w:p>
      <w:r>
        <w:br w:type="page"/>
      </w:r>
    </w:p>
    <w:p>
      <w:pPr>
        <w:pStyle w:val="Heading1"/>
      </w:pPr>
      <w:r>
        <w:rPr>
          <w:b w:val="0"/>
        </w:rPr>
        <w:t>Source List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docs/model-card.md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docs/validation/validation-dossier-readme.md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docs/validation/performance-report.md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docs/validation/predictive-power-usability-review.md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docs/validation/model-validation-handoff.md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docs/validation/e-dispo-v4.0-pain-severe-decision.md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docs/validation/probast-ai-risk-table.md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docs/validation/deficiency-review-next-phase.md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src/data/eDispoV4Model.ts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outputs/nhamcs_pooled/e_dispo_v4_pain_severe_coefficients.csv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outputs/nhamcs_pooled/e_dispo_v4_pain_severe_covariance.csv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outputs/nhamcs_pooled/e_dispo_v4_pain_severe_draws.csv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outputs/nhamcs_pooled/e_dispo_v4_pain_severe_calibration.csv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outputs/nhamcs_pooled/e_dispo_v4_pain_severe_leave_one_year_out.csv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output/e-dispo-atRisk-v2.xlsx</w:t>
      </w: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7"/>
      </w:rPr>
      <w:t>e-dispo-atRisk-v2 Appendix | Educational/statistical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iendTableText">
    <w:name w:val="Friend Table Text"/>
    <w:pPr>
      <w:spacing w:after="0" w:line="252" w:lineRule="auto"/>
    </w:pPr>
    <w:rPr>
      <w:rFonts w:ascii="Arial" w:hAnsi="Arial" w:eastAsia="Arial"/>
      <w:sz w:val="17"/>
    </w:rPr>
  </w:style>
  <w:style w:type="paragraph" w:customStyle="1" w:styleId="SmallNote">
    <w:name w:val="Small Note"/>
    <w:pPr>
      <w:spacing w:after="80"/>
    </w:pPr>
    <w:rPr>
      <w:rFonts w:ascii="Arial" w:hAnsi="Arial" w:eastAsia="Arial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and Sources Appendix for e-dispo-atRisk-v2</dc:title>
  <dc:subject>Plain-language source appendix for the friend-facing guide</dc:subject>
  <dc:creator>ED Disposition Project</dc:creator>
  <cp:keywords/>
  <dc:description>Friend-facing educational model guide. Not clinical decision support.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