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D68" w:rsidRPr="006D0D68" w:rsidRDefault="00CE420B" w:rsidP="005E6163">
      <w:pPr>
        <w:pStyle w:val="Heading1"/>
      </w:pPr>
      <w:r>
        <w:t>BRIE user guide v1.0</w:t>
      </w:r>
    </w:p>
    <w:p w:rsidR="006D0D68" w:rsidRDefault="00CE420B" w:rsidP="006D0D68">
      <w:r>
        <w:t>Jaap Nienhuis</w:t>
      </w:r>
    </w:p>
    <w:p w:rsidR="00CE420B" w:rsidRDefault="00477254" w:rsidP="00CE420B">
      <w:r>
        <w:t>Department of Physical Geography</w:t>
      </w:r>
    </w:p>
    <w:p w:rsidR="00CE420B" w:rsidRDefault="00477254" w:rsidP="00CE420B">
      <w:r>
        <w:t>Utrecht University, Utrecht, the Netherlands</w:t>
      </w:r>
    </w:p>
    <w:p w:rsidR="00855CEA" w:rsidRPr="006D0D68" w:rsidRDefault="00855CEA" w:rsidP="00CE420B">
      <w:r>
        <w:t>j.h.nienhuis@uu.nl</w:t>
      </w:r>
    </w:p>
    <w:p w:rsidR="006D0D68" w:rsidRPr="006D0D68" w:rsidRDefault="006D0D68" w:rsidP="00117688">
      <w:pPr>
        <w:pStyle w:val="Heading1"/>
      </w:pPr>
      <w:r w:rsidRPr="006D0D68">
        <w:t>Overview</w:t>
      </w:r>
    </w:p>
    <w:p w:rsidR="006D0D68" w:rsidRDefault="006D0D68" w:rsidP="006D0D68">
      <w:r w:rsidRPr="006D0D68">
        <w:t xml:space="preserve">The </w:t>
      </w:r>
      <w:r w:rsidR="00477254">
        <w:t xml:space="preserve">Barrier Inlet Environment (BRIE) model simulates barrier island transgression during sea-level rise. It explicitly simulates the effect of tidal inlets on barrier </w:t>
      </w:r>
      <w:r w:rsidR="005E6163">
        <w:t xml:space="preserve">island </w:t>
      </w:r>
      <w:r w:rsidR="00477254">
        <w:t>morphodynamics.</w:t>
      </w:r>
      <w:r w:rsidR="00BC3A9D">
        <w:t xml:space="preserve"> The model is written for MatLab.</w:t>
      </w:r>
      <w:r w:rsidR="000722B5">
        <w:t xml:space="preserve"> </w:t>
      </w:r>
    </w:p>
    <w:p w:rsidR="005E6163" w:rsidRDefault="005E6163" w:rsidP="005E6163">
      <w:pPr>
        <w:pStyle w:val="Heading1"/>
      </w:pPr>
      <w:r>
        <w:t>Files</w:t>
      </w:r>
    </w:p>
    <w:p w:rsidR="00AF6127" w:rsidRPr="007D6430" w:rsidRDefault="00BC3A9D" w:rsidP="00AF6127">
      <w:pPr>
        <w:rPr>
          <w:vertAlign w:val="superscript"/>
        </w:rPr>
      </w:pPr>
      <w:r>
        <w:t>Three files are necessary for BRIE, located in a folder accessible to MatLab.</w:t>
      </w:r>
      <w:r w:rsidR="00AF6127" w:rsidRPr="00AF6127">
        <w:t xml:space="preserve"> </w:t>
      </w:r>
      <w:r w:rsidR="00AF6127">
        <w:t>Aside from the three model files, you will also need a matlab function called v2struct, which can be found online.</w:t>
      </w:r>
    </w:p>
    <w:p w:rsidR="00BC3A9D" w:rsidRDefault="00BC3A9D" w:rsidP="007C32EC">
      <w:r w:rsidRPr="00BC3A9D">
        <w:rPr>
          <w:i/>
        </w:rPr>
        <w:t>initialize_barrier_model.m</w:t>
      </w:r>
      <w:r>
        <w:t xml:space="preserve"> generates initial and boundary conditions for the model</w:t>
      </w:r>
      <w:r w:rsidR="009F25D3">
        <w:t xml:space="preserve">. Output is a </w:t>
      </w:r>
      <w:r w:rsidR="00AF6127">
        <w:t>matlab data structure with model settings.</w:t>
      </w:r>
    </w:p>
    <w:p w:rsidR="00AF6127" w:rsidRDefault="00AF6127" w:rsidP="00AF6127">
      <w:r w:rsidRPr="00BC3A9D">
        <w:rPr>
          <w:i/>
        </w:rPr>
        <w:t>barrier_model.m</w:t>
      </w:r>
      <w:r>
        <w:t xml:space="preserve"> contains the model, input is a data structure generated by </w:t>
      </w:r>
      <w:r w:rsidRPr="00AF6127">
        <w:rPr>
          <w:i/>
        </w:rPr>
        <w:t>initialize_barrier model.m</w:t>
      </w:r>
    </w:p>
    <w:p w:rsidR="00BC3A9D" w:rsidRDefault="00BC3A9D" w:rsidP="007C32EC">
      <w:r w:rsidRPr="00BC3A9D">
        <w:rPr>
          <w:i/>
        </w:rPr>
        <w:t>run_barrier_model.m</w:t>
      </w:r>
      <w:r>
        <w:t xml:space="preserve"> allows the user to run the model automatically for sets of parameters such as sea-level rise rates or wave heights.</w:t>
      </w:r>
      <w:r w:rsidR="00AF6127">
        <w:t xml:space="preserve"> </w:t>
      </w:r>
    </w:p>
    <w:p w:rsidR="005E6163" w:rsidRDefault="005E6163" w:rsidP="00BC3A9D">
      <w:pPr>
        <w:pStyle w:val="Heading1"/>
      </w:pPr>
      <w:r>
        <w:t>Starting a run</w:t>
      </w:r>
    </w:p>
    <w:p w:rsidR="000722B5" w:rsidRDefault="00BC3A9D" w:rsidP="00BC3A9D">
      <w:r>
        <w:t xml:space="preserve">There are </w:t>
      </w:r>
      <w:r w:rsidR="000722B5">
        <w:t>two</w:t>
      </w:r>
      <w:r>
        <w:t xml:space="preserve"> options for starting a model run: </w:t>
      </w:r>
    </w:p>
    <w:p w:rsidR="000722B5" w:rsidRDefault="000722B5" w:rsidP="00BC3A9D">
      <w:r w:rsidRPr="000722B5">
        <w:rPr>
          <w:i/>
        </w:rPr>
        <w:t>barrier_model(</w:t>
      </w:r>
      <w:r w:rsidR="00BC3A9D" w:rsidRPr="000722B5">
        <w:rPr>
          <w:i/>
        </w:rPr>
        <w:t>initialize_barrier_model</w:t>
      </w:r>
      <w:r w:rsidRPr="000722B5">
        <w:rPr>
          <w:i/>
        </w:rPr>
        <w:t>)</w:t>
      </w:r>
      <w:r>
        <w:t xml:space="preserve"> will run the model with the settings described in initialize_barrier model</w:t>
      </w:r>
    </w:p>
    <w:p w:rsidR="00BC3A9D" w:rsidRDefault="00BC3A9D" w:rsidP="00BC3A9D">
      <w:r w:rsidRPr="000722B5">
        <w:rPr>
          <w:i/>
        </w:rPr>
        <w:t>run_barrier_model</w:t>
      </w:r>
      <w:r>
        <w:t xml:space="preserve"> </w:t>
      </w:r>
      <w:r w:rsidR="000722B5">
        <w:t>will run the model with a</w:t>
      </w:r>
      <w:r>
        <w:t xml:space="preserve"> series of parameters</w:t>
      </w:r>
      <w:r w:rsidR="000722B5">
        <w:t xml:space="preserve"> described in run_barrier model.</w:t>
      </w:r>
    </w:p>
    <w:p w:rsidR="005E6163" w:rsidRDefault="005E6163" w:rsidP="00BC3A9D">
      <w:pPr>
        <w:pStyle w:val="Heading1"/>
      </w:pPr>
      <w:r>
        <w:t>Input conditions</w:t>
      </w:r>
    </w:p>
    <w:tbl>
      <w:tblPr>
        <w:tblStyle w:val="TableGrid"/>
        <w:tblW w:w="9345" w:type="dxa"/>
        <w:tblLayout w:type="fixed"/>
        <w:tblLook w:val="04A0" w:firstRow="1" w:lastRow="0" w:firstColumn="1" w:lastColumn="0" w:noHBand="0" w:noVBand="1"/>
      </w:tblPr>
      <w:tblGrid>
        <w:gridCol w:w="1728"/>
        <w:gridCol w:w="1440"/>
        <w:gridCol w:w="849"/>
        <w:gridCol w:w="4708"/>
        <w:gridCol w:w="620"/>
      </w:tblGrid>
      <w:tr w:rsidR="008B1752" w:rsidRPr="00AC2519" w:rsidTr="00EE380E">
        <w:trPr>
          <w:trHeight w:val="300"/>
        </w:trPr>
        <w:tc>
          <w:tcPr>
            <w:tcW w:w="1728" w:type="dxa"/>
            <w:noWrap/>
            <w:hideMark/>
          </w:tcPr>
          <w:p w:rsidR="00AC2519" w:rsidRPr="00AC2519" w:rsidRDefault="00AC2519" w:rsidP="00AC2519">
            <w:pPr>
              <w:pStyle w:val="TableStyle"/>
              <w:rPr>
                <w:b/>
              </w:rPr>
            </w:pPr>
            <w:r w:rsidRPr="00AC2519">
              <w:rPr>
                <w:b/>
              </w:rPr>
              <w:t>parameter</w:t>
            </w:r>
          </w:p>
        </w:tc>
        <w:tc>
          <w:tcPr>
            <w:tcW w:w="1440" w:type="dxa"/>
            <w:noWrap/>
            <w:hideMark/>
          </w:tcPr>
          <w:p w:rsidR="00AC2519" w:rsidRPr="00AC2519" w:rsidRDefault="00AC2519" w:rsidP="00AC2519">
            <w:pPr>
              <w:pStyle w:val="TableStyle"/>
              <w:rPr>
                <w:b/>
              </w:rPr>
            </w:pPr>
            <w:r>
              <w:rPr>
                <w:b/>
              </w:rPr>
              <w:t>Model default</w:t>
            </w:r>
          </w:p>
        </w:tc>
        <w:tc>
          <w:tcPr>
            <w:tcW w:w="849" w:type="dxa"/>
            <w:noWrap/>
            <w:hideMark/>
          </w:tcPr>
          <w:p w:rsidR="00AC2519" w:rsidRPr="00AC2519" w:rsidRDefault="00AC2519" w:rsidP="00AC2519">
            <w:pPr>
              <w:pStyle w:val="TableStyle"/>
              <w:rPr>
                <w:b/>
              </w:rPr>
            </w:pPr>
            <w:r w:rsidRPr="00AC2519">
              <w:rPr>
                <w:b/>
              </w:rPr>
              <w:t>units</w:t>
            </w:r>
          </w:p>
        </w:tc>
        <w:tc>
          <w:tcPr>
            <w:tcW w:w="4708" w:type="dxa"/>
            <w:noWrap/>
            <w:hideMark/>
          </w:tcPr>
          <w:p w:rsidR="00AC2519" w:rsidRPr="00AC2519" w:rsidRDefault="00AC2519" w:rsidP="00AC2519">
            <w:pPr>
              <w:pStyle w:val="TableStyle"/>
              <w:rPr>
                <w:b/>
              </w:rPr>
            </w:pPr>
            <w:r w:rsidRPr="00AC2519">
              <w:rPr>
                <w:b/>
              </w:rPr>
              <w:t>note</w:t>
            </w:r>
          </w:p>
        </w:tc>
        <w:tc>
          <w:tcPr>
            <w:tcW w:w="620" w:type="dxa"/>
            <w:noWrap/>
            <w:hideMark/>
          </w:tcPr>
          <w:p w:rsidR="00AC2519" w:rsidRPr="00AC2519" w:rsidRDefault="00EE380E" w:rsidP="00AC2519">
            <w:pPr>
              <w:pStyle w:val="TableStyle"/>
              <w:rPr>
                <w:b/>
              </w:rPr>
            </w:pPr>
            <w:r w:rsidRPr="00AC2519">
              <w:rPr>
                <w:b/>
              </w:rPr>
              <w:t>R</w:t>
            </w:r>
            <w:r w:rsidR="00AC2519" w:rsidRPr="00AC2519">
              <w:rPr>
                <w:b/>
              </w:rPr>
              <w:t>ef</w:t>
            </w:r>
            <w:r>
              <w:rPr>
                <w:b/>
              </w:rPr>
              <w:t>.</w:t>
            </w:r>
          </w:p>
        </w:tc>
      </w:tr>
      <w:tr w:rsidR="008B1752" w:rsidRPr="00AC2519" w:rsidTr="00EE380E">
        <w:trPr>
          <w:trHeight w:val="300"/>
        </w:trPr>
        <w:tc>
          <w:tcPr>
            <w:tcW w:w="1728" w:type="dxa"/>
            <w:noWrap/>
            <w:hideMark/>
          </w:tcPr>
          <w:p w:rsidR="00AC2519" w:rsidRPr="00AC2519" w:rsidRDefault="00AC2519" w:rsidP="00AC2519">
            <w:pPr>
              <w:pStyle w:val="TableStyle"/>
            </w:pPr>
            <w:r w:rsidRPr="00AC2519">
              <w:lastRenderedPageBreak/>
              <w:t xml:space="preserve">name </w:t>
            </w:r>
          </w:p>
        </w:tc>
        <w:tc>
          <w:tcPr>
            <w:tcW w:w="1440" w:type="dxa"/>
            <w:noWrap/>
            <w:hideMark/>
          </w:tcPr>
          <w:p w:rsidR="00AC2519" w:rsidRPr="00AC2519" w:rsidRDefault="00AC2519" w:rsidP="00AC2519">
            <w:pPr>
              <w:pStyle w:val="TableStyle"/>
            </w:pPr>
            <w:r w:rsidRPr="00AC2519">
              <w:t xml:space="preserve"> 'Example'</w:t>
            </w:r>
          </w:p>
        </w:tc>
        <w:tc>
          <w:tcPr>
            <w:tcW w:w="849" w:type="dxa"/>
            <w:noWrap/>
            <w:hideMark/>
          </w:tcPr>
          <w:p w:rsidR="00AC2519" w:rsidRPr="00AC2519" w:rsidRDefault="00AC2519" w:rsidP="00AC2519">
            <w:pPr>
              <w:pStyle w:val="TableStyle"/>
            </w:pPr>
          </w:p>
        </w:tc>
        <w:tc>
          <w:tcPr>
            <w:tcW w:w="4708" w:type="dxa"/>
            <w:noWrap/>
            <w:hideMark/>
          </w:tcPr>
          <w:p w:rsidR="00AC2519" w:rsidRPr="00AC2519" w:rsidRDefault="00AC2519" w:rsidP="00AC2519">
            <w:pPr>
              <w:pStyle w:val="TableStyle"/>
            </w:pPr>
          </w:p>
        </w:tc>
        <w:tc>
          <w:tcPr>
            <w:tcW w:w="620" w:type="dxa"/>
            <w:noWrap/>
            <w:hideMark/>
          </w:tcPr>
          <w:p w:rsidR="00AC2519" w:rsidRPr="00AC2519" w:rsidRDefault="00AC2519" w:rsidP="00AC2519">
            <w:pPr>
              <w:pStyle w:val="TableStyle"/>
            </w:pP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barrier_model_on </w:t>
            </w:r>
          </w:p>
        </w:tc>
        <w:tc>
          <w:tcPr>
            <w:tcW w:w="1440" w:type="dxa"/>
            <w:noWrap/>
            <w:hideMark/>
          </w:tcPr>
          <w:p w:rsidR="00AC2519" w:rsidRPr="00AC2519" w:rsidRDefault="00AC2519" w:rsidP="00AC2519">
            <w:pPr>
              <w:pStyle w:val="TableStyle"/>
            </w:pPr>
            <w:r w:rsidRPr="00AC2519">
              <w:t xml:space="preserve"> true</w:t>
            </w:r>
          </w:p>
        </w:tc>
        <w:tc>
          <w:tcPr>
            <w:tcW w:w="849" w:type="dxa"/>
            <w:noWrap/>
            <w:hideMark/>
          </w:tcPr>
          <w:p w:rsidR="00AC2519" w:rsidRPr="00AC2519" w:rsidRDefault="00AC2519" w:rsidP="00AC2519">
            <w:pPr>
              <w:pStyle w:val="TableStyle"/>
            </w:pPr>
          </w:p>
        </w:tc>
        <w:tc>
          <w:tcPr>
            <w:tcW w:w="4708" w:type="dxa"/>
            <w:noWrap/>
            <w:hideMark/>
          </w:tcPr>
          <w:p w:rsidR="00AC2519" w:rsidRPr="00AC2519" w:rsidRDefault="00602948" w:rsidP="00AC2519">
            <w:pPr>
              <w:pStyle w:val="TableStyle"/>
            </w:pPr>
            <w:r>
              <w:t>Flag to turn the overwash and shoreface formulations on or off</w:t>
            </w:r>
          </w:p>
        </w:tc>
        <w:tc>
          <w:tcPr>
            <w:tcW w:w="620" w:type="dxa"/>
            <w:noWrap/>
            <w:hideMark/>
          </w:tcPr>
          <w:p w:rsidR="00AC2519" w:rsidRPr="00AC2519" w:rsidRDefault="00AC2519" w:rsidP="00AC2519">
            <w:pPr>
              <w:pStyle w:val="TableStyle"/>
            </w:pP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ast_model_on </w:t>
            </w:r>
          </w:p>
        </w:tc>
        <w:tc>
          <w:tcPr>
            <w:tcW w:w="1440" w:type="dxa"/>
            <w:noWrap/>
            <w:hideMark/>
          </w:tcPr>
          <w:p w:rsidR="00AC2519" w:rsidRPr="00AC2519" w:rsidRDefault="00AC2519" w:rsidP="00AC2519">
            <w:pPr>
              <w:pStyle w:val="TableStyle"/>
            </w:pPr>
            <w:r w:rsidRPr="00AC2519">
              <w:t xml:space="preserve"> true</w:t>
            </w:r>
          </w:p>
        </w:tc>
        <w:tc>
          <w:tcPr>
            <w:tcW w:w="849" w:type="dxa"/>
            <w:noWrap/>
            <w:hideMark/>
          </w:tcPr>
          <w:p w:rsidR="00AC2519" w:rsidRPr="00AC2519" w:rsidRDefault="00AC2519" w:rsidP="00AC2519">
            <w:pPr>
              <w:pStyle w:val="TableStyle"/>
            </w:pPr>
          </w:p>
        </w:tc>
        <w:tc>
          <w:tcPr>
            <w:tcW w:w="4708" w:type="dxa"/>
            <w:noWrap/>
            <w:hideMark/>
          </w:tcPr>
          <w:p w:rsidR="00AC2519" w:rsidRPr="00AC2519" w:rsidRDefault="00602948" w:rsidP="00AC2519">
            <w:pPr>
              <w:pStyle w:val="TableStyle"/>
            </w:pPr>
            <w:r>
              <w:t>Flag to turn alongshore transport on or off</w:t>
            </w:r>
          </w:p>
        </w:tc>
        <w:tc>
          <w:tcPr>
            <w:tcW w:w="620" w:type="dxa"/>
            <w:noWrap/>
            <w:hideMark/>
          </w:tcPr>
          <w:p w:rsidR="00AC2519" w:rsidRPr="00AC2519" w:rsidRDefault="00AC2519" w:rsidP="00AC2519">
            <w:pPr>
              <w:pStyle w:val="TableStyle"/>
            </w:pP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inlet_model_on </w:t>
            </w:r>
          </w:p>
        </w:tc>
        <w:tc>
          <w:tcPr>
            <w:tcW w:w="1440" w:type="dxa"/>
            <w:noWrap/>
            <w:hideMark/>
          </w:tcPr>
          <w:p w:rsidR="00AC2519" w:rsidRPr="00AC2519" w:rsidRDefault="00AC2519" w:rsidP="00AC2519">
            <w:pPr>
              <w:pStyle w:val="TableStyle"/>
            </w:pPr>
            <w:r w:rsidRPr="00AC2519">
              <w:t xml:space="preserve"> true</w:t>
            </w:r>
          </w:p>
        </w:tc>
        <w:tc>
          <w:tcPr>
            <w:tcW w:w="849" w:type="dxa"/>
            <w:noWrap/>
            <w:hideMark/>
          </w:tcPr>
          <w:p w:rsidR="00AC2519" w:rsidRPr="00AC2519" w:rsidRDefault="00AC2519" w:rsidP="00AC2519">
            <w:pPr>
              <w:pStyle w:val="TableStyle"/>
            </w:pPr>
          </w:p>
        </w:tc>
        <w:tc>
          <w:tcPr>
            <w:tcW w:w="4708" w:type="dxa"/>
            <w:noWrap/>
            <w:hideMark/>
          </w:tcPr>
          <w:p w:rsidR="00AC2519" w:rsidRPr="00AC2519" w:rsidRDefault="00602948" w:rsidP="00AC2519">
            <w:pPr>
              <w:pStyle w:val="TableStyle"/>
            </w:pPr>
            <w:r>
              <w:t>Flag to turn inlets on or off</w:t>
            </w:r>
          </w:p>
        </w:tc>
        <w:tc>
          <w:tcPr>
            <w:tcW w:w="620" w:type="dxa"/>
            <w:noWrap/>
            <w:hideMark/>
          </w:tcPr>
          <w:p w:rsidR="00AC2519" w:rsidRPr="00AC2519" w:rsidRDefault="00AC2519" w:rsidP="00AC2519">
            <w:pPr>
              <w:pStyle w:val="TableStyle"/>
            </w:pP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make_gif </w:t>
            </w:r>
          </w:p>
        </w:tc>
        <w:tc>
          <w:tcPr>
            <w:tcW w:w="1440" w:type="dxa"/>
            <w:noWrap/>
            <w:hideMark/>
          </w:tcPr>
          <w:p w:rsidR="00AC2519" w:rsidRPr="00AC2519" w:rsidRDefault="00AC2519" w:rsidP="00AC2519">
            <w:pPr>
              <w:pStyle w:val="TableStyle"/>
            </w:pPr>
            <w:r w:rsidRPr="00AC2519">
              <w:t xml:space="preserve"> false</w:t>
            </w:r>
          </w:p>
        </w:tc>
        <w:tc>
          <w:tcPr>
            <w:tcW w:w="849" w:type="dxa"/>
            <w:noWrap/>
            <w:hideMark/>
          </w:tcPr>
          <w:p w:rsidR="00AC2519" w:rsidRPr="00AC2519" w:rsidRDefault="00AC2519" w:rsidP="00AC2519">
            <w:pPr>
              <w:pStyle w:val="TableStyle"/>
            </w:pPr>
          </w:p>
        </w:tc>
        <w:tc>
          <w:tcPr>
            <w:tcW w:w="4708" w:type="dxa"/>
            <w:noWrap/>
            <w:hideMark/>
          </w:tcPr>
          <w:p w:rsidR="00AC2519" w:rsidRPr="00AC2519" w:rsidRDefault="00602948" w:rsidP="00AC2519">
            <w:pPr>
              <w:pStyle w:val="TableStyle"/>
            </w:pPr>
            <w:r>
              <w:t>Flag to make a gif of the model run</w:t>
            </w:r>
          </w:p>
        </w:tc>
        <w:tc>
          <w:tcPr>
            <w:tcW w:w="620" w:type="dxa"/>
            <w:noWrap/>
            <w:hideMark/>
          </w:tcPr>
          <w:p w:rsidR="00AC2519" w:rsidRPr="00AC2519" w:rsidRDefault="00AC2519" w:rsidP="00AC2519">
            <w:pPr>
              <w:pStyle w:val="TableStyle"/>
            </w:pP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plot_on </w:t>
            </w:r>
          </w:p>
        </w:tc>
        <w:tc>
          <w:tcPr>
            <w:tcW w:w="1440" w:type="dxa"/>
            <w:noWrap/>
            <w:hideMark/>
          </w:tcPr>
          <w:p w:rsidR="00AC2519" w:rsidRPr="00AC2519" w:rsidRDefault="00AC2519" w:rsidP="00AC2519">
            <w:pPr>
              <w:pStyle w:val="TableStyle"/>
            </w:pPr>
            <w:r w:rsidRPr="00AC2519">
              <w:t xml:space="preserve"> true</w:t>
            </w:r>
          </w:p>
        </w:tc>
        <w:tc>
          <w:tcPr>
            <w:tcW w:w="849" w:type="dxa"/>
            <w:noWrap/>
            <w:hideMark/>
          </w:tcPr>
          <w:p w:rsidR="00AC2519" w:rsidRPr="00AC2519" w:rsidRDefault="00AC2519" w:rsidP="00AC2519">
            <w:pPr>
              <w:pStyle w:val="TableStyle"/>
            </w:pPr>
          </w:p>
        </w:tc>
        <w:tc>
          <w:tcPr>
            <w:tcW w:w="4708" w:type="dxa"/>
            <w:noWrap/>
            <w:hideMark/>
          </w:tcPr>
          <w:p w:rsidR="00AC2519" w:rsidRPr="00AC2519" w:rsidRDefault="00602948" w:rsidP="00AC2519">
            <w:pPr>
              <w:pStyle w:val="TableStyle"/>
            </w:pPr>
            <w:r>
              <w:t>Flag to plot during the model run</w:t>
            </w:r>
          </w:p>
        </w:tc>
        <w:tc>
          <w:tcPr>
            <w:tcW w:w="620" w:type="dxa"/>
            <w:noWrap/>
            <w:hideMark/>
          </w:tcPr>
          <w:p w:rsidR="00AC2519" w:rsidRPr="00AC2519" w:rsidRDefault="00AC2519" w:rsidP="00AC2519">
            <w:pPr>
              <w:pStyle w:val="TableStyle"/>
            </w:pP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sedstrat_on </w:t>
            </w:r>
          </w:p>
        </w:tc>
        <w:tc>
          <w:tcPr>
            <w:tcW w:w="1440" w:type="dxa"/>
            <w:noWrap/>
            <w:hideMark/>
          </w:tcPr>
          <w:p w:rsidR="00AC2519" w:rsidRPr="00AC2519" w:rsidRDefault="00AC2519" w:rsidP="00AC2519">
            <w:pPr>
              <w:pStyle w:val="TableStyle"/>
            </w:pPr>
            <w:r w:rsidRPr="00AC2519">
              <w:t xml:space="preserve"> false</w:t>
            </w:r>
          </w:p>
        </w:tc>
        <w:tc>
          <w:tcPr>
            <w:tcW w:w="849" w:type="dxa"/>
            <w:noWrap/>
            <w:hideMark/>
          </w:tcPr>
          <w:p w:rsidR="00AC2519" w:rsidRPr="00AC2519" w:rsidRDefault="00AC2519" w:rsidP="00AC2519">
            <w:pPr>
              <w:pStyle w:val="TableStyle"/>
            </w:pPr>
          </w:p>
        </w:tc>
        <w:tc>
          <w:tcPr>
            <w:tcW w:w="4708" w:type="dxa"/>
            <w:noWrap/>
            <w:hideMark/>
          </w:tcPr>
          <w:p w:rsidR="00AC2519" w:rsidRPr="00AC2519" w:rsidRDefault="00602948" w:rsidP="00AC2519">
            <w:pPr>
              <w:pStyle w:val="TableStyle"/>
            </w:pPr>
            <w:r>
              <w:t>Flag to generate stratigraphy at a certain location</w:t>
            </w:r>
          </w:p>
        </w:tc>
        <w:tc>
          <w:tcPr>
            <w:tcW w:w="620" w:type="dxa"/>
            <w:noWrap/>
            <w:hideMark/>
          </w:tcPr>
          <w:p w:rsidR="00AC2519" w:rsidRPr="00AC2519" w:rsidRDefault="00AC2519" w:rsidP="00AC2519">
            <w:pPr>
              <w:pStyle w:val="TableStyle"/>
            </w:pPr>
          </w:p>
        </w:tc>
      </w:tr>
    </w:tbl>
    <w:p w:rsidR="00230124" w:rsidRDefault="00230124"/>
    <w:tbl>
      <w:tblPr>
        <w:tblStyle w:val="TableGrid"/>
        <w:tblW w:w="9345" w:type="dxa"/>
        <w:tblLayout w:type="fixed"/>
        <w:tblLook w:val="04A0" w:firstRow="1" w:lastRow="0" w:firstColumn="1" w:lastColumn="0" w:noHBand="0" w:noVBand="1"/>
      </w:tblPr>
      <w:tblGrid>
        <w:gridCol w:w="1728"/>
        <w:gridCol w:w="1440"/>
        <w:gridCol w:w="849"/>
        <w:gridCol w:w="4708"/>
        <w:gridCol w:w="620"/>
      </w:tblGrid>
      <w:tr w:rsidR="00602948" w:rsidRPr="00AC2519" w:rsidTr="00431D40">
        <w:trPr>
          <w:trHeight w:val="300"/>
        </w:trPr>
        <w:tc>
          <w:tcPr>
            <w:tcW w:w="9345" w:type="dxa"/>
            <w:gridSpan w:val="5"/>
            <w:noWrap/>
            <w:hideMark/>
          </w:tcPr>
          <w:p w:rsidR="00602948" w:rsidRPr="00602948" w:rsidRDefault="00602948" w:rsidP="00602948">
            <w:pPr>
              <w:pStyle w:val="TableStyle"/>
              <w:jc w:val="center"/>
              <w:rPr>
                <w:b/>
              </w:rPr>
            </w:pPr>
            <w:r w:rsidRPr="00602948">
              <w:rPr>
                <w:b/>
              </w:rPr>
              <w:t>general parameters</w:t>
            </w: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rho_w </w:t>
            </w:r>
          </w:p>
        </w:tc>
        <w:tc>
          <w:tcPr>
            <w:tcW w:w="1440" w:type="dxa"/>
            <w:noWrap/>
            <w:hideMark/>
          </w:tcPr>
          <w:p w:rsidR="00AC2519" w:rsidRPr="00AC2519" w:rsidRDefault="00AC2519" w:rsidP="00AC2519">
            <w:pPr>
              <w:pStyle w:val="TableStyle"/>
            </w:pPr>
            <w:r w:rsidRPr="00AC2519">
              <w:t>1025</w:t>
            </w:r>
          </w:p>
        </w:tc>
        <w:tc>
          <w:tcPr>
            <w:tcW w:w="849" w:type="dxa"/>
            <w:noWrap/>
            <w:hideMark/>
          </w:tcPr>
          <w:p w:rsidR="00AC2519" w:rsidRPr="00AC2519" w:rsidRDefault="00AC2519" w:rsidP="00AC2519">
            <w:pPr>
              <w:pStyle w:val="TableStyle"/>
            </w:pPr>
            <w:r w:rsidRPr="00AC2519">
              <w:t>kg/m3</w:t>
            </w:r>
          </w:p>
        </w:tc>
        <w:tc>
          <w:tcPr>
            <w:tcW w:w="4708" w:type="dxa"/>
            <w:noWrap/>
            <w:hideMark/>
          </w:tcPr>
          <w:p w:rsidR="00AC2519" w:rsidRPr="00AC2519" w:rsidRDefault="00602948" w:rsidP="00AC2519">
            <w:pPr>
              <w:pStyle w:val="TableStyle"/>
            </w:pPr>
            <w:r w:rsidRPr="00AC2519">
              <w:t>D</w:t>
            </w:r>
            <w:r w:rsidR="00AC2519" w:rsidRPr="00AC2519">
              <w:t>ensity</w:t>
            </w:r>
            <w:r>
              <w:t xml:space="preserve"> of</w:t>
            </w:r>
            <w:r w:rsidR="00AC2519" w:rsidRPr="00AC2519">
              <w:t xml:space="preserve"> water</w:t>
            </w:r>
          </w:p>
        </w:tc>
        <w:tc>
          <w:tcPr>
            <w:tcW w:w="620" w:type="dxa"/>
            <w:noWrap/>
            <w:hideMark/>
          </w:tcPr>
          <w:p w:rsidR="00AC2519" w:rsidRPr="00AC2519" w:rsidRDefault="00AC2519" w:rsidP="00AC2519">
            <w:pPr>
              <w:pStyle w:val="TableStyle"/>
            </w:pPr>
            <w:bookmarkStart w:id="0" w:name="_GoBack"/>
            <w:bookmarkEnd w:id="0"/>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g </w:t>
            </w:r>
          </w:p>
        </w:tc>
        <w:tc>
          <w:tcPr>
            <w:tcW w:w="1440" w:type="dxa"/>
            <w:noWrap/>
            <w:hideMark/>
          </w:tcPr>
          <w:p w:rsidR="00AC2519" w:rsidRPr="00AC2519" w:rsidRDefault="00AC2519" w:rsidP="00AC2519">
            <w:pPr>
              <w:pStyle w:val="TableStyle"/>
            </w:pPr>
            <w:r w:rsidRPr="00AC2519">
              <w:t>9.81</w:t>
            </w:r>
          </w:p>
        </w:tc>
        <w:tc>
          <w:tcPr>
            <w:tcW w:w="849" w:type="dxa"/>
            <w:noWrap/>
            <w:hideMark/>
          </w:tcPr>
          <w:p w:rsidR="00AC2519" w:rsidRPr="00AC2519" w:rsidRDefault="00AC2519" w:rsidP="00AC2519">
            <w:pPr>
              <w:pStyle w:val="TableStyle"/>
            </w:pPr>
            <w:r w:rsidRPr="00AC2519">
              <w:t>m/s2</w:t>
            </w:r>
          </w:p>
        </w:tc>
        <w:tc>
          <w:tcPr>
            <w:tcW w:w="4708" w:type="dxa"/>
            <w:noWrap/>
            <w:hideMark/>
          </w:tcPr>
          <w:p w:rsidR="00AC2519" w:rsidRPr="00AC2519" w:rsidRDefault="00602948" w:rsidP="00AC2519">
            <w:pPr>
              <w:pStyle w:val="TableStyle"/>
            </w:pPr>
            <w:r>
              <w:t>Gravity</w:t>
            </w:r>
          </w:p>
        </w:tc>
        <w:tc>
          <w:tcPr>
            <w:tcW w:w="620" w:type="dxa"/>
            <w:noWrap/>
            <w:hideMark/>
          </w:tcPr>
          <w:p w:rsidR="00AC2519" w:rsidRPr="00AC2519" w:rsidRDefault="00AC2519" w:rsidP="00AC2519">
            <w:pPr>
              <w:pStyle w:val="TableStyle"/>
            </w:pPr>
          </w:p>
        </w:tc>
      </w:tr>
      <w:tr w:rsidR="008B1752" w:rsidRPr="00AC2519" w:rsidTr="00EE380E">
        <w:trPr>
          <w:trHeight w:val="300"/>
        </w:trPr>
        <w:tc>
          <w:tcPr>
            <w:tcW w:w="1728" w:type="dxa"/>
            <w:noWrap/>
            <w:hideMark/>
          </w:tcPr>
          <w:p w:rsidR="00AC2519" w:rsidRPr="00AC2519" w:rsidRDefault="00AC2519" w:rsidP="00AC2519">
            <w:pPr>
              <w:pStyle w:val="TableStyle"/>
            </w:pPr>
          </w:p>
        </w:tc>
        <w:tc>
          <w:tcPr>
            <w:tcW w:w="1440" w:type="dxa"/>
            <w:noWrap/>
            <w:hideMark/>
          </w:tcPr>
          <w:p w:rsidR="00AC2519" w:rsidRPr="00AC2519" w:rsidRDefault="00AC2519" w:rsidP="00AC2519">
            <w:pPr>
              <w:pStyle w:val="TableStyle"/>
            </w:pPr>
          </w:p>
        </w:tc>
        <w:tc>
          <w:tcPr>
            <w:tcW w:w="849" w:type="dxa"/>
            <w:noWrap/>
            <w:hideMark/>
          </w:tcPr>
          <w:p w:rsidR="00AC2519" w:rsidRPr="00AC2519" w:rsidRDefault="00AC2519" w:rsidP="00AC2519">
            <w:pPr>
              <w:pStyle w:val="TableStyle"/>
            </w:pPr>
          </w:p>
        </w:tc>
        <w:tc>
          <w:tcPr>
            <w:tcW w:w="4708" w:type="dxa"/>
            <w:noWrap/>
            <w:hideMark/>
          </w:tcPr>
          <w:p w:rsidR="00AC2519" w:rsidRPr="00AC2519" w:rsidRDefault="00AC2519" w:rsidP="00AC2519">
            <w:pPr>
              <w:pStyle w:val="TableStyle"/>
            </w:pPr>
          </w:p>
        </w:tc>
        <w:tc>
          <w:tcPr>
            <w:tcW w:w="620" w:type="dxa"/>
            <w:noWrap/>
            <w:hideMark/>
          </w:tcPr>
          <w:p w:rsidR="00AC2519" w:rsidRPr="00AC2519" w:rsidRDefault="00AC2519" w:rsidP="00AC2519">
            <w:pPr>
              <w:pStyle w:val="TableStyle"/>
            </w:pPr>
          </w:p>
        </w:tc>
      </w:tr>
    </w:tbl>
    <w:p w:rsidR="00230124" w:rsidRDefault="00230124"/>
    <w:tbl>
      <w:tblPr>
        <w:tblStyle w:val="TableGrid"/>
        <w:tblW w:w="9345" w:type="dxa"/>
        <w:tblLayout w:type="fixed"/>
        <w:tblLook w:val="04A0" w:firstRow="1" w:lastRow="0" w:firstColumn="1" w:lastColumn="0" w:noHBand="0" w:noVBand="1"/>
      </w:tblPr>
      <w:tblGrid>
        <w:gridCol w:w="1728"/>
        <w:gridCol w:w="1440"/>
        <w:gridCol w:w="849"/>
        <w:gridCol w:w="4708"/>
        <w:gridCol w:w="620"/>
      </w:tblGrid>
      <w:tr w:rsidR="00602948" w:rsidRPr="00AC2519" w:rsidTr="006016A8">
        <w:trPr>
          <w:trHeight w:val="300"/>
        </w:trPr>
        <w:tc>
          <w:tcPr>
            <w:tcW w:w="9345" w:type="dxa"/>
            <w:gridSpan w:val="5"/>
            <w:noWrap/>
            <w:hideMark/>
          </w:tcPr>
          <w:p w:rsidR="00602948" w:rsidRPr="00602948" w:rsidRDefault="00602948" w:rsidP="00602948">
            <w:pPr>
              <w:pStyle w:val="TableStyle"/>
              <w:jc w:val="center"/>
              <w:rPr>
                <w:b/>
              </w:rPr>
            </w:pPr>
            <w:r w:rsidRPr="00602948">
              <w:rPr>
                <w:b/>
              </w:rPr>
              <w:t>wave climate parameters</w:t>
            </w: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wave_height </w:t>
            </w:r>
          </w:p>
        </w:tc>
        <w:tc>
          <w:tcPr>
            <w:tcW w:w="1440" w:type="dxa"/>
            <w:noWrap/>
            <w:hideMark/>
          </w:tcPr>
          <w:p w:rsidR="00AC2519" w:rsidRPr="00AC2519" w:rsidRDefault="00AC2519" w:rsidP="00AC2519">
            <w:pPr>
              <w:pStyle w:val="TableStyle"/>
            </w:pPr>
            <w:r w:rsidRPr="00AC2519">
              <w:t>1</w:t>
            </w:r>
          </w:p>
        </w:tc>
        <w:tc>
          <w:tcPr>
            <w:tcW w:w="849" w:type="dxa"/>
            <w:noWrap/>
            <w:hideMark/>
          </w:tcPr>
          <w:p w:rsidR="00AC2519" w:rsidRPr="00AC2519" w:rsidRDefault="00AC2519" w:rsidP="00AC2519">
            <w:pPr>
              <w:pStyle w:val="TableStyle"/>
            </w:pPr>
            <w:r w:rsidRPr="00AC2519">
              <w:t>m</w:t>
            </w:r>
          </w:p>
        </w:tc>
        <w:tc>
          <w:tcPr>
            <w:tcW w:w="4708" w:type="dxa"/>
            <w:noWrap/>
            <w:hideMark/>
          </w:tcPr>
          <w:p w:rsidR="00AC2519" w:rsidRPr="00AC2519" w:rsidRDefault="00602948" w:rsidP="00AC2519">
            <w:pPr>
              <w:pStyle w:val="TableStyle"/>
            </w:pPr>
            <w:r>
              <w:t>Mean offshore significant wave height</w:t>
            </w:r>
          </w:p>
        </w:tc>
        <w:tc>
          <w:tcPr>
            <w:tcW w:w="620" w:type="dxa"/>
            <w:noWrap/>
            <w:hideMark/>
          </w:tcPr>
          <w:p w:rsidR="00AC2519" w:rsidRPr="00AC2519" w:rsidRDefault="00AC2519" w:rsidP="00AC2519">
            <w:pPr>
              <w:pStyle w:val="TableStyle"/>
            </w:pP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wave_period </w:t>
            </w:r>
          </w:p>
        </w:tc>
        <w:tc>
          <w:tcPr>
            <w:tcW w:w="1440" w:type="dxa"/>
            <w:noWrap/>
            <w:hideMark/>
          </w:tcPr>
          <w:p w:rsidR="00AC2519" w:rsidRPr="00AC2519" w:rsidRDefault="00AC2519" w:rsidP="00AC2519">
            <w:pPr>
              <w:pStyle w:val="TableStyle"/>
            </w:pPr>
            <w:r w:rsidRPr="00AC2519">
              <w:t>10</w:t>
            </w:r>
          </w:p>
        </w:tc>
        <w:tc>
          <w:tcPr>
            <w:tcW w:w="849" w:type="dxa"/>
            <w:noWrap/>
            <w:hideMark/>
          </w:tcPr>
          <w:p w:rsidR="00AC2519" w:rsidRPr="00AC2519" w:rsidRDefault="00AC2519" w:rsidP="00AC2519">
            <w:pPr>
              <w:pStyle w:val="TableStyle"/>
            </w:pPr>
            <w:r w:rsidRPr="00AC2519">
              <w:t>s</w:t>
            </w:r>
          </w:p>
        </w:tc>
        <w:tc>
          <w:tcPr>
            <w:tcW w:w="4708" w:type="dxa"/>
            <w:noWrap/>
            <w:hideMark/>
          </w:tcPr>
          <w:p w:rsidR="00AC2519" w:rsidRPr="00AC2519" w:rsidRDefault="00602948" w:rsidP="00AC2519">
            <w:pPr>
              <w:pStyle w:val="TableStyle"/>
            </w:pPr>
            <w:r>
              <w:t>Mean wave period</w:t>
            </w:r>
          </w:p>
        </w:tc>
        <w:tc>
          <w:tcPr>
            <w:tcW w:w="620" w:type="dxa"/>
            <w:noWrap/>
            <w:hideMark/>
          </w:tcPr>
          <w:p w:rsidR="00AC2519" w:rsidRPr="00AC2519" w:rsidRDefault="00AC2519" w:rsidP="00AC2519">
            <w:pPr>
              <w:pStyle w:val="TableStyle"/>
            </w:pP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wave_asym </w:t>
            </w:r>
          </w:p>
        </w:tc>
        <w:tc>
          <w:tcPr>
            <w:tcW w:w="1440" w:type="dxa"/>
            <w:noWrap/>
            <w:hideMark/>
          </w:tcPr>
          <w:p w:rsidR="00AC2519" w:rsidRPr="00AC2519" w:rsidRDefault="00AC2519" w:rsidP="00AC2519">
            <w:pPr>
              <w:pStyle w:val="TableStyle"/>
            </w:pPr>
            <w:r w:rsidRPr="00AC2519">
              <w:t>0.8</w:t>
            </w:r>
          </w:p>
        </w:tc>
        <w:tc>
          <w:tcPr>
            <w:tcW w:w="849" w:type="dxa"/>
            <w:noWrap/>
            <w:hideMark/>
          </w:tcPr>
          <w:p w:rsidR="00AC2519" w:rsidRPr="00AC2519" w:rsidRDefault="00AC2519" w:rsidP="00AC2519">
            <w:pPr>
              <w:pStyle w:val="TableStyle"/>
            </w:pPr>
          </w:p>
        </w:tc>
        <w:tc>
          <w:tcPr>
            <w:tcW w:w="4708" w:type="dxa"/>
            <w:noWrap/>
            <w:hideMark/>
          </w:tcPr>
          <w:p w:rsidR="00AC2519" w:rsidRPr="00AC2519" w:rsidRDefault="00602948" w:rsidP="00AC2519">
            <w:pPr>
              <w:pStyle w:val="TableStyle"/>
            </w:pPr>
            <w:r>
              <w:t>Fraction of waves approaching from the left looking offshore</w:t>
            </w:r>
          </w:p>
        </w:tc>
        <w:tc>
          <w:tcPr>
            <w:tcW w:w="620" w:type="dxa"/>
            <w:noWrap/>
            <w:hideMark/>
          </w:tcPr>
          <w:p w:rsidR="00AC2519" w:rsidRPr="00AC2519" w:rsidRDefault="00AF6127" w:rsidP="00AC2519">
            <w:pPr>
              <w:pStyle w:val="TableStyle"/>
            </w:pPr>
            <w:r>
              <w:fldChar w:fldCharType="begin" w:fldLock="1"/>
            </w:r>
            <w:r>
              <w:instrText>ADDIN CSL_CITATION {"citationItems":[{"id":"ITEM-1","itemData":{"DOI":"10.1029/2005JF000422","ISBN":"0148-0227","ISSN":"0148-0227","abstract":"Contrary to traditional findings, the deepwater angle of wave approach strongly affects plan view coastal evolution, giving rise to an antidiffusional \"high wave angle\" instability for sufficiently oblique deepwater waves (with angles between wave crests and the shoreline trend larger than the value that maximizes alongshore sediment transport, similar to 45 degrees). A one-contour-line numerical model shows that a predominance of high-angle waves can cause a shoreline to self-organize into regular, quasiperiodic shapes similar to those found along many natural coasts at scales ranging from kilometers to hundreds of kilometers. The numerical model has been updated from a previous version to include a formulation for the widening of an overly thin barrier by the process of barrier overwash, which is assumed to maintain a minimum barrier width. Systematic analysis shows that the wave climate determines the form of coastal response. For nearly symmetric wave climates (small net alongshore sediment transport), cuspate coasts develop that exhibit increasing relative cross-shore amplitude and pointier tips as the proportion of high-angle waves is increased. For asymmetrical wave climates, shoreline features migrate in the downdrift direction, either as subtle alongshore sand waves or as offshore-extending \"flying spits,\" depending on the proportion of high-angle waves. Numerical analyses further show that the rate that the alongshore scale of model features increases through merging follows a diffusional temporal scale over several orders of magnitude, a rate that is insensitive to the proportion of high-angle waves. The proportion of high-angle waves determines the offshore versus alongshore aspect ratio of self-organized shoreline undulations.","author":[{"dropping-particle":"","family":"Ashton","given":"Andrew D.","non-dropping-particle":"","parse-names":false,"suffix":""},{"dropping-particle":"","family":"Murray","given":"A Brad","non-dropping-particle":"","parse-names":false,"suffix":""}],"container-title":"Journal of Geophysical Research","id":"ITEM-1","issue":"F4","issued":{"date-parts":[["2006","12","15"]]},"language":"English","note":"118LJ\nTimes Cited:40\nCited References Count:71","page":"F04011","title":"High-angle wave instability and emergent shoreline shapes: 1. Modeling of sand waves, flying spits, and capes","type":"article-journal","volume":"111"},"uris":["http://www.mendeley.com/documents/?uuid=3d0632bd-36fb-4c41-92d5-93a105025184"]}],"mendeley":{"formattedCitation":"&lt;sup&gt;1&lt;/sup&gt;","plainTextFormattedCitation":"1","previouslyFormattedCitation":"&lt;sup&gt;1&lt;/sup&gt;"},"properties":{"noteIndex":0},"schema":"https://github.com/citation-style-language/schema/raw/master/csl-citation.json"}</w:instrText>
            </w:r>
            <w:r>
              <w:fldChar w:fldCharType="separate"/>
            </w:r>
            <w:r w:rsidRPr="00AF6127">
              <w:rPr>
                <w:noProof/>
                <w:vertAlign w:val="superscript"/>
              </w:rPr>
              <w:t>1</w:t>
            </w:r>
            <w:r>
              <w:fldChar w:fldCharType="end"/>
            </w:r>
          </w:p>
        </w:tc>
      </w:tr>
      <w:tr w:rsidR="008B1752" w:rsidRPr="00AC2519" w:rsidTr="00EE380E">
        <w:trPr>
          <w:trHeight w:val="300"/>
        </w:trPr>
        <w:tc>
          <w:tcPr>
            <w:tcW w:w="1728" w:type="dxa"/>
            <w:noWrap/>
            <w:hideMark/>
          </w:tcPr>
          <w:p w:rsidR="00AC2519" w:rsidRPr="00AC2519" w:rsidRDefault="00AC2519" w:rsidP="00AC2519">
            <w:pPr>
              <w:pStyle w:val="TableStyle"/>
            </w:pPr>
            <w:r w:rsidRPr="00AC2519">
              <w:t xml:space="preserve">wave_high </w:t>
            </w:r>
          </w:p>
        </w:tc>
        <w:tc>
          <w:tcPr>
            <w:tcW w:w="1440" w:type="dxa"/>
            <w:noWrap/>
            <w:hideMark/>
          </w:tcPr>
          <w:p w:rsidR="00AC2519" w:rsidRPr="00AC2519" w:rsidRDefault="00AC2519" w:rsidP="00AC2519">
            <w:pPr>
              <w:pStyle w:val="TableStyle"/>
            </w:pPr>
            <w:r w:rsidRPr="00AC2519">
              <w:t>0.2</w:t>
            </w:r>
          </w:p>
        </w:tc>
        <w:tc>
          <w:tcPr>
            <w:tcW w:w="849" w:type="dxa"/>
            <w:noWrap/>
            <w:hideMark/>
          </w:tcPr>
          <w:p w:rsidR="00AC2519" w:rsidRPr="00AC2519" w:rsidRDefault="00AC2519" w:rsidP="00AC2519">
            <w:pPr>
              <w:pStyle w:val="TableStyle"/>
            </w:pPr>
          </w:p>
        </w:tc>
        <w:tc>
          <w:tcPr>
            <w:tcW w:w="4708" w:type="dxa"/>
            <w:noWrap/>
            <w:hideMark/>
          </w:tcPr>
          <w:p w:rsidR="00AC2519" w:rsidRPr="00AC2519" w:rsidRDefault="00602948" w:rsidP="00AC2519">
            <w:pPr>
              <w:pStyle w:val="TableStyle"/>
            </w:pPr>
            <w:r>
              <w:t>Fraction of waves approaching at angles higher than 45 degrees from shore normal</w:t>
            </w:r>
          </w:p>
        </w:tc>
        <w:tc>
          <w:tcPr>
            <w:tcW w:w="620" w:type="dxa"/>
            <w:noWrap/>
          </w:tcPr>
          <w:p w:rsidR="00AC2519" w:rsidRPr="00AC2519" w:rsidRDefault="00AF6127" w:rsidP="00AC2519">
            <w:pPr>
              <w:pStyle w:val="TableStyle"/>
            </w:pPr>
            <w:r>
              <w:fldChar w:fldCharType="begin" w:fldLock="1"/>
            </w:r>
            <w:r>
              <w:instrText>ADDIN CSL_CITATION {"citationItems":[{"id":"ITEM-1","itemData":{"DOI":"10.1029/2005JF000422","ISBN":"0148-0227","ISSN":"0148-0227","abstract":"Contrary to traditional findings, the deepwater angle of wave approach strongly affects plan view coastal evolution, giving rise to an antidiffusional \"high wave angle\" instability for sufficiently oblique deepwater waves (with angles between wave crests and the shoreline trend larger than the value that maximizes alongshore sediment transport, similar to 45 degrees). A one-contour-line numerical model shows that a predominance of high-angle waves can cause a shoreline to self-organize into regular, quasiperiodic shapes similar to those found along many natural coasts at scales ranging from kilometers to hundreds of kilometers. The numerical model has been updated from a previous version to include a formulation for the widening of an overly thin barrier by the process of barrier overwash, which is assumed to maintain a minimum barrier width. Systematic analysis shows that the wave climate determines the form of coastal response. For nearly symmetric wave climates (small net alongshore sediment transport), cuspate coasts develop that exhibit increasing relative cross-shore amplitude and pointier tips as the proportion of high-angle waves is increased. For asymmetrical wave climates, shoreline features migrate in the downdrift direction, either as subtle alongshore sand waves or as offshore-extending \"flying spits,\" depending on the proportion of high-angle waves. Numerical analyses further show that the rate that the alongshore scale of model features increases through merging follows a diffusional temporal scale over several orders of magnitude, a rate that is insensitive to the proportion of high-angle waves. The proportion of high-angle waves determines the offshore versus alongshore aspect ratio of self-organized shoreline undulations.","author":[{"dropping-particle":"","family":"Ashton","given":"Andrew D.","non-dropping-particle":"","parse-names":false,"suffix":""},{"dropping-particle":"","family":"Murray","given":"A Brad","non-dropping-particle":"","parse-names":false,"suffix":""}],"container-title":"Journal of Geophysical Research","id":"ITEM-1","issue":"F4","issued":{"date-parts":[["2006","12","15"]]},"language":"English","note":"118LJ\nTimes Cited:40\nCited References Count:71","page":"F04011","title":"High-angle wave instability and emergent shoreline shapes: 1. Modeling of sand waves, flying spits, and capes","type":"article-journal","volume":"111"},"uris":["http://www.mendeley.com/documents/?uuid=3d0632bd-36fb-4c41-92d5-93a105025184"]}],"mendeley":{"formattedCitation":"&lt;sup&gt;1&lt;/sup&gt;","plainTextFormattedCitation":"1","previouslyFormattedCitation":"&lt;sup&gt;1&lt;/sup&gt;"},"properties":{"noteIndex":0},"schema":"https://github.com/citation-style-language/schema/raw/master/csl-citation.json"}</w:instrText>
            </w:r>
            <w:r>
              <w:fldChar w:fldCharType="separate"/>
            </w:r>
            <w:r w:rsidRPr="00AF6127">
              <w:rPr>
                <w:noProof/>
                <w:vertAlign w:val="superscript"/>
              </w:rPr>
              <w:t>1</w:t>
            </w:r>
            <w:r>
              <w:fldChar w:fldCharType="end"/>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wave_climl </w:t>
            </w:r>
          </w:p>
        </w:tc>
        <w:tc>
          <w:tcPr>
            <w:tcW w:w="1440" w:type="dxa"/>
            <w:noWrap/>
            <w:hideMark/>
          </w:tcPr>
          <w:p w:rsidR="00230124" w:rsidRPr="00AC2519" w:rsidRDefault="00230124" w:rsidP="00230124">
            <w:pPr>
              <w:pStyle w:val="TableStyle"/>
            </w:pPr>
            <w:r w:rsidRPr="00AC2519">
              <w:t>180</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rsidRPr="00AC2519">
              <w:t>resolution of possible wave approach angles (1 per degree, easy math)</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tcPr>
          <w:p w:rsidR="00230124" w:rsidRPr="00AC2519" w:rsidRDefault="00230124" w:rsidP="00230124">
            <w:pPr>
              <w:pStyle w:val="TableStyle"/>
            </w:pPr>
            <w:r w:rsidRPr="00AC2519">
              <w:t xml:space="preserve">AngArray </w:t>
            </w:r>
          </w:p>
        </w:tc>
        <w:tc>
          <w:tcPr>
            <w:tcW w:w="1440" w:type="dxa"/>
            <w:noWrap/>
          </w:tcPr>
          <w:p w:rsidR="00230124" w:rsidRPr="00AC2519" w:rsidRDefault="00230124" w:rsidP="00230124">
            <w:pPr>
              <w:pStyle w:val="TableStyle"/>
            </w:pPr>
            <w:r w:rsidRPr="00AC2519">
              <w:t xml:space="preserve"> linspace(-0.5*pi,0.5*pi,wave_climl)'</w:t>
            </w:r>
          </w:p>
        </w:tc>
        <w:tc>
          <w:tcPr>
            <w:tcW w:w="849" w:type="dxa"/>
            <w:noWrap/>
          </w:tcPr>
          <w:p w:rsidR="00230124" w:rsidRPr="00AC2519" w:rsidRDefault="00230124" w:rsidP="00230124">
            <w:pPr>
              <w:pStyle w:val="TableStyle"/>
            </w:pPr>
          </w:p>
        </w:tc>
        <w:tc>
          <w:tcPr>
            <w:tcW w:w="4708" w:type="dxa"/>
            <w:noWrap/>
          </w:tcPr>
          <w:p w:rsidR="00230124" w:rsidRPr="00AC2519" w:rsidRDefault="00230124" w:rsidP="00230124">
            <w:pPr>
              <w:pStyle w:val="TableStyle"/>
            </w:pPr>
            <w:r>
              <w:t>Wave approach angles</w:t>
            </w:r>
          </w:p>
        </w:tc>
        <w:tc>
          <w:tcPr>
            <w:tcW w:w="620" w:type="dxa"/>
            <w:noWrap/>
          </w:tcPr>
          <w:p w:rsidR="00230124" w:rsidRPr="00AC2519" w:rsidRDefault="00230124" w:rsidP="00230124">
            <w:pPr>
              <w:pStyle w:val="TableStyle"/>
            </w:pPr>
          </w:p>
        </w:tc>
      </w:tr>
      <w:tr w:rsidR="00230124" w:rsidRPr="00AC2519" w:rsidTr="00EE380E">
        <w:trPr>
          <w:trHeight w:val="300"/>
        </w:trPr>
        <w:tc>
          <w:tcPr>
            <w:tcW w:w="1728" w:type="dxa"/>
            <w:noWrap/>
          </w:tcPr>
          <w:p w:rsidR="00230124" w:rsidRPr="00AC2519" w:rsidRDefault="00230124" w:rsidP="00230124">
            <w:pPr>
              <w:pStyle w:val="TableStyle"/>
            </w:pPr>
            <w:r w:rsidRPr="00AC2519">
              <w:t xml:space="preserve">k </w:t>
            </w:r>
          </w:p>
        </w:tc>
        <w:tc>
          <w:tcPr>
            <w:tcW w:w="1440" w:type="dxa"/>
            <w:noWrap/>
          </w:tcPr>
          <w:p w:rsidR="00230124" w:rsidRPr="00AC2519" w:rsidRDefault="00230124" w:rsidP="00230124">
            <w:pPr>
              <w:pStyle w:val="TableStyle"/>
            </w:pPr>
            <w:r w:rsidRPr="00AC2519">
              <w:t xml:space="preserve"> 5.3e-6*1050*(g^1.5)*(0.5^1.2)*(sqrt(g*0.78)/(2*pi))^0.2</w:t>
            </w:r>
          </w:p>
        </w:tc>
        <w:tc>
          <w:tcPr>
            <w:tcW w:w="849" w:type="dxa"/>
            <w:noWrap/>
          </w:tcPr>
          <w:p w:rsidR="00230124" w:rsidRPr="00AC2519" w:rsidRDefault="00230124" w:rsidP="00230124">
            <w:pPr>
              <w:pStyle w:val="TableStyle"/>
            </w:pPr>
          </w:p>
        </w:tc>
        <w:tc>
          <w:tcPr>
            <w:tcW w:w="4708" w:type="dxa"/>
            <w:noWrap/>
          </w:tcPr>
          <w:p w:rsidR="00230124" w:rsidRPr="00AC2519" w:rsidRDefault="00230124" w:rsidP="00230124">
            <w:pPr>
              <w:pStyle w:val="TableStyle"/>
            </w:pPr>
            <w:r w:rsidRPr="00AC2519">
              <w:t xml:space="preserve">correct k </w:t>
            </w:r>
            <w:r>
              <w:t>for alongshore transport</w:t>
            </w:r>
          </w:p>
        </w:tc>
        <w:tc>
          <w:tcPr>
            <w:tcW w:w="620" w:type="dxa"/>
            <w:noWrap/>
          </w:tcPr>
          <w:p w:rsidR="00230124" w:rsidRPr="00AC2519" w:rsidRDefault="00AF6127" w:rsidP="00230124">
            <w:pPr>
              <w:pStyle w:val="TableStyle"/>
            </w:pPr>
            <w:r>
              <w:fldChar w:fldCharType="begin" w:fldLock="1"/>
            </w:r>
            <w:r>
              <w:instrText>ADDIN CSL_CITATION {"citationItems":[{"id":"ITEM-1","itemData":{"DOI":"10.1130/G36518.1","ISSN":"1943-2682","abstract":"© 2015 Geological Society of America. River deltas, low-lying landforms that host high concentrations of human population and ecosystem services, face a new, and mostly unknown, future over the coming decades and centuries. Even as some deltas experience decreased sediment supply from damming, others will see increased sediment discharge from land-use changes. There are proposals to actively use riverine sediment supply to build new land and counteract delta loss. We present a novel approach to understanding the morphology of deltas by quantifying the balance between river inputs and the largely overlooked ability of waves to spread sediments along the coast. Defining a fluvial dominance ratio-river sediment input versus the potential maximum alongshore sediment transport away from the delta mouth-allows a quantitative assessment of this sediment transport balance. For a series of deltas on Java, Indonesia, that exhibit a large range of sediment loads but have a homogeneous drainage lithology and wave climate, and for more eclectic global examples, shoreline deflection increases along with this fluvial dominance ratio. The fluvial dominance ratio also predicts the observed transition from cuspate, wave-dominated deltas to fluvially dominated deltas with protruding, crenulated shorelines. Not only does this approach provide a more quantitative foundation for paleoenvironmental reconstructions and delta management, perhaps more importantly, this simple metric of fluvial dominance has a predictive application in determining potential morphology of deltas created by engineered sediment diversions.","author":[{"dropping-particle":"","family":"Nienhuis","given":"Jaap H.","non-dropping-particle":"","parse-names":false,"suffix":""},{"dropping-particle":"","family":"Ashton","given":"Andrew D.","non-dropping-particle":"","parse-names":false,"suffix":""},{"dropping-particle":"","family":"Giosan","given":"Liviu","non-dropping-particle":"","parse-names":false,"suffix":""}],"container-title":"Geology","id":"ITEM-1","issue":"6","issued":{"date-parts":[["2015","6"]]},"page":"511-514","title":"What makes a delta wave-dominated?","type":"article-journal","volume":"43"},"uris":["http://www.mendeley.com/documents/?uuid=fa0a8b87-81b2-493f-b065-6ce35726cc19"]}],"mendeley":{"formattedCitation":"&lt;sup&gt;2&lt;/sup&gt;","plainTextFormattedCitation":"2","previouslyFormattedCitation":"&lt;sup&gt;2&lt;/sup&gt;"},"properties":{"noteIndex":0},"schema":"https://github.com/citation-style-language/schema/raw/master/csl-citation.json"}</w:instrText>
            </w:r>
            <w:r>
              <w:fldChar w:fldCharType="separate"/>
            </w:r>
            <w:r w:rsidRPr="00AF6127">
              <w:rPr>
                <w:noProof/>
                <w:vertAlign w:val="superscript"/>
              </w:rPr>
              <w:t>2</w:t>
            </w:r>
            <w:r>
              <w:fldChar w:fldCharType="end"/>
            </w:r>
          </w:p>
        </w:tc>
      </w:tr>
    </w:tbl>
    <w:p w:rsidR="00230124" w:rsidRDefault="00230124"/>
    <w:tbl>
      <w:tblPr>
        <w:tblStyle w:val="TableGrid"/>
        <w:tblW w:w="9345" w:type="dxa"/>
        <w:tblLayout w:type="fixed"/>
        <w:tblLook w:val="04A0" w:firstRow="1" w:lastRow="0" w:firstColumn="1" w:lastColumn="0" w:noHBand="0" w:noVBand="1"/>
      </w:tblPr>
      <w:tblGrid>
        <w:gridCol w:w="1728"/>
        <w:gridCol w:w="1440"/>
        <w:gridCol w:w="849"/>
        <w:gridCol w:w="4708"/>
        <w:gridCol w:w="620"/>
      </w:tblGrid>
      <w:tr w:rsidR="00230124" w:rsidRPr="00AC2519" w:rsidTr="00701FDD">
        <w:trPr>
          <w:trHeight w:val="300"/>
        </w:trPr>
        <w:tc>
          <w:tcPr>
            <w:tcW w:w="9345" w:type="dxa"/>
            <w:gridSpan w:val="5"/>
            <w:noWrap/>
            <w:hideMark/>
          </w:tcPr>
          <w:p w:rsidR="00230124" w:rsidRPr="00602948" w:rsidRDefault="00230124" w:rsidP="00230124">
            <w:pPr>
              <w:pStyle w:val="TableStyle"/>
              <w:jc w:val="center"/>
              <w:rPr>
                <w:b/>
              </w:rPr>
            </w:pPr>
            <w:r w:rsidRPr="00602948">
              <w:rPr>
                <w:b/>
              </w:rPr>
              <w:t>barrier model parameters</w:t>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slr </w:t>
            </w:r>
          </w:p>
        </w:tc>
        <w:tc>
          <w:tcPr>
            <w:tcW w:w="1440" w:type="dxa"/>
            <w:noWrap/>
            <w:hideMark/>
          </w:tcPr>
          <w:p w:rsidR="00230124" w:rsidRPr="00AC2519" w:rsidRDefault="00230124" w:rsidP="00230124">
            <w:pPr>
              <w:pStyle w:val="TableStyle"/>
            </w:pPr>
            <w:r w:rsidRPr="00AC2519">
              <w:t>2.00E-03</w:t>
            </w:r>
          </w:p>
        </w:tc>
        <w:tc>
          <w:tcPr>
            <w:tcW w:w="849" w:type="dxa"/>
            <w:noWrap/>
            <w:hideMark/>
          </w:tcPr>
          <w:p w:rsidR="00230124" w:rsidRPr="00AC2519" w:rsidRDefault="00230124" w:rsidP="00230124">
            <w:pPr>
              <w:pStyle w:val="TableStyle"/>
            </w:pPr>
            <w:r w:rsidRPr="00AC2519">
              <w:t>m/yr</w:t>
            </w:r>
          </w:p>
        </w:tc>
        <w:tc>
          <w:tcPr>
            <w:tcW w:w="4708" w:type="dxa"/>
            <w:noWrap/>
            <w:hideMark/>
          </w:tcPr>
          <w:p w:rsidR="00230124" w:rsidRPr="00AC2519" w:rsidRDefault="00230124" w:rsidP="00230124">
            <w:pPr>
              <w:pStyle w:val="TableStyle"/>
            </w:pPr>
            <w:r w:rsidRPr="00AC2519">
              <w:t>sea-level rise</w:t>
            </w:r>
            <w:r>
              <w:t xml:space="preserve"> rates</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s_background </w:t>
            </w:r>
          </w:p>
        </w:tc>
        <w:tc>
          <w:tcPr>
            <w:tcW w:w="1440" w:type="dxa"/>
            <w:noWrap/>
            <w:hideMark/>
          </w:tcPr>
          <w:p w:rsidR="00230124" w:rsidRPr="00AC2519" w:rsidRDefault="00230124" w:rsidP="00230124">
            <w:pPr>
              <w:pStyle w:val="TableStyle"/>
            </w:pPr>
            <w:r w:rsidRPr="00AC2519">
              <w:t>1.00E-03</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rsidRPr="00AC2519">
              <w:t xml:space="preserve">background </w:t>
            </w:r>
            <w:r>
              <w:t xml:space="preserve">cross-shore </w:t>
            </w:r>
            <w:r w:rsidRPr="00AC2519">
              <w:t>slope</w:t>
            </w:r>
          </w:p>
        </w:tc>
        <w:tc>
          <w:tcPr>
            <w:tcW w:w="620" w:type="dxa"/>
            <w:noWrap/>
            <w:hideMark/>
          </w:tcPr>
          <w:p w:rsidR="00230124" w:rsidRPr="00AC2519" w:rsidRDefault="00AF6127" w:rsidP="00230124">
            <w:pPr>
              <w:pStyle w:val="TableStyle"/>
            </w:pPr>
            <w:r>
              <w:fldChar w:fldCharType="begin" w:fldLock="1"/>
            </w:r>
            <w:r>
              <w:instrText>ADDIN CSL_CITATION {"citationItems":[{"id":"ITEM-1","itemData":{"DOI":"10.1002/2013JF002941","ISSN":"21699003","author":[{"dropping-particle":"","family":"Lorenzo-Trueba","given":"Jorge","non-dropping-particle":"","parse-names":false,"suffix":""},{"dropping-particle":"","family":"Ashton","given":"Andrew D.","non-dropping-particle":"","parse-names":false,"suffix":""}],"container-title":"Journal of Geophysical Research: Earth Surface","id":"ITEM-1","issue":"4","issued":{"date-parts":[["2014","4","7"]]},"page":"779-801","title":"Rollover, drowning, and discontinuous retreat: Distinct modes of barrier response to sea-level rise arising from a simple morphodynamic model","type":"article-journal","volume":"119"},"uris":["http://www.mendeley.com/documents/?uuid=95094285-aefc-4d24-9244-99a84c02c283"]}],"mendeley":{"formattedCitation":"&lt;sup&gt;3&lt;/sup&gt;","plainTextFormattedCitation":"3","previouslyFormattedCitation":"&lt;sup&gt;3&lt;/sup&gt;"},"properties":{"noteIndex":0},"schema":"https://github.com/citation-style-language/schema/raw/master/csl-citation.json"}</w:instrText>
            </w:r>
            <w:r>
              <w:fldChar w:fldCharType="separate"/>
            </w:r>
            <w:r w:rsidRPr="00AF6127">
              <w:rPr>
                <w:noProof/>
                <w:vertAlign w:val="superscript"/>
              </w:rPr>
              <w:t>3</w:t>
            </w:r>
            <w:r>
              <w:fldChar w:fldCharType="end"/>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w_b_crit </w:t>
            </w:r>
          </w:p>
        </w:tc>
        <w:tc>
          <w:tcPr>
            <w:tcW w:w="1440" w:type="dxa"/>
            <w:noWrap/>
            <w:hideMark/>
          </w:tcPr>
          <w:p w:rsidR="00230124" w:rsidRPr="00AC2519" w:rsidRDefault="00230124" w:rsidP="00230124">
            <w:pPr>
              <w:pStyle w:val="TableStyle"/>
            </w:pPr>
            <w:r w:rsidRPr="00AC2519">
              <w:t>200</w:t>
            </w:r>
          </w:p>
        </w:tc>
        <w:tc>
          <w:tcPr>
            <w:tcW w:w="849" w:type="dxa"/>
            <w:noWrap/>
            <w:hideMark/>
          </w:tcPr>
          <w:p w:rsidR="00230124" w:rsidRPr="00AC2519" w:rsidRDefault="00230124" w:rsidP="00230124">
            <w:pPr>
              <w:pStyle w:val="TableStyle"/>
            </w:pPr>
            <w:r w:rsidRPr="00AC2519">
              <w:t>m</w:t>
            </w:r>
          </w:p>
        </w:tc>
        <w:tc>
          <w:tcPr>
            <w:tcW w:w="4708" w:type="dxa"/>
            <w:noWrap/>
            <w:hideMark/>
          </w:tcPr>
          <w:p w:rsidR="00230124" w:rsidRPr="00AC2519" w:rsidRDefault="00230124" w:rsidP="00230124">
            <w:pPr>
              <w:pStyle w:val="TableStyle"/>
            </w:pPr>
            <w:r w:rsidRPr="00AC2519">
              <w:t>critical barrier width</w:t>
            </w:r>
          </w:p>
        </w:tc>
        <w:tc>
          <w:tcPr>
            <w:tcW w:w="620" w:type="dxa"/>
            <w:noWrap/>
            <w:hideMark/>
          </w:tcPr>
          <w:p w:rsidR="00230124" w:rsidRPr="00AC2519" w:rsidRDefault="00AF6127" w:rsidP="00230124">
            <w:pPr>
              <w:pStyle w:val="TableStyle"/>
            </w:pPr>
            <w:r>
              <w:fldChar w:fldCharType="begin" w:fldLock="1"/>
            </w:r>
            <w:r>
              <w:instrText>ADDIN CSL_CITATION {"citationItems":[{"id":"ITEM-1","itemData":{"DOI":"10.1002/2013JF002941","ISSN":"21699003","author":[{"dropping-particle":"","family":"Lorenzo-Trueba","given":"Jorge","non-dropping-particle":"","parse-names":false,"suffix":""},{"dropping-particle":"","family":"Ashton","given":"Andrew D.","non-dropping-particle":"","parse-names":false,"suffix":""}],"container-title":"Journal of Geophysical Research: Earth Surface","id":"ITEM-1","issue":"4","issued":{"date-parts":[["2014","4","7"]]},"page":"779-801","title":"Rollover, drowning, and discontinuous retreat: Distinct modes of barrier response to sea-level rise arising from a simple morphodynamic model","type":"article-journal","volume":"119"},"uris":["http://www.mendeley.com/documents/?uuid=95094285-aefc-4d24-9244-99a84c02c283"]}],"mendeley":{"formattedCitation":"&lt;sup&gt;3&lt;/sup&gt;","plainTextFormattedCitation":"3","previouslyFormattedCitation":"&lt;sup&gt;3&lt;/sup&gt;"},"properties":{"noteIndex":0},"schema":"https://github.com/citation-style-language/schema/raw/master/csl-citation.json"}</w:instrText>
            </w:r>
            <w:r>
              <w:fldChar w:fldCharType="separate"/>
            </w:r>
            <w:r w:rsidRPr="00AF6127">
              <w:rPr>
                <w:noProof/>
                <w:vertAlign w:val="superscript"/>
              </w:rPr>
              <w:t>3</w:t>
            </w:r>
            <w:r>
              <w:fldChar w:fldCharType="end"/>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h_b_crit </w:t>
            </w:r>
          </w:p>
        </w:tc>
        <w:tc>
          <w:tcPr>
            <w:tcW w:w="1440" w:type="dxa"/>
            <w:noWrap/>
            <w:hideMark/>
          </w:tcPr>
          <w:p w:rsidR="00230124" w:rsidRPr="00AC2519" w:rsidRDefault="00230124" w:rsidP="00230124">
            <w:pPr>
              <w:pStyle w:val="TableStyle"/>
            </w:pPr>
            <w:r w:rsidRPr="00AC2519">
              <w:t>2</w:t>
            </w:r>
          </w:p>
        </w:tc>
        <w:tc>
          <w:tcPr>
            <w:tcW w:w="849" w:type="dxa"/>
            <w:noWrap/>
            <w:hideMark/>
          </w:tcPr>
          <w:p w:rsidR="00230124" w:rsidRPr="00AC2519" w:rsidRDefault="00230124" w:rsidP="00230124">
            <w:pPr>
              <w:pStyle w:val="TableStyle"/>
            </w:pPr>
            <w:r w:rsidRPr="00AC2519">
              <w:t>m</w:t>
            </w:r>
          </w:p>
        </w:tc>
        <w:tc>
          <w:tcPr>
            <w:tcW w:w="4708" w:type="dxa"/>
            <w:noWrap/>
            <w:hideMark/>
          </w:tcPr>
          <w:p w:rsidR="00230124" w:rsidRPr="00AC2519" w:rsidRDefault="00230124" w:rsidP="00230124">
            <w:pPr>
              <w:pStyle w:val="TableStyle"/>
            </w:pPr>
            <w:r w:rsidRPr="00AC2519">
              <w:t>critical barrier height</w:t>
            </w:r>
          </w:p>
        </w:tc>
        <w:tc>
          <w:tcPr>
            <w:tcW w:w="620" w:type="dxa"/>
            <w:noWrap/>
            <w:hideMark/>
          </w:tcPr>
          <w:p w:rsidR="00230124" w:rsidRPr="00AC2519" w:rsidRDefault="00AF6127" w:rsidP="00230124">
            <w:pPr>
              <w:pStyle w:val="TableStyle"/>
            </w:pPr>
            <w:r>
              <w:fldChar w:fldCharType="begin" w:fldLock="1"/>
            </w:r>
            <w:r>
              <w:instrText>ADDIN CSL_CITATION {"citationItems":[{"id":"ITEM-1","itemData":{"DOI":"10.1002/2013JF002941","ISSN":"21699003","author":[{"dropping-particle":"","family":"Lorenzo-Trueba","given":"Jorge","non-dropping-particle":"","parse-names":false,"suffix":""},{"dropping-particle":"","family":"Ashton","given":"Andrew D.","non-dropping-particle":"","parse-names":false,"suffix":""}],"container-title":"Journal of Geophysical Research: Earth Surface","id":"ITEM-1","issue":"4","issued":{"date-parts":[["2014","4","7"]]},"page":"779-801","title":"Rollover, drowning, and discontinuous retreat: Distinct modes of barrier response to sea-level rise arising from a simple morphodynamic model","type":"article-journal","volume":"119"},"uris":["http://www.mendeley.com/documents/?uuid=95094285-aefc-4d24-9244-99a84c02c283"]}],"mendeley":{"formattedCitation":"&lt;sup&gt;3&lt;/sup&gt;","plainTextFormattedCitation":"3","previouslyFormattedCitation":"&lt;sup&gt;3&lt;/sup&gt;"},"properties":{"noteIndex":0},"schema":"https://github.com/citation-style-language/schema/raw/master/csl-citation.json"}</w:instrText>
            </w:r>
            <w:r>
              <w:fldChar w:fldCharType="separate"/>
            </w:r>
            <w:r w:rsidRPr="00AF6127">
              <w:rPr>
                <w:noProof/>
                <w:vertAlign w:val="superscript"/>
              </w:rPr>
              <w:t>3</w:t>
            </w:r>
            <w:r>
              <w:fldChar w:fldCharType="end"/>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Qow_max </w:t>
            </w:r>
          </w:p>
        </w:tc>
        <w:tc>
          <w:tcPr>
            <w:tcW w:w="1440" w:type="dxa"/>
            <w:noWrap/>
            <w:hideMark/>
          </w:tcPr>
          <w:p w:rsidR="00230124" w:rsidRPr="00AC2519" w:rsidRDefault="00230124" w:rsidP="00230124">
            <w:pPr>
              <w:pStyle w:val="TableStyle"/>
            </w:pPr>
            <w:r w:rsidRPr="00AC2519">
              <w:t>20</w:t>
            </w:r>
          </w:p>
        </w:tc>
        <w:tc>
          <w:tcPr>
            <w:tcW w:w="849" w:type="dxa"/>
            <w:noWrap/>
            <w:hideMark/>
          </w:tcPr>
          <w:p w:rsidR="00230124" w:rsidRPr="00AC2519" w:rsidRDefault="00230124" w:rsidP="00230124">
            <w:pPr>
              <w:pStyle w:val="TableStyle"/>
            </w:pPr>
            <w:r w:rsidRPr="00AC2519">
              <w:t>m3/m/yr</w:t>
            </w:r>
          </w:p>
        </w:tc>
        <w:tc>
          <w:tcPr>
            <w:tcW w:w="4708" w:type="dxa"/>
            <w:noWrap/>
            <w:hideMark/>
          </w:tcPr>
          <w:p w:rsidR="00230124" w:rsidRPr="00AC2519" w:rsidRDefault="00230124" w:rsidP="00230124">
            <w:pPr>
              <w:pStyle w:val="TableStyle"/>
            </w:pPr>
            <w:r w:rsidRPr="00AC2519">
              <w:t>max overwash flux</w:t>
            </w:r>
          </w:p>
        </w:tc>
        <w:tc>
          <w:tcPr>
            <w:tcW w:w="620" w:type="dxa"/>
            <w:noWrap/>
            <w:hideMark/>
          </w:tcPr>
          <w:p w:rsidR="00230124" w:rsidRPr="00AC2519" w:rsidRDefault="00AF6127" w:rsidP="00230124">
            <w:pPr>
              <w:pStyle w:val="TableStyle"/>
            </w:pPr>
            <w:r>
              <w:fldChar w:fldCharType="begin" w:fldLock="1"/>
            </w:r>
            <w:r>
              <w:instrText>ADDIN CSL_CITATION {"citationItems":[{"id":"ITEM-1","itemData":{"DOI":"10.1002/2013JF002941","ISSN":"21699003","author":[{"dropping-particle":"","family":"Lorenzo-Trueba","given":"Jorge","non-dropping-particle":"","parse-names":false,"suffix":""},{"dropping-particle":"","family":"Ashton","given":"Andrew D.","non-dropping-particle":"","parse-names":false,"suffix":""}],"container-title":"Journal of Geophysical Research: Earth Surface","id":"ITEM-1","issue":"4","issued":{"date-parts":[["2014","4","7"]]},"page":"779-801","title":"Rollover, drowning, and discontinuous retreat: Distinct modes of barrier response to sea-level rise arising from a simple morphodynamic model","type":"article-journal","volume":"119"},"uris":["http://www.mendeley.com/documents/?uuid=95094285-aefc-4d24-9244-99a84c02c283"]}],"mendeley":{"formattedCitation":"&lt;sup&gt;3&lt;/sup&gt;","plainTextFormattedCitation":"3","previouslyFormattedCitation":"&lt;sup&gt;3&lt;/sup&gt;"},"properties":{"noteIndex":0},"schema":"https://github.com/citation-style-language/schema/raw/master/csl-citation.json"}</w:instrText>
            </w:r>
            <w:r>
              <w:fldChar w:fldCharType="separate"/>
            </w:r>
            <w:r w:rsidRPr="00AF6127">
              <w:rPr>
                <w:noProof/>
                <w:vertAlign w:val="superscript"/>
              </w:rPr>
              <w:t>3</w:t>
            </w:r>
            <w:r>
              <w:fldChar w:fldCharType="end"/>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z </w:t>
            </w:r>
          </w:p>
        </w:tc>
        <w:tc>
          <w:tcPr>
            <w:tcW w:w="1440" w:type="dxa"/>
            <w:noWrap/>
            <w:hideMark/>
          </w:tcPr>
          <w:p w:rsidR="00230124" w:rsidRPr="00AC2519" w:rsidRDefault="00230124" w:rsidP="00230124">
            <w:pPr>
              <w:pStyle w:val="TableStyle"/>
            </w:pPr>
            <w:r w:rsidRPr="00AC2519">
              <w:t>10</w:t>
            </w:r>
          </w:p>
        </w:tc>
        <w:tc>
          <w:tcPr>
            <w:tcW w:w="849" w:type="dxa"/>
            <w:noWrap/>
            <w:hideMark/>
          </w:tcPr>
          <w:p w:rsidR="00230124" w:rsidRPr="00AC2519" w:rsidRDefault="00230124" w:rsidP="00230124">
            <w:pPr>
              <w:pStyle w:val="TableStyle"/>
            </w:pPr>
            <w:r w:rsidRPr="00AC2519">
              <w:t>m</w:t>
            </w:r>
          </w:p>
        </w:tc>
        <w:tc>
          <w:tcPr>
            <w:tcW w:w="4708" w:type="dxa"/>
            <w:noWrap/>
            <w:hideMark/>
          </w:tcPr>
          <w:p w:rsidR="00230124" w:rsidRPr="00AC2519" w:rsidRDefault="00230124" w:rsidP="00230124">
            <w:pPr>
              <w:pStyle w:val="TableStyle"/>
            </w:pPr>
            <w:r w:rsidRPr="00AC2519">
              <w:t>initial sea level</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bb_depth </w:t>
            </w:r>
          </w:p>
        </w:tc>
        <w:tc>
          <w:tcPr>
            <w:tcW w:w="1440" w:type="dxa"/>
            <w:noWrap/>
            <w:hideMark/>
          </w:tcPr>
          <w:p w:rsidR="00230124" w:rsidRPr="00AC2519" w:rsidRDefault="00230124" w:rsidP="00230124">
            <w:pPr>
              <w:pStyle w:val="TableStyle"/>
            </w:pPr>
            <w:r w:rsidRPr="00AC2519">
              <w:t>3</w:t>
            </w:r>
          </w:p>
        </w:tc>
        <w:tc>
          <w:tcPr>
            <w:tcW w:w="849" w:type="dxa"/>
            <w:noWrap/>
            <w:hideMark/>
          </w:tcPr>
          <w:p w:rsidR="00230124" w:rsidRPr="00AC2519" w:rsidRDefault="00230124" w:rsidP="00230124">
            <w:pPr>
              <w:pStyle w:val="TableStyle"/>
            </w:pPr>
            <w:r w:rsidRPr="00AC2519">
              <w:t>m</w:t>
            </w:r>
          </w:p>
        </w:tc>
        <w:tc>
          <w:tcPr>
            <w:tcW w:w="4708" w:type="dxa"/>
            <w:noWrap/>
            <w:hideMark/>
          </w:tcPr>
          <w:p w:rsidR="00230124" w:rsidRPr="00AC2519" w:rsidRDefault="00230124" w:rsidP="00230124">
            <w:pPr>
              <w:pStyle w:val="TableStyle"/>
            </w:pPr>
            <w:r w:rsidRPr="00AC2519">
              <w:t>back barrier depth</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grain_size </w:t>
            </w:r>
          </w:p>
        </w:tc>
        <w:tc>
          <w:tcPr>
            <w:tcW w:w="1440" w:type="dxa"/>
            <w:noWrap/>
            <w:hideMark/>
          </w:tcPr>
          <w:p w:rsidR="00230124" w:rsidRPr="00AC2519" w:rsidRDefault="00230124" w:rsidP="00230124">
            <w:pPr>
              <w:pStyle w:val="TableStyle"/>
            </w:pPr>
            <w:r w:rsidRPr="00AC2519">
              <w:t>2.00E-04</w:t>
            </w:r>
          </w:p>
        </w:tc>
        <w:tc>
          <w:tcPr>
            <w:tcW w:w="849" w:type="dxa"/>
            <w:noWrap/>
            <w:hideMark/>
          </w:tcPr>
          <w:p w:rsidR="00230124" w:rsidRPr="00AC2519" w:rsidRDefault="00230124" w:rsidP="00230124">
            <w:pPr>
              <w:pStyle w:val="TableStyle"/>
            </w:pPr>
            <w:r w:rsidRPr="00AC2519">
              <w:t>m</w:t>
            </w:r>
          </w:p>
        </w:tc>
        <w:tc>
          <w:tcPr>
            <w:tcW w:w="4708" w:type="dxa"/>
            <w:noWrap/>
            <w:hideMark/>
          </w:tcPr>
          <w:p w:rsidR="00230124" w:rsidRPr="00AC2519" w:rsidRDefault="00230124" w:rsidP="00230124">
            <w:pPr>
              <w:pStyle w:val="TableStyle"/>
            </w:pPr>
            <w:r>
              <w:t>Median grain size of the shoreface</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R </w:t>
            </w:r>
          </w:p>
        </w:tc>
        <w:tc>
          <w:tcPr>
            <w:tcW w:w="1440" w:type="dxa"/>
            <w:noWrap/>
            <w:hideMark/>
          </w:tcPr>
          <w:p w:rsidR="00230124" w:rsidRPr="00AC2519" w:rsidRDefault="00230124" w:rsidP="00230124">
            <w:pPr>
              <w:pStyle w:val="TableStyle"/>
            </w:pPr>
            <w:r w:rsidRPr="00AC2519">
              <w:t>1.65</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rsidRPr="00AC2519">
              <w:t>relative density of sand</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e_s </w:t>
            </w:r>
          </w:p>
        </w:tc>
        <w:tc>
          <w:tcPr>
            <w:tcW w:w="1440" w:type="dxa"/>
            <w:noWrap/>
            <w:hideMark/>
          </w:tcPr>
          <w:p w:rsidR="00230124" w:rsidRPr="00AC2519" w:rsidRDefault="00230124" w:rsidP="00230124">
            <w:pPr>
              <w:pStyle w:val="TableStyle"/>
            </w:pPr>
            <w:r w:rsidRPr="00AC2519">
              <w:t>0.01</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rsidRPr="00230124">
              <w:t>suspended sediment transport efficiency factor</w:t>
            </w:r>
          </w:p>
        </w:tc>
        <w:tc>
          <w:tcPr>
            <w:tcW w:w="620" w:type="dxa"/>
            <w:noWrap/>
            <w:hideMark/>
          </w:tcPr>
          <w:p w:rsidR="00230124" w:rsidRPr="00AC2519" w:rsidRDefault="00AF6127" w:rsidP="00230124">
            <w:pPr>
              <w:pStyle w:val="TableStyle"/>
            </w:pPr>
            <w:r>
              <w:fldChar w:fldCharType="begin" w:fldLock="1"/>
            </w:r>
            <w:r>
              <w:instrText>ADDIN CSL_CITATION {"citationItems":[{"id":"ITEM-1","itemData":{"DOI":"10.1002/2015JF003699","ISSN":"21699003","author":[{"dropping-particle":"","family":"Ortiz","given":"Alejandra C.","non-dropping-particle":"","parse-names":false,"suffix":""},{"dropping-particle":"","family":"Ashton","given":"Andrew D.","non-dropping-particle":"","parse-names":false,"suffix":""}],"container-title":"Journal of Geophysical Research: Earth Surface","id":"ITEM-1","issue":"2","issued":{"date-parts":[["2016","2"]]},"page":"442-464","title":"Exploring shoreface dynamics and a mechanistic explanation for a morphodynamic depth of closure","type":"article-journal","volume":"121"},"uris":["http://www.mendeley.com/documents/?uuid=caec61fd-6414-4ab1-8c36-df4ae8a5352b"]}],"mendeley":{"formattedCitation":"&lt;sup&gt;4&lt;/sup&gt;","plainTextFormattedCitation":"4","previouslyFormattedCitation":"&lt;sup&gt;4&lt;/sup&gt;"},"properties":{"noteIndex":0},"schema":"https://github.com/citation-style-language/schema/raw/master/csl-citation.json"}</w:instrText>
            </w:r>
            <w:r>
              <w:fldChar w:fldCharType="separate"/>
            </w:r>
            <w:r w:rsidRPr="00AF6127">
              <w:rPr>
                <w:noProof/>
                <w:vertAlign w:val="superscript"/>
              </w:rPr>
              <w:t>4</w:t>
            </w:r>
            <w:r>
              <w:fldChar w:fldCharType="end"/>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c_s </w:t>
            </w:r>
          </w:p>
        </w:tc>
        <w:tc>
          <w:tcPr>
            <w:tcW w:w="1440" w:type="dxa"/>
            <w:noWrap/>
            <w:hideMark/>
          </w:tcPr>
          <w:p w:rsidR="00230124" w:rsidRPr="00AC2519" w:rsidRDefault="00230124" w:rsidP="00230124">
            <w:pPr>
              <w:pStyle w:val="TableStyle"/>
            </w:pPr>
            <w:r w:rsidRPr="00AC2519">
              <w:t>0.01</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t xml:space="preserve">Shoreface transport </w:t>
            </w:r>
            <w:r w:rsidRPr="00230124">
              <w:t>friction factor</w:t>
            </w:r>
          </w:p>
        </w:tc>
        <w:tc>
          <w:tcPr>
            <w:tcW w:w="620" w:type="dxa"/>
            <w:noWrap/>
            <w:hideMark/>
          </w:tcPr>
          <w:p w:rsidR="00230124" w:rsidRPr="00AC2519" w:rsidRDefault="00AF6127" w:rsidP="00230124">
            <w:pPr>
              <w:pStyle w:val="TableStyle"/>
            </w:pPr>
            <w:r>
              <w:fldChar w:fldCharType="begin" w:fldLock="1"/>
            </w:r>
            <w:r>
              <w:instrText>ADDIN CSL_CITATION {"citationItems":[{"id":"ITEM-1","itemData":{"DOI":"10.1002/2015JF003699","ISSN":"21699003","author":[{"dropping-particle":"","family":"Ortiz","given":"Alejandra C.","non-dropping-particle":"","parse-names":false,"suffix":""},{"dropping-particle":"","family":"Ashton","given":"Andrew D.","non-dropping-particle":"","parse-names":false,"suffix":""}],"container-title":"Journal of Geophysical Research: Earth Surface","id":"ITEM-1","issue":"2","issued":{"date-parts":[["2016","2"]]},"page":"442-464","title":"Exploring shoreface dynamics and a mechanistic explanation for a morphodynamic depth of closure","type":"article-journal","volume":"121"},"uris":["http://www.mendeley.com/documents/?uuid=caec61fd-6414-4ab1-8c36-df4ae8a5352b"]}],"mendeley":{"formattedCitation":"&lt;sup&gt;4&lt;/sup&gt;","plainTextFormattedCitation":"4","previouslyFormattedCitation":"&lt;sup&gt;4&lt;/sup&gt;"},"properties":{"noteIndex":0},"schema":"https://github.com/citation-style-language/schema/raw/master/csl-citation.json"}</w:instrText>
            </w:r>
            <w:r>
              <w:fldChar w:fldCharType="separate"/>
            </w:r>
            <w:r w:rsidRPr="00AF6127">
              <w:rPr>
                <w:noProof/>
                <w:vertAlign w:val="superscript"/>
              </w:rPr>
              <w:t>4</w:t>
            </w:r>
            <w:r>
              <w:fldChar w:fldCharType="end"/>
            </w:r>
          </w:p>
        </w:tc>
      </w:tr>
    </w:tbl>
    <w:p w:rsidR="00230124" w:rsidRDefault="00230124"/>
    <w:tbl>
      <w:tblPr>
        <w:tblStyle w:val="TableGrid"/>
        <w:tblW w:w="9345" w:type="dxa"/>
        <w:tblLayout w:type="fixed"/>
        <w:tblLook w:val="04A0" w:firstRow="1" w:lastRow="0" w:firstColumn="1" w:lastColumn="0" w:noHBand="0" w:noVBand="1"/>
      </w:tblPr>
      <w:tblGrid>
        <w:gridCol w:w="1728"/>
        <w:gridCol w:w="1440"/>
        <w:gridCol w:w="849"/>
        <w:gridCol w:w="4708"/>
        <w:gridCol w:w="620"/>
      </w:tblGrid>
      <w:tr w:rsidR="00230124" w:rsidRPr="00AC2519" w:rsidTr="00F7403B">
        <w:trPr>
          <w:trHeight w:val="300"/>
        </w:trPr>
        <w:tc>
          <w:tcPr>
            <w:tcW w:w="9345" w:type="dxa"/>
            <w:gridSpan w:val="5"/>
            <w:noWrap/>
            <w:hideMark/>
          </w:tcPr>
          <w:p w:rsidR="00230124" w:rsidRPr="00602948" w:rsidRDefault="00230124" w:rsidP="00230124">
            <w:pPr>
              <w:pStyle w:val="TableStyle"/>
              <w:jc w:val="center"/>
              <w:rPr>
                <w:b/>
              </w:rPr>
            </w:pPr>
            <w:r w:rsidRPr="00602948">
              <w:rPr>
                <w:b/>
              </w:rPr>
              <w:lastRenderedPageBreak/>
              <w:t xml:space="preserve">alongshore </w:t>
            </w:r>
            <w:r>
              <w:rPr>
                <w:b/>
              </w:rPr>
              <w:t>grid setup</w:t>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dy </w:t>
            </w:r>
          </w:p>
        </w:tc>
        <w:tc>
          <w:tcPr>
            <w:tcW w:w="1440" w:type="dxa"/>
            <w:noWrap/>
            <w:hideMark/>
          </w:tcPr>
          <w:p w:rsidR="00230124" w:rsidRPr="00AC2519" w:rsidRDefault="00230124" w:rsidP="00230124">
            <w:pPr>
              <w:pStyle w:val="TableStyle"/>
            </w:pPr>
            <w:r w:rsidRPr="00AC2519">
              <w:t>100</w:t>
            </w:r>
          </w:p>
        </w:tc>
        <w:tc>
          <w:tcPr>
            <w:tcW w:w="849" w:type="dxa"/>
            <w:noWrap/>
            <w:hideMark/>
          </w:tcPr>
          <w:p w:rsidR="00230124" w:rsidRPr="00AC2519" w:rsidRDefault="00230124" w:rsidP="00230124">
            <w:pPr>
              <w:pStyle w:val="TableStyle"/>
            </w:pPr>
            <w:r w:rsidRPr="00AC2519">
              <w:t>m</w:t>
            </w:r>
          </w:p>
        </w:tc>
        <w:tc>
          <w:tcPr>
            <w:tcW w:w="4708" w:type="dxa"/>
            <w:noWrap/>
            <w:hideMark/>
          </w:tcPr>
          <w:p w:rsidR="00230124" w:rsidRPr="00AC2519" w:rsidRDefault="00230124" w:rsidP="00230124">
            <w:pPr>
              <w:pStyle w:val="TableStyle"/>
            </w:pPr>
            <w:r w:rsidRPr="00AC2519">
              <w:t>length of each alongshore section (m)</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ny </w:t>
            </w:r>
          </w:p>
        </w:tc>
        <w:tc>
          <w:tcPr>
            <w:tcW w:w="1440" w:type="dxa"/>
            <w:noWrap/>
            <w:hideMark/>
          </w:tcPr>
          <w:p w:rsidR="00230124" w:rsidRPr="00AC2519" w:rsidRDefault="00230124" w:rsidP="00230124">
            <w:pPr>
              <w:pStyle w:val="TableStyle"/>
            </w:pPr>
            <w:r w:rsidRPr="00AC2519">
              <w:t>1000</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rsidRPr="00AC2519">
              <w:t>number of alonghsore sections</w:t>
            </w:r>
          </w:p>
        </w:tc>
        <w:tc>
          <w:tcPr>
            <w:tcW w:w="620" w:type="dxa"/>
            <w:noWrap/>
            <w:hideMark/>
          </w:tcPr>
          <w:p w:rsidR="00230124" w:rsidRPr="00AC2519" w:rsidRDefault="00230124" w:rsidP="00230124">
            <w:pPr>
              <w:pStyle w:val="TableStyle"/>
            </w:pPr>
          </w:p>
        </w:tc>
      </w:tr>
    </w:tbl>
    <w:p w:rsidR="00230124" w:rsidRDefault="00230124"/>
    <w:tbl>
      <w:tblPr>
        <w:tblStyle w:val="TableGrid"/>
        <w:tblW w:w="9345" w:type="dxa"/>
        <w:tblLayout w:type="fixed"/>
        <w:tblLook w:val="04A0" w:firstRow="1" w:lastRow="0" w:firstColumn="1" w:lastColumn="0" w:noHBand="0" w:noVBand="1"/>
      </w:tblPr>
      <w:tblGrid>
        <w:gridCol w:w="1728"/>
        <w:gridCol w:w="1440"/>
        <w:gridCol w:w="849"/>
        <w:gridCol w:w="4708"/>
        <w:gridCol w:w="620"/>
      </w:tblGrid>
      <w:tr w:rsidR="00230124" w:rsidRPr="00AC2519" w:rsidTr="006D40CD">
        <w:trPr>
          <w:trHeight w:val="300"/>
        </w:trPr>
        <w:tc>
          <w:tcPr>
            <w:tcW w:w="9345" w:type="dxa"/>
            <w:gridSpan w:val="5"/>
            <w:noWrap/>
            <w:hideMark/>
          </w:tcPr>
          <w:p w:rsidR="00230124" w:rsidRPr="00602948" w:rsidRDefault="00230124" w:rsidP="00230124">
            <w:pPr>
              <w:pStyle w:val="TableStyle"/>
              <w:jc w:val="center"/>
              <w:rPr>
                <w:b/>
              </w:rPr>
            </w:pPr>
            <w:r w:rsidRPr="00602948">
              <w:rPr>
                <w:b/>
              </w:rPr>
              <w:t>timestepping</w:t>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dt </w:t>
            </w:r>
          </w:p>
        </w:tc>
        <w:tc>
          <w:tcPr>
            <w:tcW w:w="1440" w:type="dxa"/>
            <w:noWrap/>
            <w:hideMark/>
          </w:tcPr>
          <w:p w:rsidR="00230124" w:rsidRPr="00AC2519" w:rsidRDefault="00230124" w:rsidP="00230124">
            <w:pPr>
              <w:pStyle w:val="TableStyle"/>
            </w:pPr>
            <w:r w:rsidRPr="00AC2519">
              <w:t>0.05</w:t>
            </w:r>
          </w:p>
        </w:tc>
        <w:tc>
          <w:tcPr>
            <w:tcW w:w="849" w:type="dxa"/>
            <w:noWrap/>
            <w:hideMark/>
          </w:tcPr>
          <w:p w:rsidR="00230124" w:rsidRPr="00AC2519" w:rsidRDefault="00230124" w:rsidP="00230124">
            <w:pPr>
              <w:pStyle w:val="TableStyle"/>
            </w:pPr>
            <w:r w:rsidRPr="00AC2519">
              <w:t>years</w:t>
            </w:r>
          </w:p>
        </w:tc>
        <w:tc>
          <w:tcPr>
            <w:tcW w:w="4708" w:type="dxa"/>
            <w:noWrap/>
            <w:hideMark/>
          </w:tcPr>
          <w:p w:rsidR="00230124" w:rsidRPr="00AC2519" w:rsidRDefault="00751B20" w:rsidP="00230124">
            <w:pPr>
              <w:pStyle w:val="TableStyle"/>
            </w:pPr>
            <w:r w:rsidRPr="00AC2519">
              <w:t>T</w:t>
            </w:r>
            <w:r w:rsidR="00230124" w:rsidRPr="00AC2519">
              <w:t>imestep</w:t>
            </w:r>
            <w:r>
              <w:t xml:space="preserve"> of the numerical model</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nt </w:t>
            </w:r>
          </w:p>
        </w:tc>
        <w:tc>
          <w:tcPr>
            <w:tcW w:w="1440" w:type="dxa"/>
            <w:noWrap/>
            <w:hideMark/>
          </w:tcPr>
          <w:p w:rsidR="00230124" w:rsidRPr="00AC2519" w:rsidRDefault="00230124" w:rsidP="00230124">
            <w:pPr>
              <w:pStyle w:val="TableStyle"/>
            </w:pPr>
            <w:r w:rsidRPr="00AC2519">
              <w:t>1.00E+05</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rsidRPr="00AC2519">
              <w:t>number of timesteps</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dtsave </w:t>
            </w:r>
          </w:p>
        </w:tc>
        <w:tc>
          <w:tcPr>
            <w:tcW w:w="1440" w:type="dxa"/>
            <w:noWrap/>
            <w:hideMark/>
          </w:tcPr>
          <w:p w:rsidR="00230124" w:rsidRPr="00AC2519" w:rsidRDefault="00230124" w:rsidP="00230124">
            <w:pPr>
              <w:pStyle w:val="TableStyle"/>
            </w:pPr>
            <w:r w:rsidRPr="00AC2519">
              <w:t>1.00E+03</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rsidRPr="00AC2519">
              <w:t>save spacing</w:t>
            </w:r>
          </w:p>
        </w:tc>
        <w:tc>
          <w:tcPr>
            <w:tcW w:w="620" w:type="dxa"/>
            <w:noWrap/>
            <w:hideMark/>
          </w:tcPr>
          <w:p w:rsidR="00230124" w:rsidRPr="00AC2519" w:rsidRDefault="00230124" w:rsidP="00230124">
            <w:pPr>
              <w:pStyle w:val="TableStyle"/>
            </w:pPr>
          </w:p>
        </w:tc>
      </w:tr>
    </w:tbl>
    <w:p w:rsidR="00672791" w:rsidRDefault="00672791"/>
    <w:tbl>
      <w:tblPr>
        <w:tblStyle w:val="TableGrid"/>
        <w:tblW w:w="9345" w:type="dxa"/>
        <w:tblLayout w:type="fixed"/>
        <w:tblLook w:val="04A0" w:firstRow="1" w:lastRow="0" w:firstColumn="1" w:lastColumn="0" w:noHBand="0" w:noVBand="1"/>
      </w:tblPr>
      <w:tblGrid>
        <w:gridCol w:w="1728"/>
        <w:gridCol w:w="1440"/>
        <w:gridCol w:w="849"/>
        <w:gridCol w:w="4708"/>
        <w:gridCol w:w="620"/>
      </w:tblGrid>
      <w:tr w:rsidR="00672791" w:rsidRPr="00AC2519" w:rsidTr="00FF2B99">
        <w:trPr>
          <w:trHeight w:val="300"/>
        </w:trPr>
        <w:tc>
          <w:tcPr>
            <w:tcW w:w="9345" w:type="dxa"/>
            <w:gridSpan w:val="5"/>
            <w:noWrap/>
          </w:tcPr>
          <w:p w:rsidR="00672791" w:rsidRPr="00672791" w:rsidRDefault="00672791" w:rsidP="00672791">
            <w:pPr>
              <w:pStyle w:val="TableStyle"/>
              <w:jc w:val="center"/>
              <w:rPr>
                <w:b/>
              </w:rPr>
            </w:pPr>
            <w:r w:rsidRPr="00672791">
              <w:rPr>
                <w:b/>
              </w:rPr>
              <w:t>Inlet</w:t>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Jmin </w:t>
            </w:r>
          </w:p>
        </w:tc>
        <w:tc>
          <w:tcPr>
            <w:tcW w:w="1440" w:type="dxa"/>
            <w:noWrap/>
            <w:hideMark/>
          </w:tcPr>
          <w:p w:rsidR="00230124" w:rsidRPr="00AC2519" w:rsidRDefault="00230124" w:rsidP="00230124">
            <w:pPr>
              <w:pStyle w:val="TableStyle"/>
            </w:pPr>
            <w:r w:rsidRPr="00AC2519">
              <w:t>10000</w:t>
            </w:r>
          </w:p>
        </w:tc>
        <w:tc>
          <w:tcPr>
            <w:tcW w:w="849" w:type="dxa"/>
            <w:noWrap/>
            <w:hideMark/>
          </w:tcPr>
          <w:p w:rsidR="00230124" w:rsidRPr="00AC2519" w:rsidRDefault="00230124" w:rsidP="00230124">
            <w:pPr>
              <w:pStyle w:val="TableStyle"/>
            </w:pPr>
            <w:r w:rsidRPr="00AC2519">
              <w:t>m</w:t>
            </w:r>
          </w:p>
        </w:tc>
        <w:tc>
          <w:tcPr>
            <w:tcW w:w="4708" w:type="dxa"/>
            <w:noWrap/>
            <w:hideMark/>
          </w:tcPr>
          <w:p w:rsidR="00230124" w:rsidRPr="00AC2519" w:rsidRDefault="00230124" w:rsidP="00230124">
            <w:pPr>
              <w:pStyle w:val="TableStyle"/>
            </w:pPr>
            <w:r w:rsidRPr="00AC2519">
              <w:t>minimum inlet spacing</w:t>
            </w:r>
          </w:p>
        </w:tc>
        <w:tc>
          <w:tcPr>
            <w:tcW w:w="620" w:type="dxa"/>
            <w:noWrap/>
            <w:hideMark/>
          </w:tcPr>
          <w:p w:rsidR="00230124" w:rsidRPr="00AC2519" w:rsidRDefault="00AF6127" w:rsidP="00230124">
            <w:pPr>
              <w:pStyle w:val="TableStyle"/>
            </w:pPr>
            <w:r>
              <w:fldChar w:fldCharType="begin" w:fldLock="1"/>
            </w:r>
            <w:r>
              <w:instrText>ADDIN CSL_CITATION {"citationItems":[{"id":"ITEM-1","itemData":{"DOI":"10.1002/grl.50843","ISSN":"00948276","abstract":"Barrier coasts display a chain of islands, separated by tidal inlets that connect a back-barrier basin to a sea or ocean. Observations show that barrier island length generally decreases for increasing tidal range and increasing basin area. However, this has neither been reproduced in model studies nor explained from the underlying physics. This is the aim of our study. Here we simulate barrier coast dynamics by combining a widely used empirical relationship for inlet dynamics with a process-based model of the tidal hydrodynamics. Our model results show stable inlet systems with more than one inlet open that support the observed qualitative relationships and fit in existing barrier coast classifications. To explain this, we identify a competition between a destabilizing mechanism (bottom friction in inlets, tending to reduce the number of open inlets) and a stabilizing one (spatially varying pressure gradients over the inlets, tending to keep the inlets open).","author":[{"dropping-particle":"","family":"Roos","given":"Pieter C.","non-dropping-particle":"","parse-names":false,"suffix":""},{"dropping-particle":"","family":"Schuttelaars","given":"Henk M.","non-dropping-particle":"","parse-names":false,"suffix":""},{"dropping-particle":"","family":"Brouwer","given":"Ronald L.","non-dropping-particle":"","parse-names":false,"suffix":""}],"container-title":"Geophysical Research Letters","id":"ITEM-1","issue":"16","issued":{"date-parts":[["2013","8","28"]]},"page":"4338-4343","title":"Observations of barrier island length explained using an exploratory morphodynamic model","type":"article-journal","volume":"40"},"uris":["http://www.mendeley.com/documents/?uuid=6a0af948-6931-45fe-92d7-71a6042ce225"]}],"mendeley":{"formattedCitation":"&lt;sup&gt;5&lt;/sup&gt;","plainTextFormattedCitation":"5","previouslyFormattedCitation":"&lt;sup&gt;5&lt;/sup&gt;"},"properties":{"noteIndex":0},"schema":"https://github.com/citation-style-language/schema/raw/master/csl-citation.json"}</w:instrText>
            </w:r>
            <w:r>
              <w:fldChar w:fldCharType="separate"/>
            </w:r>
            <w:r w:rsidRPr="00AF6127">
              <w:rPr>
                <w:noProof/>
                <w:vertAlign w:val="superscript"/>
              </w:rPr>
              <w:t>5</w:t>
            </w:r>
            <w:r>
              <w:fldChar w:fldCharType="end"/>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a0 </w:t>
            </w:r>
          </w:p>
        </w:tc>
        <w:tc>
          <w:tcPr>
            <w:tcW w:w="1440" w:type="dxa"/>
            <w:noWrap/>
            <w:hideMark/>
          </w:tcPr>
          <w:p w:rsidR="00230124" w:rsidRPr="00AC2519" w:rsidRDefault="00230124" w:rsidP="00230124">
            <w:pPr>
              <w:pStyle w:val="TableStyle"/>
            </w:pPr>
            <w:r w:rsidRPr="00AC2519">
              <w:t>0.5</w:t>
            </w:r>
          </w:p>
        </w:tc>
        <w:tc>
          <w:tcPr>
            <w:tcW w:w="849" w:type="dxa"/>
            <w:noWrap/>
            <w:hideMark/>
          </w:tcPr>
          <w:p w:rsidR="00230124" w:rsidRPr="00AC2519" w:rsidRDefault="00230124" w:rsidP="00230124">
            <w:pPr>
              <w:pStyle w:val="TableStyle"/>
            </w:pPr>
            <w:r w:rsidRPr="00AC2519">
              <w:t>m</w:t>
            </w:r>
          </w:p>
        </w:tc>
        <w:tc>
          <w:tcPr>
            <w:tcW w:w="4708" w:type="dxa"/>
            <w:noWrap/>
            <w:hideMark/>
          </w:tcPr>
          <w:p w:rsidR="00230124" w:rsidRPr="00AC2519" w:rsidRDefault="00230124" w:rsidP="00230124">
            <w:pPr>
              <w:pStyle w:val="TableStyle"/>
            </w:pPr>
            <w:r w:rsidRPr="00AC2519">
              <w:t>amplitude of tide</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omega0 </w:t>
            </w:r>
          </w:p>
        </w:tc>
        <w:tc>
          <w:tcPr>
            <w:tcW w:w="1440" w:type="dxa"/>
            <w:noWrap/>
            <w:hideMark/>
          </w:tcPr>
          <w:p w:rsidR="00230124" w:rsidRPr="00AC2519" w:rsidRDefault="00230124" w:rsidP="00230124">
            <w:pPr>
              <w:pStyle w:val="TableStyle"/>
            </w:pPr>
            <w:r w:rsidRPr="00AC2519">
              <w:t>1.40E-04</w:t>
            </w:r>
          </w:p>
        </w:tc>
        <w:tc>
          <w:tcPr>
            <w:tcW w:w="849" w:type="dxa"/>
            <w:noWrap/>
            <w:hideMark/>
          </w:tcPr>
          <w:p w:rsidR="00230124" w:rsidRPr="00AC2519" w:rsidRDefault="00230124" w:rsidP="00230124">
            <w:pPr>
              <w:pStyle w:val="TableStyle"/>
            </w:pPr>
            <w:r w:rsidRPr="00AC2519">
              <w:t>rad/s</w:t>
            </w:r>
          </w:p>
        </w:tc>
        <w:tc>
          <w:tcPr>
            <w:tcW w:w="4708" w:type="dxa"/>
            <w:noWrap/>
            <w:hideMark/>
          </w:tcPr>
          <w:p w:rsidR="00230124" w:rsidRPr="00AC2519" w:rsidRDefault="00230124" w:rsidP="00230124">
            <w:pPr>
              <w:pStyle w:val="TableStyle"/>
            </w:pPr>
            <w:r w:rsidRPr="00AC2519">
              <w:t>tidal frequency</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inlet_asp </w:t>
            </w:r>
          </w:p>
        </w:tc>
        <w:tc>
          <w:tcPr>
            <w:tcW w:w="1440" w:type="dxa"/>
            <w:noWrap/>
            <w:hideMark/>
          </w:tcPr>
          <w:p w:rsidR="00230124" w:rsidRPr="00AC2519" w:rsidRDefault="00230124" w:rsidP="00230124">
            <w:pPr>
              <w:pStyle w:val="TableStyle"/>
            </w:pPr>
            <w:r w:rsidRPr="00AC2519">
              <w:t>sqrt(0.005)</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rsidRPr="00AC2519">
              <w:t>aspect ratio inlet</w:t>
            </w:r>
          </w:p>
        </w:tc>
        <w:tc>
          <w:tcPr>
            <w:tcW w:w="620" w:type="dxa"/>
            <w:noWrap/>
            <w:hideMark/>
          </w:tcPr>
          <w:p w:rsidR="00230124" w:rsidRPr="00AC2519" w:rsidRDefault="00AF6127" w:rsidP="00230124">
            <w:pPr>
              <w:pStyle w:val="TableStyle"/>
            </w:pPr>
            <w:r>
              <w:fldChar w:fldCharType="begin" w:fldLock="1"/>
            </w:r>
            <w:r w:rsidR="00826C65">
              <w:instrText>ADDIN CSL_CITATION {"citationItems":[{"id":"ITEM-1","itemData":{"DOI":"10.1146/annurev.fluid.010908.165159","ISBN":"0066-4189","ISSN":"0066-4189","abstract":"In this review we discuss the morphodynamics of tidal inlet systems that are typical of barrier coasts formed during a period of continuous sea-level rise during the Holocene. The morphodynamics concerns feedbacks between three major components: the hydrodynamics of tidal currents and wind waves; the erosion, deposition, and transport of sediment under the action of the former hydrodynamic agencies; and the morphology proper, which results from the divergence of the sediment transport. We discuss the morphodynamics of the different units that characterize a tidal inlet system: the overall system, the ebb-tidal delta, the tidal channels, channel networks, tidal bars and meanders, and finally the intertidal zone of tidal flats and salt marshes. In most of these units, stability analysis is a major guide to the establishment of equilibrium structures.","author":[{"dropping-particle":"","family":"Swart","given":"H.E.","non-dropping-particle":"de","parse-names":false,"suffix":""},{"dropping-particle":"","family":"Zimmerman","given":"J.T.F.","non-dropping-particle":"","parse-names":false,"suffix":""}],"container-title":"Annual Review of Fluid Mechanics","id":"ITEM-1","issued":{"date-parts":[["2009"]]},"page":"203-229","title":"Morphodynamics of Tidal Inlet Systems","type":"article-journal","volume":"41"},"uris":["http://www.mendeley.com/documents/?uuid=2c03b892-5647-4678-b04c-a11f30601069"]}],"mendeley":{"formattedCitation":"&lt;sup&gt;6&lt;/sup&gt;","plainTextFormattedCitation":"6","previouslyFormattedCitation":"&lt;sup&gt;6&lt;/sup&gt;"},"properties":{"noteIndex":0},"schema":"https://github.com/citation-style-language/schema/raw/master/csl-citation.json"}</w:instrText>
            </w:r>
            <w:r>
              <w:fldChar w:fldCharType="separate"/>
            </w:r>
            <w:r w:rsidRPr="00AF6127">
              <w:rPr>
                <w:noProof/>
                <w:vertAlign w:val="superscript"/>
              </w:rPr>
              <w:t>6</w:t>
            </w:r>
            <w:r>
              <w:fldChar w:fldCharType="end"/>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man_n </w:t>
            </w:r>
          </w:p>
        </w:tc>
        <w:tc>
          <w:tcPr>
            <w:tcW w:w="1440" w:type="dxa"/>
            <w:noWrap/>
            <w:hideMark/>
          </w:tcPr>
          <w:p w:rsidR="00230124" w:rsidRPr="00AC2519" w:rsidRDefault="00230124" w:rsidP="00230124">
            <w:pPr>
              <w:pStyle w:val="TableStyle"/>
            </w:pPr>
            <w:r w:rsidRPr="00AC2519">
              <w:t>0.05</w:t>
            </w:r>
          </w:p>
        </w:tc>
        <w:tc>
          <w:tcPr>
            <w:tcW w:w="849" w:type="dxa"/>
            <w:noWrap/>
            <w:hideMark/>
          </w:tcPr>
          <w:p w:rsidR="00230124" w:rsidRPr="00AC2519" w:rsidRDefault="00751B20" w:rsidP="00230124">
            <w:pPr>
              <w:pStyle w:val="TableStyle"/>
            </w:pPr>
            <w:r>
              <w:t xml:space="preserve">s </w:t>
            </w:r>
            <w:r w:rsidRPr="00AC2519">
              <w:t>m</w:t>
            </w:r>
            <w:r w:rsidRPr="00751B20">
              <w:rPr>
                <w:vertAlign w:val="superscript"/>
              </w:rPr>
              <w:t>-1/3</w:t>
            </w:r>
          </w:p>
        </w:tc>
        <w:tc>
          <w:tcPr>
            <w:tcW w:w="4708" w:type="dxa"/>
            <w:noWrap/>
            <w:hideMark/>
          </w:tcPr>
          <w:p w:rsidR="00230124" w:rsidRPr="00AC2519" w:rsidRDefault="00751B20" w:rsidP="00230124">
            <w:pPr>
              <w:pStyle w:val="TableStyle"/>
            </w:pPr>
            <w:r>
              <w:t xml:space="preserve">bulk </w:t>
            </w:r>
            <w:r w:rsidR="00230124" w:rsidRPr="00AC2519">
              <w:t>manning n</w:t>
            </w:r>
            <w:r>
              <w:t xml:space="preserve"> of the lagoon</w:t>
            </w:r>
            <w:r w:rsidR="00230124" w:rsidRPr="00AC2519">
              <w:t xml:space="preserve"> (vegetated </w:t>
            </w:r>
            <w:r>
              <w:t>stream</w:t>
            </w:r>
            <w:r w:rsidR="00230124" w:rsidRPr="00AC2519">
              <w:t>)</w:t>
            </w:r>
          </w:p>
        </w:tc>
        <w:tc>
          <w:tcPr>
            <w:tcW w:w="620" w:type="dxa"/>
            <w:noWrap/>
            <w:hideMark/>
          </w:tcPr>
          <w:p w:rsidR="00230124" w:rsidRPr="00AC2519" w:rsidRDefault="00AF6127" w:rsidP="00230124">
            <w:pPr>
              <w:pStyle w:val="TableStyle"/>
            </w:pPr>
            <w:r>
              <w:fldChar w:fldCharType="begin" w:fldLock="1"/>
            </w:r>
            <w:r w:rsidR="00826C65">
              <w:instrText>ADDIN CSL_CITATION {"citationItems":[{"id":"ITEM-1","itemData":{"DOI":"10.1146/annurev.fluid.010908.165159","ISBN":"0066-4189","ISSN":"0066-4189","abstract":"In this review we discuss the morphodynamics of tidal inlet systems that are typical of barrier coasts formed during a period of continuous sea-level rise during the Holocene. The morphodynamics concerns feedbacks between three major components: the hydrodynamics of tidal currents and wind waves; the erosion, deposition, and transport of sediment under the action of the former hydrodynamic agencies; and the morphology proper, which results from the divergence of the sediment transport. We discuss the morphodynamics of the different units that characterize a tidal inlet system: the overall system, the ebb-tidal delta, the tidal channels, channel networks, tidal bars and meanders, and finally the intertidal zone of tidal flats and salt marshes. In most of these units, stability analysis is a major guide to the establishment of equilibrium structures.","author":[{"dropping-particle":"","family":"Swart","given":"H.E.","non-dropping-particle":"de","parse-names":false,"suffix":""},{"dropping-particle":"","family":"Zimmerman","given":"J.T.F.","non-dropping-particle":"","parse-names":false,"suffix":""}],"container-title":"Annual Review of Fluid Mechanics","id":"ITEM-1","issued":{"date-parts":[["2009"]]},"page":"203-229","title":"Morphodynamics of Tidal Inlet Systems","type":"article-journal","volume":"41"},"uris":["http://www.mendeley.com/documents/?uuid=2c03b892-5647-4678-b04c-a11f30601069"]}],"mendeley":{"formattedCitation":"&lt;sup&gt;6&lt;/sup&gt;","plainTextFormattedCitation":"6","previouslyFormattedCitation":"&lt;sup&gt;6&lt;/sup&gt;"},"properties":{"noteIndex":0},"schema":"https://github.com/citation-style-language/schema/raw/master/csl-citation.json"}</w:instrText>
            </w:r>
            <w:r>
              <w:fldChar w:fldCharType="separate"/>
            </w:r>
            <w:r w:rsidRPr="00AF6127">
              <w:rPr>
                <w:noProof/>
                <w:vertAlign w:val="superscript"/>
              </w:rPr>
              <w:t>6</w:t>
            </w:r>
            <w:r>
              <w:fldChar w:fldCharType="end"/>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u_e </w:t>
            </w:r>
          </w:p>
        </w:tc>
        <w:tc>
          <w:tcPr>
            <w:tcW w:w="1440" w:type="dxa"/>
            <w:noWrap/>
            <w:hideMark/>
          </w:tcPr>
          <w:p w:rsidR="00230124" w:rsidRPr="00AC2519" w:rsidRDefault="00230124" w:rsidP="00230124">
            <w:pPr>
              <w:pStyle w:val="TableStyle"/>
            </w:pPr>
            <w:r w:rsidRPr="00AC2519">
              <w:t>1</w:t>
            </w:r>
          </w:p>
        </w:tc>
        <w:tc>
          <w:tcPr>
            <w:tcW w:w="849" w:type="dxa"/>
            <w:noWrap/>
            <w:hideMark/>
          </w:tcPr>
          <w:p w:rsidR="00230124" w:rsidRPr="00AC2519" w:rsidRDefault="00230124" w:rsidP="00230124">
            <w:pPr>
              <w:pStyle w:val="TableStyle"/>
            </w:pPr>
            <w:r w:rsidRPr="00AC2519">
              <w:t>m/s</w:t>
            </w:r>
          </w:p>
        </w:tc>
        <w:tc>
          <w:tcPr>
            <w:tcW w:w="4708" w:type="dxa"/>
            <w:noWrap/>
            <w:hideMark/>
          </w:tcPr>
          <w:p w:rsidR="00230124" w:rsidRPr="00AC2519" w:rsidRDefault="00230124" w:rsidP="00230124">
            <w:pPr>
              <w:pStyle w:val="TableStyle"/>
            </w:pPr>
            <w:r w:rsidRPr="00AC2519">
              <w:t>inlet equilibrium velocity</w:t>
            </w:r>
          </w:p>
        </w:tc>
        <w:tc>
          <w:tcPr>
            <w:tcW w:w="620" w:type="dxa"/>
            <w:noWrap/>
            <w:hideMark/>
          </w:tcPr>
          <w:p w:rsidR="00230124" w:rsidRPr="00AC2519" w:rsidRDefault="00AF6127" w:rsidP="00230124">
            <w:pPr>
              <w:pStyle w:val="TableStyle"/>
            </w:pPr>
            <w:r>
              <w:fldChar w:fldCharType="begin" w:fldLock="1"/>
            </w:r>
            <w:r w:rsidR="00826C65">
              <w:instrText>ADDIN CSL_CITATION {"citationItems":[{"id":"ITEM-1","itemData":{"DOI":"10.1146/annurev.fluid.010908.165159","ISBN":"0066-4189","ISSN":"0066-4189","abstract":"In this review we discuss the morphodynamics of tidal inlet systems that are typical of barrier coasts formed during a period of continuous sea-level rise during the Holocene. The morphodynamics concerns feedbacks between three major components: the hydrodynamics of tidal currents and wind waves; the erosion, deposition, and transport of sediment under the action of the former hydrodynamic agencies; and the morphology proper, which results from the divergence of the sediment transport. We discuss the morphodynamics of the different units that characterize a tidal inlet system: the overall system, the ebb-tidal delta, the tidal channels, channel networks, tidal bars and meanders, and finally the intertidal zone of tidal flats and salt marshes. In most of these units, stability analysis is a major guide to the establishment of equilibrium structures.","author":[{"dropping-particle":"","family":"Swart","given":"H.E.","non-dropping-particle":"de","parse-names":false,"suffix":""},{"dropping-particle":"","family":"Zimmerman","given":"J.T.F.","non-dropping-particle":"","parse-names":false,"suffix":""}],"container-title":"Annual Review of Fluid Mechanics","id":"ITEM-1","issued":{"date-parts":[["2009"]]},"page":"203-229","title":"Morphodynamics of Tidal Inlet Systems","type":"article-journal","volume":"41"},"uris":["http://www.mendeley.com/documents/?uuid=2c03b892-5647-4678-b04c-a11f30601069"]}],"mendeley":{"formattedCitation":"&lt;sup&gt;6&lt;/sup&gt;","plainTextFormattedCitation":"6","previouslyFormattedCitation":"&lt;sup&gt;6&lt;/sup&gt;"},"properties":{"noteIndex":0},"schema":"https://github.com/citation-style-language/schema/raw/master/csl-citation.json"}</w:instrText>
            </w:r>
            <w:r>
              <w:fldChar w:fldCharType="separate"/>
            </w:r>
            <w:r w:rsidRPr="00AF6127">
              <w:rPr>
                <w:noProof/>
                <w:vertAlign w:val="superscript"/>
              </w:rPr>
              <w:t>6</w:t>
            </w:r>
            <w:r>
              <w:fldChar w:fldCharType="end"/>
            </w: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inlet_max </w:t>
            </w:r>
          </w:p>
        </w:tc>
        <w:tc>
          <w:tcPr>
            <w:tcW w:w="1440" w:type="dxa"/>
            <w:noWrap/>
            <w:hideMark/>
          </w:tcPr>
          <w:p w:rsidR="00230124" w:rsidRPr="00AC2519" w:rsidRDefault="00230124" w:rsidP="00230124">
            <w:pPr>
              <w:pStyle w:val="TableStyle"/>
            </w:pPr>
            <w:r w:rsidRPr="00AC2519">
              <w:t>100</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rsidRPr="00AC2519">
              <w:t>maximum number of inlets (debugging)</w:t>
            </w:r>
          </w:p>
        </w:tc>
        <w:tc>
          <w:tcPr>
            <w:tcW w:w="620" w:type="dxa"/>
            <w:noWrap/>
            <w:hideMark/>
          </w:tcPr>
          <w:p w:rsidR="00230124" w:rsidRPr="00AC2519" w:rsidRDefault="00230124" w:rsidP="00230124">
            <w:pPr>
              <w:pStyle w:val="TableStyle"/>
            </w:pPr>
          </w:p>
        </w:tc>
      </w:tr>
      <w:tr w:rsidR="00230124" w:rsidRPr="00AC2519" w:rsidTr="00EE380E">
        <w:trPr>
          <w:trHeight w:val="300"/>
        </w:trPr>
        <w:tc>
          <w:tcPr>
            <w:tcW w:w="1728" w:type="dxa"/>
            <w:noWrap/>
            <w:hideMark/>
          </w:tcPr>
          <w:p w:rsidR="00230124" w:rsidRPr="00AC2519" w:rsidRDefault="00230124" w:rsidP="00230124">
            <w:pPr>
              <w:pStyle w:val="TableStyle"/>
            </w:pPr>
            <w:r w:rsidRPr="00AC2519">
              <w:t xml:space="preserve">marsh_cover </w:t>
            </w:r>
          </w:p>
        </w:tc>
        <w:tc>
          <w:tcPr>
            <w:tcW w:w="1440" w:type="dxa"/>
            <w:noWrap/>
            <w:hideMark/>
          </w:tcPr>
          <w:p w:rsidR="00230124" w:rsidRPr="00AC2519" w:rsidRDefault="00230124" w:rsidP="00230124">
            <w:pPr>
              <w:pStyle w:val="TableStyle"/>
            </w:pPr>
            <w:r w:rsidRPr="00AC2519">
              <w:t>0.5</w:t>
            </w:r>
          </w:p>
        </w:tc>
        <w:tc>
          <w:tcPr>
            <w:tcW w:w="849" w:type="dxa"/>
            <w:noWrap/>
            <w:hideMark/>
          </w:tcPr>
          <w:p w:rsidR="00230124" w:rsidRPr="00AC2519" w:rsidRDefault="00230124" w:rsidP="00230124">
            <w:pPr>
              <w:pStyle w:val="TableStyle"/>
            </w:pPr>
          </w:p>
        </w:tc>
        <w:tc>
          <w:tcPr>
            <w:tcW w:w="4708" w:type="dxa"/>
            <w:noWrap/>
            <w:hideMark/>
          </w:tcPr>
          <w:p w:rsidR="00230124" w:rsidRPr="00AC2519" w:rsidRDefault="00230124" w:rsidP="00230124">
            <w:pPr>
              <w:pStyle w:val="TableStyle"/>
            </w:pPr>
            <w:r w:rsidRPr="00AC2519">
              <w:t>percentage of backbarrier covered by marsh and therefore does not contribute to tidal prism</w:t>
            </w:r>
          </w:p>
        </w:tc>
        <w:tc>
          <w:tcPr>
            <w:tcW w:w="620" w:type="dxa"/>
            <w:noWrap/>
            <w:hideMark/>
          </w:tcPr>
          <w:p w:rsidR="00230124" w:rsidRPr="00AC2519" w:rsidRDefault="00230124" w:rsidP="00230124">
            <w:pPr>
              <w:pStyle w:val="TableStyle"/>
            </w:pPr>
          </w:p>
        </w:tc>
      </w:tr>
    </w:tbl>
    <w:p w:rsidR="005E6163" w:rsidRDefault="005E6163" w:rsidP="00BC3A9D">
      <w:pPr>
        <w:pStyle w:val="Heading1"/>
      </w:pPr>
      <w:r>
        <w:t>Output files</w:t>
      </w:r>
    </w:p>
    <w:p w:rsidR="00676B06" w:rsidRDefault="00654E4E" w:rsidP="00676B06">
      <w:r>
        <w:t>The barrier model generates a matlab data structure upon completion.</w:t>
      </w:r>
    </w:p>
    <w:tbl>
      <w:tblPr>
        <w:tblStyle w:val="TableGrid"/>
        <w:tblW w:w="9409" w:type="dxa"/>
        <w:tblLook w:val="04A0" w:firstRow="1" w:lastRow="0" w:firstColumn="1" w:lastColumn="0" w:noHBand="0" w:noVBand="1"/>
      </w:tblPr>
      <w:tblGrid>
        <w:gridCol w:w="1543"/>
        <w:gridCol w:w="1946"/>
        <w:gridCol w:w="870"/>
        <w:gridCol w:w="5050"/>
      </w:tblGrid>
      <w:tr w:rsidR="00654E4E" w:rsidRPr="00654E4E" w:rsidTr="00D04BE5">
        <w:trPr>
          <w:trHeight w:val="300"/>
        </w:trPr>
        <w:tc>
          <w:tcPr>
            <w:tcW w:w="0" w:type="auto"/>
            <w:noWrap/>
          </w:tcPr>
          <w:p w:rsidR="00654E4E" w:rsidRPr="00654E4E" w:rsidRDefault="00654E4E" w:rsidP="00654E4E">
            <w:pPr>
              <w:pStyle w:val="TableStyle"/>
              <w:rPr>
                <w:b/>
              </w:rPr>
            </w:pPr>
            <w:r w:rsidRPr="00654E4E">
              <w:rPr>
                <w:b/>
              </w:rPr>
              <w:t>Variable name</w:t>
            </w:r>
          </w:p>
        </w:tc>
        <w:tc>
          <w:tcPr>
            <w:tcW w:w="0" w:type="auto"/>
            <w:noWrap/>
          </w:tcPr>
          <w:p w:rsidR="00654E4E" w:rsidRPr="00654E4E" w:rsidRDefault="00654E4E" w:rsidP="00654E4E">
            <w:pPr>
              <w:pStyle w:val="TableStyle"/>
              <w:rPr>
                <w:b/>
              </w:rPr>
            </w:pPr>
            <w:r w:rsidRPr="00654E4E">
              <w:rPr>
                <w:b/>
              </w:rPr>
              <w:t>Variable size</w:t>
            </w:r>
          </w:p>
        </w:tc>
        <w:tc>
          <w:tcPr>
            <w:tcW w:w="870" w:type="dxa"/>
          </w:tcPr>
          <w:p w:rsidR="00654E4E" w:rsidRPr="00654E4E" w:rsidRDefault="00654E4E" w:rsidP="00654E4E">
            <w:pPr>
              <w:pStyle w:val="TableStyle"/>
              <w:rPr>
                <w:b/>
              </w:rPr>
            </w:pPr>
            <w:r>
              <w:rPr>
                <w:b/>
              </w:rPr>
              <w:t>units</w:t>
            </w:r>
          </w:p>
        </w:tc>
        <w:tc>
          <w:tcPr>
            <w:tcW w:w="5050" w:type="dxa"/>
          </w:tcPr>
          <w:p w:rsidR="00654E4E" w:rsidRPr="00654E4E" w:rsidRDefault="00654E4E" w:rsidP="00654E4E">
            <w:pPr>
              <w:pStyle w:val="TableStyle"/>
              <w:rPr>
                <w:b/>
              </w:rPr>
            </w:pPr>
            <w:r w:rsidRPr="00654E4E">
              <w:rPr>
                <w:b/>
              </w:rPr>
              <w:t>note</w:t>
            </w:r>
          </w:p>
        </w:tc>
      </w:tr>
      <w:tr w:rsidR="00654E4E" w:rsidRPr="00654E4E" w:rsidTr="00D04BE5">
        <w:trPr>
          <w:trHeight w:val="300"/>
        </w:trPr>
        <w:tc>
          <w:tcPr>
            <w:tcW w:w="0" w:type="auto"/>
            <w:noWrap/>
            <w:hideMark/>
          </w:tcPr>
          <w:p w:rsidR="00654E4E" w:rsidRPr="00654E4E" w:rsidRDefault="00654E4E" w:rsidP="00654E4E">
            <w:pPr>
              <w:pStyle w:val="TableStyle"/>
            </w:pPr>
            <w:r w:rsidRPr="00654E4E">
              <w:t>Qoverwash</w:t>
            </w:r>
          </w:p>
        </w:tc>
        <w:tc>
          <w:tcPr>
            <w:tcW w:w="0" w:type="auto"/>
            <w:noWrap/>
            <w:hideMark/>
          </w:tcPr>
          <w:p w:rsidR="00654E4E" w:rsidRPr="00654E4E" w:rsidRDefault="00654E4E" w:rsidP="00654E4E">
            <w:pPr>
              <w:pStyle w:val="TableStyle"/>
            </w:pPr>
            <w:r w:rsidRPr="00654E4E">
              <w:t>[</w:t>
            </w:r>
            <w:r>
              <w:t>nt</w:t>
            </w:r>
            <w:r w:rsidRPr="00654E4E">
              <w:t>×1single]</w:t>
            </w:r>
          </w:p>
        </w:tc>
        <w:tc>
          <w:tcPr>
            <w:tcW w:w="870" w:type="dxa"/>
          </w:tcPr>
          <w:p w:rsidR="00654E4E" w:rsidRPr="00654E4E" w:rsidRDefault="00654E4E" w:rsidP="00654E4E">
            <w:pPr>
              <w:pStyle w:val="TableStyle"/>
            </w:pPr>
            <w:r>
              <w:t>m</w:t>
            </w:r>
            <w:r w:rsidRPr="00654E4E">
              <w:rPr>
                <w:vertAlign w:val="superscript"/>
              </w:rPr>
              <w:t>3</w:t>
            </w:r>
            <w:r>
              <w:t>/yr</w:t>
            </w:r>
          </w:p>
        </w:tc>
        <w:tc>
          <w:tcPr>
            <w:tcW w:w="5050" w:type="dxa"/>
          </w:tcPr>
          <w:p w:rsidR="00654E4E" w:rsidRPr="00654E4E" w:rsidRDefault="008F05E4" w:rsidP="00654E4E">
            <w:pPr>
              <w:pStyle w:val="TableStyle"/>
            </w:pPr>
            <w:r>
              <w:t>Total overwash flux through time</w:t>
            </w:r>
          </w:p>
        </w:tc>
      </w:tr>
      <w:tr w:rsidR="00654E4E" w:rsidRPr="00654E4E" w:rsidTr="00D04BE5">
        <w:trPr>
          <w:trHeight w:val="300"/>
        </w:trPr>
        <w:tc>
          <w:tcPr>
            <w:tcW w:w="0" w:type="auto"/>
            <w:noWrap/>
            <w:hideMark/>
          </w:tcPr>
          <w:p w:rsidR="00654E4E" w:rsidRPr="00654E4E" w:rsidRDefault="00654E4E" w:rsidP="00654E4E">
            <w:pPr>
              <w:pStyle w:val="TableStyle"/>
            </w:pPr>
            <w:r w:rsidRPr="00654E4E">
              <w:t>x_t_save</w:t>
            </w:r>
          </w:p>
        </w:tc>
        <w:tc>
          <w:tcPr>
            <w:tcW w:w="0" w:type="auto"/>
            <w:noWrap/>
            <w:hideMark/>
          </w:tcPr>
          <w:p w:rsidR="00654E4E" w:rsidRPr="00654E4E" w:rsidRDefault="00654E4E" w:rsidP="00654E4E">
            <w:pPr>
              <w:pStyle w:val="TableStyle"/>
            </w:pPr>
            <w:r w:rsidRPr="00654E4E">
              <w:t>[</w:t>
            </w:r>
            <w:r>
              <w:t>ny</w:t>
            </w:r>
            <w:r w:rsidRPr="00654E4E">
              <w:t>×</w:t>
            </w:r>
            <w:r>
              <w:t>nt/dtsave</w:t>
            </w:r>
            <w:r w:rsidRPr="00654E4E">
              <w:t>int32]</w:t>
            </w:r>
          </w:p>
        </w:tc>
        <w:tc>
          <w:tcPr>
            <w:tcW w:w="870" w:type="dxa"/>
          </w:tcPr>
          <w:p w:rsidR="00654E4E" w:rsidRPr="00654E4E" w:rsidRDefault="00654E4E" w:rsidP="00654E4E">
            <w:pPr>
              <w:pStyle w:val="TableStyle"/>
            </w:pPr>
            <w:r>
              <w:t>m</w:t>
            </w:r>
          </w:p>
        </w:tc>
        <w:tc>
          <w:tcPr>
            <w:tcW w:w="5050" w:type="dxa"/>
          </w:tcPr>
          <w:p w:rsidR="00654E4E" w:rsidRPr="00654E4E" w:rsidRDefault="008F05E4" w:rsidP="00654E4E">
            <w:pPr>
              <w:pStyle w:val="TableStyle"/>
            </w:pPr>
            <w:r>
              <w:t xml:space="preserve">Position of the shoreface toe </w:t>
            </w:r>
          </w:p>
        </w:tc>
      </w:tr>
      <w:tr w:rsidR="00654E4E" w:rsidRPr="00654E4E" w:rsidTr="00D04BE5">
        <w:trPr>
          <w:trHeight w:val="300"/>
        </w:trPr>
        <w:tc>
          <w:tcPr>
            <w:tcW w:w="0" w:type="auto"/>
            <w:noWrap/>
            <w:hideMark/>
          </w:tcPr>
          <w:p w:rsidR="00654E4E" w:rsidRPr="00654E4E" w:rsidRDefault="00654E4E" w:rsidP="00654E4E">
            <w:pPr>
              <w:pStyle w:val="TableStyle"/>
            </w:pPr>
            <w:r w:rsidRPr="00654E4E">
              <w:t>x_s_save</w:t>
            </w:r>
          </w:p>
        </w:tc>
        <w:tc>
          <w:tcPr>
            <w:tcW w:w="0" w:type="auto"/>
            <w:noWrap/>
            <w:hideMark/>
          </w:tcPr>
          <w:p w:rsidR="00654E4E" w:rsidRPr="00654E4E" w:rsidRDefault="00654E4E" w:rsidP="00654E4E">
            <w:pPr>
              <w:pStyle w:val="TableStyle"/>
            </w:pPr>
            <w:r w:rsidRPr="00654E4E">
              <w:t>[</w:t>
            </w:r>
            <w:r>
              <w:t>ny</w:t>
            </w:r>
            <w:r w:rsidRPr="00654E4E">
              <w:t>×</w:t>
            </w:r>
            <w:r>
              <w:t>nt/dtsave</w:t>
            </w:r>
            <w:r w:rsidRPr="00654E4E">
              <w:t>int32]</w:t>
            </w:r>
          </w:p>
        </w:tc>
        <w:tc>
          <w:tcPr>
            <w:tcW w:w="870" w:type="dxa"/>
          </w:tcPr>
          <w:p w:rsidR="00654E4E" w:rsidRPr="00654E4E" w:rsidRDefault="00654E4E" w:rsidP="00654E4E">
            <w:pPr>
              <w:pStyle w:val="TableStyle"/>
            </w:pPr>
            <w:r>
              <w:t>m</w:t>
            </w:r>
          </w:p>
        </w:tc>
        <w:tc>
          <w:tcPr>
            <w:tcW w:w="5050" w:type="dxa"/>
          </w:tcPr>
          <w:p w:rsidR="00654E4E" w:rsidRPr="00654E4E" w:rsidRDefault="008F05E4" w:rsidP="00654E4E">
            <w:pPr>
              <w:pStyle w:val="TableStyle"/>
            </w:pPr>
            <w:r>
              <w:t>Position of the shoreline</w:t>
            </w:r>
          </w:p>
        </w:tc>
      </w:tr>
      <w:tr w:rsidR="00654E4E" w:rsidRPr="00654E4E" w:rsidTr="00D04BE5">
        <w:trPr>
          <w:trHeight w:val="300"/>
        </w:trPr>
        <w:tc>
          <w:tcPr>
            <w:tcW w:w="0" w:type="auto"/>
            <w:noWrap/>
            <w:hideMark/>
          </w:tcPr>
          <w:p w:rsidR="00654E4E" w:rsidRPr="00654E4E" w:rsidRDefault="00654E4E" w:rsidP="00654E4E">
            <w:pPr>
              <w:pStyle w:val="TableStyle"/>
            </w:pPr>
            <w:r w:rsidRPr="00654E4E">
              <w:t>x_b_save</w:t>
            </w:r>
          </w:p>
        </w:tc>
        <w:tc>
          <w:tcPr>
            <w:tcW w:w="0" w:type="auto"/>
            <w:noWrap/>
            <w:hideMark/>
          </w:tcPr>
          <w:p w:rsidR="00654E4E" w:rsidRPr="00654E4E" w:rsidRDefault="00654E4E" w:rsidP="00654E4E">
            <w:pPr>
              <w:pStyle w:val="TableStyle"/>
            </w:pPr>
            <w:r w:rsidRPr="00654E4E">
              <w:t>[</w:t>
            </w:r>
            <w:r>
              <w:t>ny</w:t>
            </w:r>
            <w:r w:rsidRPr="00654E4E">
              <w:t>×</w:t>
            </w:r>
            <w:r>
              <w:t>nt/dtsave</w:t>
            </w:r>
            <w:r w:rsidRPr="00654E4E">
              <w:t>int32]</w:t>
            </w:r>
          </w:p>
        </w:tc>
        <w:tc>
          <w:tcPr>
            <w:tcW w:w="870" w:type="dxa"/>
          </w:tcPr>
          <w:p w:rsidR="00654E4E" w:rsidRPr="00654E4E" w:rsidRDefault="00654E4E" w:rsidP="00654E4E">
            <w:pPr>
              <w:pStyle w:val="TableStyle"/>
            </w:pPr>
            <w:r>
              <w:t>m</w:t>
            </w:r>
          </w:p>
        </w:tc>
        <w:tc>
          <w:tcPr>
            <w:tcW w:w="5050" w:type="dxa"/>
          </w:tcPr>
          <w:p w:rsidR="00654E4E" w:rsidRPr="00654E4E" w:rsidRDefault="008F05E4" w:rsidP="00654E4E">
            <w:pPr>
              <w:pStyle w:val="TableStyle"/>
            </w:pPr>
            <w:r>
              <w:t>Position of the back barrier shoreline</w:t>
            </w:r>
          </w:p>
        </w:tc>
      </w:tr>
      <w:tr w:rsidR="00654E4E" w:rsidRPr="00654E4E" w:rsidTr="00D04BE5">
        <w:trPr>
          <w:trHeight w:val="300"/>
        </w:trPr>
        <w:tc>
          <w:tcPr>
            <w:tcW w:w="0" w:type="auto"/>
            <w:noWrap/>
            <w:hideMark/>
          </w:tcPr>
          <w:p w:rsidR="00654E4E" w:rsidRPr="00654E4E" w:rsidRDefault="00654E4E" w:rsidP="00654E4E">
            <w:pPr>
              <w:pStyle w:val="TableStyle"/>
            </w:pPr>
            <w:r w:rsidRPr="00654E4E">
              <w:t>h_b_save</w:t>
            </w:r>
          </w:p>
        </w:tc>
        <w:tc>
          <w:tcPr>
            <w:tcW w:w="0" w:type="auto"/>
            <w:noWrap/>
            <w:hideMark/>
          </w:tcPr>
          <w:p w:rsidR="00654E4E" w:rsidRPr="00654E4E" w:rsidRDefault="00654E4E" w:rsidP="00654E4E">
            <w:pPr>
              <w:pStyle w:val="TableStyle"/>
            </w:pPr>
            <w:r w:rsidRPr="00654E4E">
              <w:t>[</w:t>
            </w:r>
            <w:r>
              <w:t>ny</w:t>
            </w:r>
            <w:r w:rsidRPr="00654E4E">
              <w:t>×</w:t>
            </w:r>
            <w:r>
              <w:t>nt/dtsave</w:t>
            </w:r>
            <w:r w:rsidRPr="00654E4E">
              <w:t>single]</w:t>
            </w:r>
          </w:p>
        </w:tc>
        <w:tc>
          <w:tcPr>
            <w:tcW w:w="870" w:type="dxa"/>
          </w:tcPr>
          <w:p w:rsidR="00654E4E" w:rsidRPr="00654E4E" w:rsidRDefault="008F05E4" w:rsidP="00654E4E">
            <w:pPr>
              <w:pStyle w:val="TableStyle"/>
            </w:pPr>
            <w:r>
              <w:t>m</w:t>
            </w:r>
          </w:p>
        </w:tc>
        <w:tc>
          <w:tcPr>
            <w:tcW w:w="5050" w:type="dxa"/>
          </w:tcPr>
          <w:p w:rsidR="00654E4E" w:rsidRPr="00654E4E" w:rsidRDefault="008F05E4" w:rsidP="00654E4E">
            <w:pPr>
              <w:pStyle w:val="TableStyle"/>
            </w:pPr>
            <w:r>
              <w:t>Height of the barrier</w:t>
            </w:r>
          </w:p>
        </w:tc>
      </w:tr>
      <w:tr w:rsidR="00654E4E" w:rsidRPr="00654E4E" w:rsidTr="00D04BE5">
        <w:trPr>
          <w:trHeight w:val="300"/>
        </w:trPr>
        <w:tc>
          <w:tcPr>
            <w:tcW w:w="0" w:type="auto"/>
            <w:noWrap/>
            <w:hideMark/>
          </w:tcPr>
          <w:p w:rsidR="00654E4E" w:rsidRPr="00654E4E" w:rsidRDefault="00654E4E" w:rsidP="00654E4E">
            <w:pPr>
              <w:pStyle w:val="TableStyle"/>
            </w:pPr>
            <w:r w:rsidRPr="00654E4E">
              <w:t>s_sf_save</w:t>
            </w:r>
          </w:p>
        </w:tc>
        <w:tc>
          <w:tcPr>
            <w:tcW w:w="0" w:type="auto"/>
            <w:noWrap/>
            <w:hideMark/>
          </w:tcPr>
          <w:p w:rsidR="00654E4E" w:rsidRPr="00654E4E" w:rsidRDefault="00654E4E" w:rsidP="00654E4E">
            <w:pPr>
              <w:pStyle w:val="TableStyle"/>
            </w:pPr>
            <w:r w:rsidRPr="00654E4E">
              <w:t>[</w:t>
            </w:r>
            <w:r>
              <w:t>ny</w:t>
            </w:r>
            <w:r w:rsidRPr="00654E4E">
              <w:t>×</w:t>
            </w:r>
            <w:r>
              <w:t>nt/dtsave</w:t>
            </w:r>
            <w:r w:rsidRPr="00654E4E">
              <w:t>single]</w:t>
            </w:r>
          </w:p>
        </w:tc>
        <w:tc>
          <w:tcPr>
            <w:tcW w:w="870" w:type="dxa"/>
          </w:tcPr>
          <w:p w:rsidR="00654E4E" w:rsidRPr="00654E4E" w:rsidRDefault="00654E4E" w:rsidP="00654E4E">
            <w:pPr>
              <w:pStyle w:val="TableStyle"/>
            </w:pPr>
          </w:p>
        </w:tc>
        <w:tc>
          <w:tcPr>
            <w:tcW w:w="5050" w:type="dxa"/>
          </w:tcPr>
          <w:p w:rsidR="00654E4E" w:rsidRPr="00654E4E" w:rsidRDefault="008F05E4" w:rsidP="00654E4E">
            <w:pPr>
              <w:pStyle w:val="TableStyle"/>
            </w:pPr>
            <w:r>
              <w:t>Shoreface slope</w:t>
            </w:r>
          </w:p>
        </w:tc>
      </w:tr>
      <w:tr w:rsidR="008F05E4" w:rsidRPr="00654E4E" w:rsidTr="00D04BE5">
        <w:trPr>
          <w:trHeight w:val="300"/>
        </w:trPr>
        <w:tc>
          <w:tcPr>
            <w:tcW w:w="0" w:type="auto"/>
            <w:noWrap/>
            <w:hideMark/>
          </w:tcPr>
          <w:p w:rsidR="008F05E4" w:rsidRPr="00654E4E" w:rsidRDefault="008F05E4" w:rsidP="008F05E4">
            <w:pPr>
              <w:pStyle w:val="TableStyle"/>
            </w:pPr>
            <w:r w:rsidRPr="00654E4E">
              <w:t>z0</w:t>
            </w:r>
          </w:p>
        </w:tc>
        <w:tc>
          <w:tcPr>
            <w:tcW w:w="0" w:type="auto"/>
            <w:noWrap/>
            <w:hideMark/>
          </w:tcPr>
          <w:p w:rsidR="008F05E4" w:rsidRPr="00654E4E" w:rsidRDefault="008F05E4" w:rsidP="008F05E4">
            <w:pPr>
              <w:pStyle w:val="TableStyle"/>
            </w:pPr>
            <w:r w:rsidRPr="00654E4E">
              <w:t>[</w:t>
            </w:r>
            <w:r>
              <w:t>1</w:t>
            </w:r>
            <w:r w:rsidRPr="00654E4E">
              <w:t>×</w:t>
            </w:r>
            <w:r>
              <w:t>1</w:t>
            </w:r>
            <w:r w:rsidRPr="00654E4E">
              <w:t>]</w:t>
            </w:r>
          </w:p>
        </w:tc>
        <w:tc>
          <w:tcPr>
            <w:tcW w:w="870" w:type="dxa"/>
          </w:tcPr>
          <w:p w:rsidR="008F05E4" w:rsidRPr="00654E4E" w:rsidRDefault="008F05E4" w:rsidP="008F05E4">
            <w:pPr>
              <w:pStyle w:val="TableStyle"/>
            </w:pPr>
            <w:r>
              <w:t>m</w:t>
            </w:r>
          </w:p>
        </w:tc>
        <w:tc>
          <w:tcPr>
            <w:tcW w:w="5050" w:type="dxa"/>
          </w:tcPr>
          <w:p w:rsidR="008F05E4" w:rsidRPr="00654E4E" w:rsidRDefault="006D1900" w:rsidP="008F05E4">
            <w:pPr>
              <w:pStyle w:val="TableStyle"/>
            </w:pPr>
            <w:r>
              <w:t>Minimum integration depth for the shoreface flux</w:t>
            </w:r>
          </w:p>
        </w:tc>
      </w:tr>
      <w:tr w:rsidR="008F05E4" w:rsidRPr="00654E4E" w:rsidTr="008F05E4">
        <w:trPr>
          <w:trHeight w:val="300"/>
        </w:trPr>
        <w:tc>
          <w:tcPr>
            <w:tcW w:w="0" w:type="auto"/>
            <w:noWrap/>
            <w:hideMark/>
          </w:tcPr>
          <w:p w:rsidR="008F05E4" w:rsidRPr="00654E4E" w:rsidRDefault="008F05E4" w:rsidP="008F05E4">
            <w:pPr>
              <w:pStyle w:val="TableStyle"/>
            </w:pPr>
            <w:r w:rsidRPr="00654E4E">
              <w:t>d_sf</w:t>
            </w:r>
          </w:p>
        </w:tc>
        <w:tc>
          <w:tcPr>
            <w:tcW w:w="0" w:type="auto"/>
            <w:noWrap/>
          </w:tcPr>
          <w:p w:rsidR="008F05E4" w:rsidRPr="00654E4E" w:rsidRDefault="008F05E4" w:rsidP="008F05E4">
            <w:pPr>
              <w:pStyle w:val="TableStyle"/>
            </w:pPr>
            <w:r w:rsidRPr="00654E4E">
              <w:t>[</w:t>
            </w:r>
            <w:r>
              <w:t>1</w:t>
            </w:r>
            <w:r w:rsidRPr="00654E4E">
              <w:t>×</w:t>
            </w:r>
            <w:r>
              <w:t>1</w:t>
            </w:r>
            <w:r w:rsidRPr="00654E4E">
              <w:t>]</w:t>
            </w:r>
          </w:p>
        </w:tc>
        <w:tc>
          <w:tcPr>
            <w:tcW w:w="870" w:type="dxa"/>
          </w:tcPr>
          <w:p w:rsidR="008F05E4" w:rsidRPr="00654E4E" w:rsidRDefault="008F05E4" w:rsidP="008F05E4">
            <w:pPr>
              <w:pStyle w:val="TableStyle"/>
            </w:pPr>
            <w:r>
              <w:t>m</w:t>
            </w:r>
          </w:p>
        </w:tc>
        <w:tc>
          <w:tcPr>
            <w:tcW w:w="5050" w:type="dxa"/>
          </w:tcPr>
          <w:p w:rsidR="008F05E4" w:rsidRPr="00654E4E" w:rsidRDefault="008F05E4" w:rsidP="008F05E4">
            <w:pPr>
              <w:pStyle w:val="TableStyle"/>
            </w:pPr>
            <w:r>
              <w:t>Shoreface depth</w:t>
            </w:r>
          </w:p>
        </w:tc>
      </w:tr>
      <w:tr w:rsidR="008F05E4" w:rsidRPr="00654E4E" w:rsidTr="008F05E4">
        <w:trPr>
          <w:trHeight w:val="300"/>
        </w:trPr>
        <w:tc>
          <w:tcPr>
            <w:tcW w:w="0" w:type="auto"/>
            <w:noWrap/>
            <w:hideMark/>
          </w:tcPr>
          <w:p w:rsidR="008F05E4" w:rsidRPr="00654E4E" w:rsidRDefault="008F05E4" w:rsidP="008F05E4">
            <w:pPr>
              <w:pStyle w:val="TableStyle"/>
            </w:pPr>
            <w:r w:rsidRPr="00654E4E">
              <w:t>k_sf</w:t>
            </w:r>
          </w:p>
        </w:tc>
        <w:tc>
          <w:tcPr>
            <w:tcW w:w="0" w:type="auto"/>
            <w:noWrap/>
          </w:tcPr>
          <w:p w:rsidR="008F05E4" w:rsidRPr="00654E4E" w:rsidRDefault="008F05E4" w:rsidP="008F05E4">
            <w:pPr>
              <w:pStyle w:val="TableStyle"/>
            </w:pPr>
            <w:r w:rsidRPr="00654E4E">
              <w:t>[</w:t>
            </w:r>
            <w:r>
              <w:t>1</w:t>
            </w:r>
            <w:r w:rsidRPr="00654E4E">
              <w:t>×</w:t>
            </w:r>
            <w:r>
              <w:t>1</w:t>
            </w:r>
            <w:r w:rsidRPr="00654E4E">
              <w:t>]</w:t>
            </w:r>
          </w:p>
        </w:tc>
        <w:tc>
          <w:tcPr>
            <w:tcW w:w="870" w:type="dxa"/>
          </w:tcPr>
          <w:p w:rsidR="008F05E4" w:rsidRPr="00654E4E" w:rsidRDefault="008F05E4" w:rsidP="008F05E4">
            <w:pPr>
              <w:pStyle w:val="TableStyle"/>
            </w:pPr>
            <w:r>
              <w:t>m</w:t>
            </w:r>
            <w:r w:rsidRPr="00D04BE5">
              <w:rPr>
                <w:vertAlign w:val="superscript"/>
              </w:rPr>
              <w:t>3</w:t>
            </w:r>
            <w:r>
              <w:t>/m/yr</w:t>
            </w:r>
          </w:p>
        </w:tc>
        <w:tc>
          <w:tcPr>
            <w:tcW w:w="5050" w:type="dxa"/>
          </w:tcPr>
          <w:p w:rsidR="008F05E4" w:rsidRPr="00654E4E" w:rsidRDefault="008F05E4" w:rsidP="008F05E4">
            <w:pPr>
              <w:pStyle w:val="TableStyle"/>
            </w:pPr>
            <w:r>
              <w:t>Shoreface flux</w:t>
            </w:r>
          </w:p>
        </w:tc>
      </w:tr>
      <w:tr w:rsidR="008F05E4" w:rsidRPr="00654E4E" w:rsidTr="008F05E4">
        <w:trPr>
          <w:trHeight w:val="300"/>
        </w:trPr>
        <w:tc>
          <w:tcPr>
            <w:tcW w:w="0" w:type="auto"/>
            <w:noWrap/>
            <w:hideMark/>
          </w:tcPr>
          <w:p w:rsidR="008F05E4" w:rsidRPr="00654E4E" w:rsidRDefault="008F05E4" w:rsidP="008F05E4">
            <w:pPr>
              <w:pStyle w:val="TableStyle"/>
            </w:pPr>
            <w:r w:rsidRPr="00654E4E">
              <w:t>s_sf_eq</w:t>
            </w:r>
          </w:p>
        </w:tc>
        <w:tc>
          <w:tcPr>
            <w:tcW w:w="0" w:type="auto"/>
            <w:noWrap/>
          </w:tcPr>
          <w:p w:rsidR="008F05E4" w:rsidRPr="00654E4E" w:rsidRDefault="008F05E4" w:rsidP="008F05E4">
            <w:pPr>
              <w:pStyle w:val="TableStyle"/>
            </w:pPr>
            <w:r w:rsidRPr="00654E4E">
              <w:t>[</w:t>
            </w:r>
            <w:r>
              <w:t>1</w:t>
            </w:r>
            <w:r w:rsidRPr="00654E4E">
              <w:t>×</w:t>
            </w:r>
            <w:r>
              <w:t>1</w:t>
            </w:r>
            <w:r w:rsidRPr="00654E4E">
              <w:t>]</w:t>
            </w:r>
          </w:p>
        </w:tc>
        <w:tc>
          <w:tcPr>
            <w:tcW w:w="870" w:type="dxa"/>
          </w:tcPr>
          <w:p w:rsidR="008F05E4" w:rsidRPr="00654E4E" w:rsidRDefault="008F05E4" w:rsidP="008F05E4">
            <w:pPr>
              <w:pStyle w:val="TableStyle"/>
            </w:pPr>
          </w:p>
        </w:tc>
        <w:tc>
          <w:tcPr>
            <w:tcW w:w="5050" w:type="dxa"/>
          </w:tcPr>
          <w:p w:rsidR="008F05E4" w:rsidRPr="00654E4E" w:rsidRDefault="008F05E4" w:rsidP="008F05E4">
            <w:pPr>
              <w:pStyle w:val="TableStyle"/>
            </w:pPr>
            <w:r>
              <w:t>Equilibrium shoreface slope</w:t>
            </w:r>
          </w:p>
        </w:tc>
      </w:tr>
      <w:tr w:rsidR="008F05E4" w:rsidRPr="00654E4E" w:rsidTr="00D04BE5">
        <w:trPr>
          <w:trHeight w:val="300"/>
        </w:trPr>
        <w:tc>
          <w:tcPr>
            <w:tcW w:w="0" w:type="auto"/>
            <w:noWrap/>
            <w:hideMark/>
          </w:tcPr>
          <w:p w:rsidR="008F05E4" w:rsidRPr="00654E4E" w:rsidRDefault="008F05E4" w:rsidP="008F05E4">
            <w:pPr>
              <w:pStyle w:val="TableStyle"/>
            </w:pPr>
            <w:r w:rsidRPr="00654E4E">
              <w:t>inlet_age</w:t>
            </w:r>
          </w:p>
        </w:tc>
        <w:tc>
          <w:tcPr>
            <w:tcW w:w="0" w:type="auto"/>
            <w:noWrap/>
            <w:hideMark/>
          </w:tcPr>
          <w:p w:rsidR="008F05E4" w:rsidRPr="00654E4E" w:rsidRDefault="008F05E4" w:rsidP="008F05E4">
            <w:pPr>
              <w:pStyle w:val="TableStyle"/>
            </w:pPr>
            <w:r w:rsidRPr="00654E4E">
              <w:t>[</w:t>
            </w:r>
            <w:r>
              <w:t>x</w:t>
            </w:r>
            <w:r w:rsidRPr="00654E4E">
              <w:t>×2int32]</w:t>
            </w:r>
          </w:p>
        </w:tc>
        <w:tc>
          <w:tcPr>
            <w:tcW w:w="870" w:type="dxa"/>
          </w:tcPr>
          <w:p w:rsidR="008F05E4" w:rsidRPr="00654E4E" w:rsidRDefault="008F05E4" w:rsidP="008F05E4">
            <w:pPr>
              <w:pStyle w:val="TableStyle"/>
            </w:pPr>
          </w:p>
        </w:tc>
        <w:tc>
          <w:tcPr>
            <w:tcW w:w="5050" w:type="dxa"/>
          </w:tcPr>
          <w:p w:rsidR="008F05E4" w:rsidRPr="00654E4E" w:rsidRDefault="008F05E4" w:rsidP="008F05E4">
            <w:pPr>
              <w:pStyle w:val="TableStyle"/>
            </w:pPr>
            <w:r>
              <w:t>Inlet position (col 1 is time, col 2 is alongshore location)</w:t>
            </w:r>
          </w:p>
        </w:tc>
      </w:tr>
      <w:tr w:rsidR="008F05E4" w:rsidRPr="00654E4E" w:rsidTr="00D04BE5">
        <w:trPr>
          <w:trHeight w:val="300"/>
        </w:trPr>
        <w:tc>
          <w:tcPr>
            <w:tcW w:w="0" w:type="auto"/>
            <w:noWrap/>
            <w:hideMark/>
          </w:tcPr>
          <w:p w:rsidR="008F05E4" w:rsidRPr="00654E4E" w:rsidRDefault="008F05E4" w:rsidP="008F05E4">
            <w:pPr>
              <w:pStyle w:val="TableStyle"/>
            </w:pPr>
            <w:r w:rsidRPr="00654E4E">
              <w:t>inlet_nr</w:t>
            </w:r>
          </w:p>
        </w:tc>
        <w:tc>
          <w:tcPr>
            <w:tcW w:w="0" w:type="auto"/>
            <w:noWrap/>
            <w:hideMark/>
          </w:tcPr>
          <w:p w:rsidR="008F05E4" w:rsidRPr="00654E4E" w:rsidRDefault="008F05E4" w:rsidP="008F05E4">
            <w:pPr>
              <w:pStyle w:val="TableStyle"/>
            </w:pPr>
            <w:r w:rsidRPr="00654E4E">
              <w:t>[1×</w:t>
            </w:r>
            <w:r>
              <w:t>nt/dtsave</w:t>
            </w:r>
            <w:r w:rsidRPr="00654E4E">
              <w:t>uint16]</w:t>
            </w:r>
          </w:p>
        </w:tc>
        <w:tc>
          <w:tcPr>
            <w:tcW w:w="870" w:type="dxa"/>
          </w:tcPr>
          <w:p w:rsidR="008F05E4" w:rsidRPr="00654E4E" w:rsidRDefault="008F05E4" w:rsidP="008F05E4">
            <w:pPr>
              <w:pStyle w:val="TableStyle"/>
            </w:pPr>
          </w:p>
        </w:tc>
        <w:tc>
          <w:tcPr>
            <w:tcW w:w="5050" w:type="dxa"/>
          </w:tcPr>
          <w:p w:rsidR="008F05E4" w:rsidRPr="00654E4E" w:rsidRDefault="008F05E4" w:rsidP="008F05E4">
            <w:pPr>
              <w:pStyle w:val="TableStyle"/>
            </w:pPr>
            <w:r>
              <w:t>Number of inlets active through time</w:t>
            </w:r>
          </w:p>
        </w:tc>
      </w:tr>
      <w:tr w:rsidR="008F05E4" w:rsidRPr="00654E4E" w:rsidTr="00D04BE5">
        <w:trPr>
          <w:trHeight w:val="300"/>
        </w:trPr>
        <w:tc>
          <w:tcPr>
            <w:tcW w:w="0" w:type="auto"/>
            <w:noWrap/>
            <w:hideMark/>
          </w:tcPr>
          <w:p w:rsidR="008F05E4" w:rsidRPr="00654E4E" w:rsidRDefault="008F05E4" w:rsidP="008F05E4">
            <w:pPr>
              <w:pStyle w:val="TableStyle"/>
            </w:pPr>
            <w:r w:rsidRPr="00654E4E">
              <w:t>inlet_migr</w:t>
            </w:r>
          </w:p>
        </w:tc>
        <w:tc>
          <w:tcPr>
            <w:tcW w:w="0" w:type="auto"/>
            <w:noWrap/>
            <w:hideMark/>
          </w:tcPr>
          <w:p w:rsidR="008F05E4" w:rsidRPr="00654E4E" w:rsidRDefault="008F05E4" w:rsidP="008F05E4">
            <w:pPr>
              <w:pStyle w:val="TableStyle"/>
            </w:pPr>
            <w:r w:rsidRPr="00654E4E">
              <w:t>[1×</w:t>
            </w:r>
            <w:r>
              <w:t>nt/dtsave</w:t>
            </w:r>
            <w:r w:rsidRPr="00654E4E">
              <w:t>int16]</w:t>
            </w:r>
          </w:p>
        </w:tc>
        <w:tc>
          <w:tcPr>
            <w:tcW w:w="870" w:type="dxa"/>
          </w:tcPr>
          <w:p w:rsidR="008F05E4" w:rsidRPr="00654E4E" w:rsidRDefault="008F05E4" w:rsidP="008F05E4">
            <w:pPr>
              <w:pStyle w:val="TableStyle"/>
            </w:pPr>
            <w:r>
              <w:t>m/yr</w:t>
            </w:r>
          </w:p>
        </w:tc>
        <w:tc>
          <w:tcPr>
            <w:tcW w:w="5050" w:type="dxa"/>
          </w:tcPr>
          <w:p w:rsidR="008F05E4" w:rsidRPr="00654E4E" w:rsidRDefault="008F05E4" w:rsidP="008F05E4">
            <w:pPr>
              <w:pStyle w:val="TableStyle"/>
            </w:pPr>
            <w:r>
              <w:t>Average rate of inlet migration through time</w:t>
            </w:r>
          </w:p>
        </w:tc>
      </w:tr>
      <w:tr w:rsidR="008F05E4" w:rsidRPr="00654E4E" w:rsidTr="00D04BE5">
        <w:trPr>
          <w:trHeight w:val="300"/>
        </w:trPr>
        <w:tc>
          <w:tcPr>
            <w:tcW w:w="0" w:type="auto"/>
            <w:noWrap/>
            <w:hideMark/>
          </w:tcPr>
          <w:p w:rsidR="008F05E4" w:rsidRPr="00654E4E" w:rsidRDefault="008F05E4" w:rsidP="008F05E4">
            <w:pPr>
              <w:pStyle w:val="TableStyle"/>
            </w:pPr>
            <w:r w:rsidRPr="00654E4E">
              <w:t>inlet_ai</w:t>
            </w:r>
          </w:p>
        </w:tc>
        <w:tc>
          <w:tcPr>
            <w:tcW w:w="0" w:type="auto"/>
            <w:noWrap/>
            <w:hideMark/>
          </w:tcPr>
          <w:p w:rsidR="008F05E4" w:rsidRPr="00654E4E" w:rsidRDefault="008F05E4" w:rsidP="008F05E4">
            <w:pPr>
              <w:pStyle w:val="TableStyle"/>
            </w:pPr>
            <w:r w:rsidRPr="00654E4E">
              <w:t>[1×</w:t>
            </w:r>
            <w:r>
              <w:t>nt/dtsave</w:t>
            </w:r>
            <w:r w:rsidRPr="00654E4E">
              <w:t>int32]</w:t>
            </w:r>
          </w:p>
        </w:tc>
        <w:tc>
          <w:tcPr>
            <w:tcW w:w="870" w:type="dxa"/>
          </w:tcPr>
          <w:p w:rsidR="008F05E4" w:rsidRPr="00654E4E" w:rsidRDefault="008F05E4" w:rsidP="008F05E4">
            <w:pPr>
              <w:pStyle w:val="TableStyle"/>
            </w:pPr>
          </w:p>
        </w:tc>
        <w:tc>
          <w:tcPr>
            <w:tcW w:w="5050" w:type="dxa"/>
          </w:tcPr>
          <w:p w:rsidR="008F05E4" w:rsidRPr="00654E4E" w:rsidRDefault="008F05E4" w:rsidP="008F05E4">
            <w:pPr>
              <w:pStyle w:val="TableStyle"/>
            </w:pPr>
            <w:r>
              <w:t>Average inlet cross-sectional area through time</w:t>
            </w:r>
          </w:p>
        </w:tc>
      </w:tr>
      <w:tr w:rsidR="008F05E4" w:rsidRPr="00654E4E" w:rsidTr="00D04BE5">
        <w:trPr>
          <w:trHeight w:val="300"/>
        </w:trPr>
        <w:tc>
          <w:tcPr>
            <w:tcW w:w="0" w:type="auto"/>
            <w:noWrap/>
            <w:hideMark/>
          </w:tcPr>
          <w:p w:rsidR="008F05E4" w:rsidRPr="00654E4E" w:rsidRDefault="008F05E4" w:rsidP="008F05E4">
            <w:pPr>
              <w:pStyle w:val="TableStyle"/>
            </w:pPr>
            <w:r w:rsidRPr="00654E4E">
              <w:t>inlet_alpha</w:t>
            </w:r>
          </w:p>
        </w:tc>
        <w:tc>
          <w:tcPr>
            <w:tcW w:w="0" w:type="auto"/>
            <w:noWrap/>
            <w:hideMark/>
          </w:tcPr>
          <w:p w:rsidR="008F05E4" w:rsidRPr="00654E4E" w:rsidRDefault="008F05E4" w:rsidP="008F05E4">
            <w:pPr>
              <w:pStyle w:val="TableStyle"/>
            </w:pPr>
            <w:r w:rsidRPr="00654E4E">
              <w:t>[1×</w:t>
            </w:r>
            <w:r>
              <w:t>nt/dtsave</w:t>
            </w:r>
            <w:r w:rsidRPr="00654E4E">
              <w:t>single]</w:t>
            </w:r>
          </w:p>
        </w:tc>
        <w:tc>
          <w:tcPr>
            <w:tcW w:w="870" w:type="dxa"/>
          </w:tcPr>
          <w:p w:rsidR="008F05E4" w:rsidRPr="00654E4E" w:rsidRDefault="008F05E4" w:rsidP="008F05E4">
            <w:pPr>
              <w:pStyle w:val="TableStyle"/>
            </w:pPr>
          </w:p>
        </w:tc>
        <w:tc>
          <w:tcPr>
            <w:tcW w:w="5050" w:type="dxa"/>
          </w:tcPr>
          <w:p w:rsidR="008F05E4" w:rsidRPr="00654E4E" w:rsidRDefault="008F05E4" w:rsidP="008F05E4">
            <w:pPr>
              <w:pStyle w:val="TableStyle"/>
            </w:pPr>
            <w:r>
              <w:t>Average alpha fraction for each inlet through time</w:t>
            </w:r>
          </w:p>
        </w:tc>
      </w:tr>
      <w:tr w:rsidR="008F05E4" w:rsidRPr="00654E4E" w:rsidTr="00D04BE5">
        <w:trPr>
          <w:trHeight w:val="300"/>
        </w:trPr>
        <w:tc>
          <w:tcPr>
            <w:tcW w:w="0" w:type="auto"/>
            <w:noWrap/>
            <w:hideMark/>
          </w:tcPr>
          <w:p w:rsidR="008F05E4" w:rsidRPr="00654E4E" w:rsidRDefault="008F05E4" w:rsidP="008F05E4">
            <w:pPr>
              <w:pStyle w:val="TableStyle"/>
            </w:pPr>
            <w:r w:rsidRPr="00654E4E">
              <w:t>inlet_beta</w:t>
            </w:r>
          </w:p>
        </w:tc>
        <w:tc>
          <w:tcPr>
            <w:tcW w:w="0" w:type="auto"/>
            <w:noWrap/>
            <w:hideMark/>
          </w:tcPr>
          <w:p w:rsidR="008F05E4" w:rsidRPr="00654E4E" w:rsidRDefault="008F05E4" w:rsidP="008F05E4">
            <w:pPr>
              <w:pStyle w:val="TableStyle"/>
            </w:pPr>
            <w:r w:rsidRPr="00654E4E">
              <w:t>[1×</w:t>
            </w:r>
            <w:r>
              <w:t>nt/dtsave</w:t>
            </w:r>
            <w:r w:rsidRPr="00654E4E">
              <w:t>single]</w:t>
            </w:r>
          </w:p>
        </w:tc>
        <w:tc>
          <w:tcPr>
            <w:tcW w:w="870" w:type="dxa"/>
          </w:tcPr>
          <w:p w:rsidR="008F05E4" w:rsidRPr="00654E4E" w:rsidRDefault="008F05E4" w:rsidP="008F05E4">
            <w:pPr>
              <w:pStyle w:val="TableStyle"/>
            </w:pPr>
          </w:p>
        </w:tc>
        <w:tc>
          <w:tcPr>
            <w:tcW w:w="5050" w:type="dxa"/>
          </w:tcPr>
          <w:p w:rsidR="008F05E4" w:rsidRPr="00654E4E" w:rsidRDefault="008F05E4" w:rsidP="008F05E4">
            <w:pPr>
              <w:pStyle w:val="TableStyle"/>
            </w:pPr>
            <w:r>
              <w:t xml:space="preserve">Average </w:t>
            </w:r>
            <w:r>
              <w:t>beta</w:t>
            </w:r>
            <w:r>
              <w:t xml:space="preserve"> </w:t>
            </w:r>
            <w:r>
              <w:t xml:space="preserve">fraction </w:t>
            </w:r>
            <w:r>
              <w:t>for each inlet through time</w:t>
            </w:r>
          </w:p>
        </w:tc>
      </w:tr>
      <w:tr w:rsidR="008F05E4" w:rsidRPr="00654E4E" w:rsidTr="00D04BE5">
        <w:trPr>
          <w:trHeight w:val="300"/>
        </w:trPr>
        <w:tc>
          <w:tcPr>
            <w:tcW w:w="0" w:type="auto"/>
            <w:noWrap/>
            <w:hideMark/>
          </w:tcPr>
          <w:p w:rsidR="008F05E4" w:rsidRPr="00654E4E" w:rsidRDefault="008F05E4" w:rsidP="008F05E4">
            <w:pPr>
              <w:pStyle w:val="TableStyle"/>
            </w:pPr>
            <w:r w:rsidRPr="00654E4E">
              <w:t>inlet_delta</w:t>
            </w:r>
          </w:p>
        </w:tc>
        <w:tc>
          <w:tcPr>
            <w:tcW w:w="0" w:type="auto"/>
            <w:noWrap/>
            <w:hideMark/>
          </w:tcPr>
          <w:p w:rsidR="008F05E4" w:rsidRPr="00654E4E" w:rsidRDefault="008F05E4" w:rsidP="008F05E4">
            <w:pPr>
              <w:pStyle w:val="TableStyle"/>
            </w:pPr>
            <w:r w:rsidRPr="00654E4E">
              <w:t>[1×</w:t>
            </w:r>
            <w:r>
              <w:t>nt/dtsave</w:t>
            </w:r>
            <w:r w:rsidRPr="00654E4E">
              <w:t>single]</w:t>
            </w:r>
          </w:p>
        </w:tc>
        <w:tc>
          <w:tcPr>
            <w:tcW w:w="870" w:type="dxa"/>
          </w:tcPr>
          <w:p w:rsidR="008F05E4" w:rsidRPr="00654E4E" w:rsidRDefault="008F05E4" w:rsidP="008F05E4">
            <w:pPr>
              <w:pStyle w:val="TableStyle"/>
            </w:pPr>
          </w:p>
        </w:tc>
        <w:tc>
          <w:tcPr>
            <w:tcW w:w="5050" w:type="dxa"/>
          </w:tcPr>
          <w:p w:rsidR="008F05E4" w:rsidRPr="00654E4E" w:rsidRDefault="008F05E4" w:rsidP="008F05E4">
            <w:pPr>
              <w:pStyle w:val="TableStyle"/>
            </w:pPr>
            <w:r>
              <w:t xml:space="preserve">Average </w:t>
            </w:r>
            <w:r>
              <w:t>delta fraction</w:t>
            </w:r>
            <w:r>
              <w:t xml:space="preserve"> for each inlet through time</w:t>
            </w:r>
          </w:p>
        </w:tc>
      </w:tr>
      <w:tr w:rsidR="008F05E4" w:rsidRPr="00654E4E" w:rsidTr="00D04BE5">
        <w:trPr>
          <w:trHeight w:val="300"/>
        </w:trPr>
        <w:tc>
          <w:tcPr>
            <w:tcW w:w="0" w:type="auto"/>
            <w:noWrap/>
            <w:hideMark/>
          </w:tcPr>
          <w:p w:rsidR="008F05E4" w:rsidRPr="00654E4E" w:rsidRDefault="008F05E4" w:rsidP="008F05E4">
            <w:pPr>
              <w:pStyle w:val="TableStyle"/>
            </w:pPr>
            <w:r w:rsidRPr="00654E4E">
              <w:t>inlet_Qs_in</w:t>
            </w:r>
          </w:p>
        </w:tc>
        <w:tc>
          <w:tcPr>
            <w:tcW w:w="0" w:type="auto"/>
            <w:noWrap/>
            <w:hideMark/>
          </w:tcPr>
          <w:p w:rsidR="008F05E4" w:rsidRPr="00654E4E" w:rsidRDefault="008F05E4" w:rsidP="008F05E4">
            <w:pPr>
              <w:pStyle w:val="TableStyle"/>
            </w:pPr>
            <w:r w:rsidRPr="00654E4E">
              <w:t>[1×</w:t>
            </w:r>
            <w:r>
              <w:t>nt/dtsave</w:t>
            </w:r>
            <w:r w:rsidRPr="00654E4E">
              <w:t>single]</w:t>
            </w:r>
          </w:p>
        </w:tc>
        <w:tc>
          <w:tcPr>
            <w:tcW w:w="870" w:type="dxa"/>
          </w:tcPr>
          <w:p w:rsidR="008F05E4" w:rsidRPr="00654E4E" w:rsidRDefault="008F05E4" w:rsidP="008F05E4">
            <w:pPr>
              <w:pStyle w:val="TableStyle"/>
            </w:pPr>
            <w:r>
              <w:t>m</w:t>
            </w:r>
            <w:r w:rsidRPr="008F05E4">
              <w:rPr>
                <w:vertAlign w:val="superscript"/>
              </w:rPr>
              <w:t>3</w:t>
            </w:r>
            <w:r>
              <w:t>/yr</w:t>
            </w:r>
          </w:p>
        </w:tc>
        <w:tc>
          <w:tcPr>
            <w:tcW w:w="5050" w:type="dxa"/>
          </w:tcPr>
          <w:p w:rsidR="008F05E4" w:rsidRPr="00654E4E" w:rsidRDefault="008F05E4" w:rsidP="008F05E4">
            <w:pPr>
              <w:pStyle w:val="TableStyle"/>
            </w:pPr>
            <w:r>
              <w:t>Average sediment flux into inlets through time</w:t>
            </w:r>
          </w:p>
        </w:tc>
      </w:tr>
      <w:tr w:rsidR="008F05E4" w:rsidRPr="00654E4E" w:rsidTr="00D04BE5">
        <w:trPr>
          <w:trHeight w:val="300"/>
        </w:trPr>
        <w:tc>
          <w:tcPr>
            <w:tcW w:w="0" w:type="auto"/>
            <w:noWrap/>
            <w:hideMark/>
          </w:tcPr>
          <w:p w:rsidR="008F05E4" w:rsidRPr="00654E4E" w:rsidRDefault="008F05E4" w:rsidP="008F05E4">
            <w:pPr>
              <w:pStyle w:val="TableStyle"/>
            </w:pPr>
            <w:r w:rsidRPr="00654E4E">
              <w:t>Qinlet</w:t>
            </w:r>
          </w:p>
        </w:tc>
        <w:tc>
          <w:tcPr>
            <w:tcW w:w="0" w:type="auto"/>
            <w:noWrap/>
            <w:hideMark/>
          </w:tcPr>
          <w:p w:rsidR="008F05E4" w:rsidRPr="00654E4E" w:rsidRDefault="008F05E4" w:rsidP="008F05E4">
            <w:pPr>
              <w:pStyle w:val="TableStyle"/>
            </w:pPr>
            <w:r w:rsidRPr="00654E4E">
              <w:t>[</w:t>
            </w:r>
            <w:r>
              <w:t>nt</w:t>
            </w:r>
            <w:r w:rsidRPr="00654E4E">
              <w:t>×1single]</w:t>
            </w:r>
          </w:p>
        </w:tc>
        <w:tc>
          <w:tcPr>
            <w:tcW w:w="870" w:type="dxa"/>
          </w:tcPr>
          <w:p w:rsidR="008F05E4" w:rsidRPr="00654E4E" w:rsidRDefault="008F05E4" w:rsidP="008F05E4">
            <w:pPr>
              <w:pStyle w:val="TableStyle"/>
            </w:pPr>
            <w:r>
              <w:t>m</w:t>
            </w:r>
            <w:r w:rsidRPr="008F05E4">
              <w:rPr>
                <w:vertAlign w:val="superscript"/>
              </w:rPr>
              <w:t>3</w:t>
            </w:r>
            <w:r>
              <w:t>/yr</w:t>
            </w:r>
          </w:p>
        </w:tc>
        <w:tc>
          <w:tcPr>
            <w:tcW w:w="5050" w:type="dxa"/>
          </w:tcPr>
          <w:p w:rsidR="008F05E4" w:rsidRPr="00654E4E" w:rsidRDefault="008F05E4" w:rsidP="008F05E4">
            <w:pPr>
              <w:pStyle w:val="TableStyle"/>
            </w:pPr>
            <w:r>
              <w:t>Total transgressive inlet flux through time</w:t>
            </w:r>
          </w:p>
        </w:tc>
      </w:tr>
    </w:tbl>
    <w:p w:rsidR="00654E4E" w:rsidRDefault="00826C65" w:rsidP="00826C65">
      <w:pPr>
        <w:pStyle w:val="Heading1"/>
      </w:pPr>
      <w:r>
        <w:lastRenderedPageBreak/>
        <w:t>References</w:t>
      </w:r>
    </w:p>
    <w:p w:rsidR="00826C65" w:rsidRPr="00826C65" w:rsidRDefault="00826C65" w:rsidP="00826C65">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Pr="00826C65">
        <w:rPr>
          <w:rFonts w:cs="Times New Roman"/>
          <w:noProof/>
          <w:szCs w:val="24"/>
        </w:rPr>
        <w:t>1.</w:t>
      </w:r>
      <w:r w:rsidRPr="00826C65">
        <w:rPr>
          <w:rFonts w:cs="Times New Roman"/>
          <w:noProof/>
          <w:szCs w:val="24"/>
        </w:rPr>
        <w:tab/>
        <w:t xml:space="preserve">Ashton, A. D. &amp; Murray, A. B. High-angle wave instability and emergent shoreline shapes: 1. Modeling of sand waves, flying spits, and capes. </w:t>
      </w:r>
      <w:r w:rsidRPr="00826C65">
        <w:rPr>
          <w:rFonts w:cs="Times New Roman"/>
          <w:i/>
          <w:iCs/>
          <w:noProof/>
          <w:szCs w:val="24"/>
        </w:rPr>
        <w:t>J. Geophys. Res.</w:t>
      </w:r>
      <w:r w:rsidRPr="00826C65">
        <w:rPr>
          <w:rFonts w:cs="Times New Roman"/>
          <w:noProof/>
          <w:szCs w:val="24"/>
        </w:rPr>
        <w:t xml:space="preserve"> </w:t>
      </w:r>
      <w:r w:rsidRPr="00826C65">
        <w:rPr>
          <w:rFonts w:cs="Times New Roman"/>
          <w:b/>
          <w:bCs/>
          <w:noProof/>
          <w:szCs w:val="24"/>
        </w:rPr>
        <w:t>111</w:t>
      </w:r>
      <w:r w:rsidRPr="00826C65">
        <w:rPr>
          <w:rFonts w:cs="Times New Roman"/>
          <w:noProof/>
          <w:szCs w:val="24"/>
        </w:rPr>
        <w:t>, F04011 (2006).</w:t>
      </w:r>
    </w:p>
    <w:p w:rsidR="00826C65" w:rsidRPr="00826C65" w:rsidRDefault="00826C65" w:rsidP="00826C65">
      <w:pPr>
        <w:widowControl w:val="0"/>
        <w:autoSpaceDE w:val="0"/>
        <w:autoSpaceDN w:val="0"/>
        <w:adjustRightInd w:val="0"/>
        <w:ind w:left="640" w:hanging="640"/>
        <w:rPr>
          <w:rFonts w:cs="Times New Roman"/>
          <w:noProof/>
          <w:szCs w:val="24"/>
        </w:rPr>
      </w:pPr>
      <w:r w:rsidRPr="00826C65">
        <w:rPr>
          <w:rFonts w:cs="Times New Roman"/>
          <w:noProof/>
          <w:szCs w:val="24"/>
        </w:rPr>
        <w:t>2.</w:t>
      </w:r>
      <w:r w:rsidRPr="00826C65">
        <w:rPr>
          <w:rFonts w:cs="Times New Roman"/>
          <w:noProof/>
          <w:szCs w:val="24"/>
        </w:rPr>
        <w:tab/>
        <w:t xml:space="preserve">Nienhuis, J. H., Ashton, A. D. &amp; Giosan, L. What makes a delta wave-dominated? </w:t>
      </w:r>
      <w:r w:rsidRPr="00826C65">
        <w:rPr>
          <w:rFonts w:cs="Times New Roman"/>
          <w:i/>
          <w:iCs/>
          <w:noProof/>
          <w:szCs w:val="24"/>
        </w:rPr>
        <w:t>Geology</w:t>
      </w:r>
      <w:r w:rsidRPr="00826C65">
        <w:rPr>
          <w:rFonts w:cs="Times New Roman"/>
          <w:noProof/>
          <w:szCs w:val="24"/>
        </w:rPr>
        <w:t xml:space="preserve"> </w:t>
      </w:r>
      <w:r w:rsidRPr="00826C65">
        <w:rPr>
          <w:rFonts w:cs="Times New Roman"/>
          <w:b/>
          <w:bCs/>
          <w:noProof/>
          <w:szCs w:val="24"/>
        </w:rPr>
        <w:t>43</w:t>
      </w:r>
      <w:r w:rsidRPr="00826C65">
        <w:rPr>
          <w:rFonts w:cs="Times New Roman"/>
          <w:noProof/>
          <w:szCs w:val="24"/>
        </w:rPr>
        <w:t>, 511–514 (2015).</w:t>
      </w:r>
    </w:p>
    <w:p w:rsidR="00826C65" w:rsidRPr="00826C65" w:rsidRDefault="00826C65" w:rsidP="00826C65">
      <w:pPr>
        <w:widowControl w:val="0"/>
        <w:autoSpaceDE w:val="0"/>
        <w:autoSpaceDN w:val="0"/>
        <w:adjustRightInd w:val="0"/>
        <w:ind w:left="640" w:hanging="640"/>
        <w:rPr>
          <w:rFonts w:cs="Times New Roman"/>
          <w:noProof/>
          <w:szCs w:val="24"/>
        </w:rPr>
      </w:pPr>
      <w:r w:rsidRPr="00826C65">
        <w:rPr>
          <w:rFonts w:cs="Times New Roman"/>
          <w:noProof/>
          <w:szCs w:val="24"/>
        </w:rPr>
        <w:t>3.</w:t>
      </w:r>
      <w:r w:rsidRPr="00826C65">
        <w:rPr>
          <w:rFonts w:cs="Times New Roman"/>
          <w:noProof/>
          <w:szCs w:val="24"/>
        </w:rPr>
        <w:tab/>
        <w:t xml:space="preserve">Lorenzo-Trueba, J. &amp; Ashton, A. D. Rollover, drowning, and discontinuous retreat: Distinct modes of barrier response to sea-level rise arising from a simple morphodynamic model. </w:t>
      </w:r>
      <w:r w:rsidRPr="00826C65">
        <w:rPr>
          <w:rFonts w:cs="Times New Roman"/>
          <w:i/>
          <w:iCs/>
          <w:noProof/>
          <w:szCs w:val="24"/>
        </w:rPr>
        <w:t>J. Geophys. Res. Earth Surf.</w:t>
      </w:r>
      <w:r w:rsidRPr="00826C65">
        <w:rPr>
          <w:rFonts w:cs="Times New Roman"/>
          <w:noProof/>
          <w:szCs w:val="24"/>
        </w:rPr>
        <w:t xml:space="preserve"> </w:t>
      </w:r>
      <w:r w:rsidRPr="00826C65">
        <w:rPr>
          <w:rFonts w:cs="Times New Roman"/>
          <w:b/>
          <w:bCs/>
          <w:noProof/>
          <w:szCs w:val="24"/>
        </w:rPr>
        <w:t>119</w:t>
      </w:r>
      <w:r w:rsidRPr="00826C65">
        <w:rPr>
          <w:rFonts w:cs="Times New Roman"/>
          <w:noProof/>
          <w:szCs w:val="24"/>
        </w:rPr>
        <w:t>, 779–801 (2014).</w:t>
      </w:r>
    </w:p>
    <w:p w:rsidR="00826C65" w:rsidRPr="00826C65" w:rsidRDefault="00826C65" w:rsidP="00826C65">
      <w:pPr>
        <w:widowControl w:val="0"/>
        <w:autoSpaceDE w:val="0"/>
        <w:autoSpaceDN w:val="0"/>
        <w:adjustRightInd w:val="0"/>
        <w:ind w:left="640" w:hanging="640"/>
        <w:rPr>
          <w:rFonts w:cs="Times New Roman"/>
          <w:noProof/>
          <w:szCs w:val="24"/>
        </w:rPr>
      </w:pPr>
      <w:r w:rsidRPr="00826C65">
        <w:rPr>
          <w:rFonts w:cs="Times New Roman"/>
          <w:noProof/>
          <w:szCs w:val="24"/>
        </w:rPr>
        <w:t>4.</w:t>
      </w:r>
      <w:r w:rsidRPr="00826C65">
        <w:rPr>
          <w:rFonts w:cs="Times New Roman"/>
          <w:noProof/>
          <w:szCs w:val="24"/>
        </w:rPr>
        <w:tab/>
        <w:t xml:space="preserve">Ortiz, A. C. &amp; Ashton, A. D. Exploring shoreface dynamics and a mechanistic explanation for a morphodynamic depth of closure. </w:t>
      </w:r>
      <w:r w:rsidRPr="00826C65">
        <w:rPr>
          <w:rFonts w:cs="Times New Roman"/>
          <w:i/>
          <w:iCs/>
          <w:noProof/>
          <w:szCs w:val="24"/>
        </w:rPr>
        <w:t>J. Geophys. Res. Earth Surf.</w:t>
      </w:r>
      <w:r w:rsidRPr="00826C65">
        <w:rPr>
          <w:rFonts w:cs="Times New Roman"/>
          <w:noProof/>
          <w:szCs w:val="24"/>
        </w:rPr>
        <w:t xml:space="preserve"> </w:t>
      </w:r>
      <w:r w:rsidRPr="00826C65">
        <w:rPr>
          <w:rFonts w:cs="Times New Roman"/>
          <w:b/>
          <w:bCs/>
          <w:noProof/>
          <w:szCs w:val="24"/>
        </w:rPr>
        <w:t>121</w:t>
      </w:r>
      <w:r w:rsidRPr="00826C65">
        <w:rPr>
          <w:rFonts w:cs="Times New Roman"/>
          <w:noProof/>
          <w:szCs w:val="24"/>
        </w:rPr>
        <w:t>, 442–464 (2016).</w:t>
      </w:r>
    </w:p>
    <w:p w:rsidR="00826C65" w:rsidRPr="00826C65" w:rsidRDefault="00826C65" w:rsidP="00826C65">
      <w:pPr>
        <w:widowControl w:val="0"/>
        <w:autoSpaceDE w:val="0"/>
        <w:autoSpaceDN w:val="0"/>
        <w:adjustRightInd w:val="0"/>
        <w:ind w:left="640" w:hanging="640"/>
        <w:rPr>
          <w:rFonts w:cs="Times New Roman"/>
          <w:noProof/>
          <w:szCs w:val="24"/>
        </w:rPr>
      </w:pPr>
      <w:r w:rsidRPr="00826C65">
        <w:rPr>
          <w:rFonts w:cs="Times New Roman"/>
          <w:noProof/>
          <w:szCs w:val="24"/>
        </w:rPr>
        <w:t>5.</w:t>
      </w:r>
      <w:r w:rsidRPr="00826C65">
        <w:rPr>
          <w:rFonts w:cs="Times New Roman"/>
          <w:noProof/>
          <w:szCs w:val="24"/>
        </w:rPr>
        <w:tab/>
        <w:t xml:space="preserve">Roos, P. C., Schuttelaars, H. M. &amp; Brouwer, R. L. Observations of barrier island length explained using an exploratory morphodynamic model. </w:t>
      </w:r>
      <w:r w:rsidRPr="00826C65">
        <w:rPr>
          <w:rFonts w:cs="Times New Roman"/>
          <w:i/>
          <w:iCs/>
          <w:noProof/>
          <w:szCs w:val="24"/>
        </w:rPr>
        <w:t>Geophys. Res. Lett.</w:t>
      </w:r>
      <w:r w:rsidRPr="00826C65">
        <w:rPr>
          <w:rFonts w:cs="Times New Roman"/>
          <w:noProof/>
          <w:szCs w:val="24"/>
        </w:rPr>
        <w:t xml:space="preserve"> </w:t>
      </w:r>
      <w:r w:rsidRPr="00826C65">
        <w:rPr>
          <w:rFonts w:cs="Times New Roman"/>
          <w:b/>
          <w:bCs/>
          <w:noProof/>
          <w:szCs w:val="24"/>
        </w:rPr>
        <w:t>40</w:t>
      </w:r>
      <w:r w:rsidRPr="00826C65">
        <w:rPr>
          <w:rFonts w:cs="Times New Roman"/>
          <w:noProof/>
          <w:szCs w:val="24"/>
        </w:rPr>
        <w:t>, 4338–4343 (2013).</w:t>
      </w:r>
    </w:p>
    <w:p w:rsidR="00826C65" w:rsidRPr="00826C65" w:rsidRDefault="00826C65" w:rsidP="00826C65">
      <w:pPr>
        <w:widowControl w:val="0"/>
        <w:autoSpaceDE w:val="0"/>
        <w:autoSpaceDN w:val="0"/>
        <w:adjustRightInd w:val="0"/>
        <w:ind w:left="640" w:hanging="640"/>
        <w:rPr>
          <w:rFonts w:cs="Times New Roman"/>
          <w:noProof/>
        </w:rPr>
      </w:pPr>
      <w:r w:rsidRPr="00826C65">
        <w:rPr>
          <w:rFonts w:cs="Times New Roman"/>
          <w:noProof/>
          <w:szCs w:val="24"/>
        </w:rPr>
        <w:t>6.</w:t>
      </w:r>
      <w:r w:rsidRPr="00826C65">
        <w:rPr>
          <w:rFonts w:cs="Times New Roman"/>
          <w:noProof/>
          <w:szCs w:val="24"/>
        </w:rPr>
        <w:tab/>
        <w:t xml:space="preserve">de Swart, H. E. &amp; Zimmerman, J. T. F. Morphodynamics of Tidal Inlet Systems. </w:t>
      </w:r>
      <w:r w:rsidRPr="00826C65">
        <w:rPr>
          <w:rFonts w:cs="Times New Roman"/>
          <w:i/>
          <w:iCs/>
          <w:noProof/>
          <w:szCs w:val="24"/>
        </w:rPr>
        <w:t>Annu. Rev. Fluid Mech.</w:t>
      </w:r>
      <w:r w:rsidRPr="00826C65">
        <w:rPr>
          <w:rFonts w:cs="Times New Roman"/>
          <w:noProof/>
          <w:szCs w:val="24"/>
        </w:rPr>
        <w:t xml:space="preserve"> </w:t>
      </w:r>
      <w:r w:rsidRPr="00826C65">
        <w:rPr>
          <w:rFonts w:cs="Times New Roman"/>
          <w:b/>
          <w:bCs/>
          <w:noProof/>
          <w:szCs w:val="24"/>
        </w:rPr>
        <w:t>41</w:t>
      </w:r>
      <w:r w:rsidRPr="00826C65">
        <w:rPr>
          <w:rFonts w:cs="Times New Roman"/>
          <w:noProof/>
          <w:szCs w:val="24"/>
        </w:rPr>
        <w:t>, 203–229 (2009).</w:t>
      </w:r>
    </w:p>
    <w:p w:rsidR="00826C65" w:rsidRPr="00826C65" w:rsidRDefault="00826C65" w:rsidP="00826C65">
      <w:r>
        <w:fldChar w:fldCharType="end"/>
      </w:r>
    </w:p>
    <w:sectPr w:rsidR="00826C65" w:rsidRPr="00826C65" w:rsidSect="000722B5">
      <w:pgSz w:w="11910" w:h="16840"/>
      <w:pgMar w:top="1440" w:right="1440" w:bottom="1440"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AB8" w:rsidRDefault="008C5AB8" w:rsidP="00804DF0">
      <w:pPr>
        <w:spacing w:after="0" w:line="240" w:lineRule="auto"/>
      </w:pPr>
      <w:r>
        <w:separator/>
      </w:r>
    </w:p>
  </w:endnote>
  <w:endnote w:type="continuationSeparator" w:id="0">
    <w:p w:rsidR="008C5AB8" w:rsidRDefault="008C5AB8" w:rsidP="00804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AB8" w:rsidRDefault="008C5AB8" w:rsidP="00804DF0">
      <w:pPr>
        <w:spacing w:after="0" w:line="240" w:lineRule="auto"/>
      </w:pPr>
      <w:r>
        <w:separator/>
      </w:r>
    </w:p>
  </w:footnote>
  <w:footnote w:type="continuationSeparator" w:id="0">
    <w:p w:rsidR="008C5AB8" w:rsidRDefault="008C5AB8" w:rsidP="00804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D5236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53A62"/>
    <w:multiLevelType w:val="multilevel"/>
    <w:tmpl w:val="B48E6460"/>
    <w:lvl w:ilvl="0">
      <w:start w:val="9"/>
      <w:numFmt w:val="decimal"/>
      <w:lvlText w:val="%1"/>
      <w:lvlJc w:val="left"/>
      <w:pPr>
        <w:ind w:left="1281" w:hanging="736"/>
        <w:jc w:val="left"/>
      </w:pPr>
      <w:rPr>
        <w:rFonts w:hint="default"/>
      </w:rPr>
    </w:lvl>
    <w:lvl w:ilvl="1">
      <w:start w:val="1"/>
      <w:numFmt w:val="decimal"/>
      <w:lvlText w:val="%1.%2"/>
      <w:lvlJc w:val="left"/>
      <w:pPr>
        <w:ind w:left="1281" w:hanging="736"/>
        <w:jc w:val="left"/>
      </w:pPr>
      <w:rPr>
        <w:rFonts w:ascii="Times New Roman" w:eastAsia="Times New Roman" w:hAnsi="Times New Roman" w:cs="Times New Roman" w:hint="default"/>
        <w:b/>
        <w:bCs/>
        <w:w w:val="117"/>
        <w:sz w:val="28"/>
        <w:szCs w:val="28"/>
      </w:rPr>
    </w:lvl>
    <w:lvl w:ilvl="2">
      <w:numFmt w:val="bullet"/>
      <w:lvlText w:val="•"/>
      <w:lvlJc w:val="left"/>
      <w:pPr>
        <w:ind w:left="3097" w:hanging="736"/>
      </w:pPr>
      <w:rPr>
        <w:rFonts w:hint="default"/>
      </w:rPr>
    </w:lvl>
    <w:lvl w:ilvl="3">
      <w:numFmt w:val="bullet"/>
      <w:lvlText w:val="•"/>
      <w:lvlJc w:val="left"/>
      <w:pPr>
        <w:ind w:left="4005" w:hanging="736"/>
      </w:pPr>
      <w:rPr>
        <w:rFonts w:hint="default"/>
      </w:rPr>
    </w:lvl>
    <w:lvl w:ilvl="4">
      <w:numFmt w:val="bullet"/>
      <w:lvlText w:val="•"/>
      <w:lvlJc w:val="left"/>
      <w:pPr>
        <w:ind w:left="4914" w:hanging="736"/>
      </w:pPr>
      <w:rPr>
        <w:rFonts w:hint="default"/>
      </w:rPr>
    </w:lvl>
    <w:lvl w:ilvl="5">
      <w:numFmt w:val="bullet"/>
      <w:lvlText w:val="•"/>
      <w:lvlJc w:val="left"/>
      <w:pPr>
        <w:ind w:left="5822" w:hanging="736"/>
      </w:pPr>
      <w:rPr>
        <w:rFonts w:hint="default"/>
      </w:rPr>
    </w:lvl>
    <w:lvl w:ilvl="6">
      <w:numFmt w:val="bullet"/>
      <w:lvlText w:val="•"/>
      <w:lvlJc w:val="left"/>
      <w:pPr>
        <w:ind w:left="6731" w:hanging="736"/>
      </w:pPr>
      <w:rPr>
        <w:rFonts w:hint="default"/>
      </w:rPr>
    </w:lvl>
    <w:lvl w:ilvl="7">
      <w:numFmt w:val="bullet"/>
      <w:lvlText w:val="•"/>
      <w:lvlJc w:val="left"/>
      <w:pPr>
        <w:ind w:left="7639" w:hanging="736"/>
      </w:pPr>
      <w:rPr>
        <w:rFonts w:hint="default"/>
      </w:rPr>
    </w:lvl>
    <w:lvl w:ilvl="8">
      <w:numFmt w:val="bullet"/>
      <w:lvlText w:val="•"/>
      <w:lvlJc w:val="left"/>
      <w:pPr>
        <w:ind w:left="8548" w:hanging="736"/>
      </w:pPr>
      <w:rPr>
        <w:rFonts w:hint="default"/>
      </w:rPr>
    </w:lvl>
  </w:abstractNum>
  <w:abstractNum w:abstractNumId="2" w15:restartNumberingAfterBreak="0">
    <w:nsid w:val="011C481A"/>
    <w:multiLevelType w:val="hybridMultilevel"/>
    <w:tmpl w:val="C2B885EC"/>
    <w:lvl w:ilvl="0" w:tplc="46A477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76E11"/>
    <w:multiLevelType w:val="hybridMultilevel"/>
    <w:tmpl w:val="F6DAA658"/>
    <w:lvl w:ilvl="0" w:tplc="124C425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64C51E2"/>
    <w:multiLevelType w:val="hybridMultilevel"/>
    <w:tmpl w:val="2C6A49A6"/>
    <w:lvl w:ilvl="0" w:tplc="EFCE7C26">
      <w:numFmt w:val="bullet"/>
      <w:lvlText w:val="•"/>
      <w:lvlJc w:val="left"/>
      <w:pPr>
        <w:ind w:left="1131" w:hanging="237"/>
      </w:pPr>
      <w:rPr>
        <w:rFonts w:ascii="Lucida Sans Unicode" w:eastAsia="Lucida Sans Unicode" w:hAnsi="Lucida Sans Unicode" w:cs="Lucida Sans Unicode" w:hint="default"/>
        <w:w w:val="78"/>
        <w:sz w:val="24"/>
        <w:szCs w:val="24"/>
      </w:rPr>
    </w:lvl>
    <w:lvl w:ilvl="1" w:tplc="3ECED9EC">
      <w:numFmt w:val="bullet"/>
      <w:lvlText w:val="•"/>
      <w:lvlJc w:val="left"/>
      <w:pPr>
        <w:ind w:left="2062" w:hanging="237"/>
      </w:pPr>
      <w:rPr>
        <w:rFonts w:hint="default"/>
      </w:rPr>
    </w:lvl>
    <w:lvl w:ilvl="2" w:tplc="CEC615A8">
      <w:numFmt w:val="bullet"/>
      <w:lvlText w:val="•"/>
      <w:lvlJc w:val="left"/>
      <w:pPr>
        <w:ind w:left="2985" w:hanging="237"/>
      </w:pPr>
      <w:rPr>
        <w:rFonts w:hint="default"/>
      </w:rPr>
    </w:lvl>
    <w:lvl w:ilvl="3" w:tplc="3B603194">
      <w:numFmt w:val="bullet"/>
      <w:lvlText w:val="•"/>
      <w:lvlJc w:val="left"/>
      <w:pPr>
        <w:ind w:left="3907" w:hanging="237"/>
      </w:pPr>
      <w:rPr>
        <w:rFonts w:hint="default"/>
      </w:rPr>
    </w:lvl>
    <w:lvl w:ilvl="4" w:tplc="470CEF1E">
      <w:numFmt w:val="bullet"/>
      <w:lvlText w:val="•"/>
      <w:lvlJc w:val="left"/>
      <w:pPr>
        <w:ind w:left="4830" w:hanging="237"/>
      </w:pPr>
      <w:rPr>
        <w:rFonts w:hint="default"/>
      </w:rPr>
    </w:lvl>
    <w:lvl w:ilvl="5" w:tplc="050CE3B8">
      <w:numFmt w:val="bullet"/>
      <w:lvlText w:val="•"/>
      <w:lvlJc w:val="left"/>
      <w:pPr>
        <w:ind w:left="5752" w:hanging="237"/>
      </w:pPr>
      <w:rPr>
        <w:rFonts w:hint="default"/>
      </w:rPr>
    </w:lvl>
    <w:lvl w:ilvl="6" w:tplc="BA0AC02C">
      <w:numFmt w:val="bullet"/>
      <w:lvlText w:val="•"/>
      <w:lvlJc w:val="left"/>
      <w:pPr>
        <w:ind w:left="6675" w:hanging="237"/>
      </w:pPr>
      <w:rPr>
        <w:rFonts w:hint="default"/>
      </w:rPr>
    </w:lvl>
    <w:lvl w:ilvl="7" w:tplc="EF0AE7B4">
      <w:numFmt w:val="bullet"/>
      <w:lvlText w:val="•"/>
      <w:lvlJc w:val="left"/>
      <w:pPr>
        <w:ind w:left="7597" w:hanging="237"/>
      </w:pPr>
      <w:rPr>
        <w:rFonts w:hint="default"/>
      </w:rPr>
    </w:lvl>
    <w:lvl w:ilvl="8" w:tplc="7A5A3EEC">
      <w:numFmt w:val="bullet"/>
      <w:lvlText w:val="•"/>
      <w:lvlJc w:val="left"/>
      <w:pPr>
        <w:ind w:left="8520" w:hanging="237"/>
      </w:pPr>
      <w:rPr>
        <w:rFonts w:hint="default"/>
      </w:rPr>
    </w:lvl>
  </w:abstractNum>
  <w:abstractNum w:abstractNumId="5" w15:restartNumberingAfterBreak="0">
    <w:nsid w:val="08A97B2B"/>
    <w:multiLevelType w:val="hybridMultilevel"/>
    <w:tmpl w:val="EAB6F5EE"/>
    <w:lvl w:ilvl="0" w:tplc="731C8878">
      <w:start w:val="1"/>
      <w:numFmt w:val="decimal"/>
      <w:lvlText w:val="%1"/>
      <w:lvlJc w:val="left"/>
      <w:pPr>
        <w:ind w:left="1126" w:hanging="582"/>
        <w:jc w:val="left"/>
      </w:pPr>
      <w:rPr>
        <w:rFonts w:ascii="Times New Roman" w:eastAsia="Times New Roman" w:hAnsi="Times New Roman" w:cs="Times New Roman" w:hint="default"/>
        <w:b/>
        <w:bCs/>
        <w:w w:val="113"/>
        <w:sz w:val="34"/>
        <w:szCs w:val="34"/>
      </w:rPr>
    </w:lvl>
    <w:lvl w:ilvl="1" w:tplc="EB4EAC1C">
      <w:start w:val="1"/>
      <w:numFmt w:val="decimal"/>
      <w:lvlText w:val="%2."/>
      <w:lvlJc w:val="left"/>
      <w:pPr>
        <w:ind w:left="1131" w:hanging="300"/>
        <w:jc w:val="left"/>
      </w:pPr>
      <w:rPr>
        <w:rFonts w:ascii="Times New Roman" w:eastAsia="Times New Roman" w:hAnsi="Times New Roman" w:cs="Times New Roman" w:hint="default"/>
        <w:w w:val="100"/>
        <w:sz w:val="24"/>
        <w:szCs w:val="24"/>
      </w:rPr>
    </w:lvl>
    <w:lvl w:ilvl="2" w:tplc="520E6E94">
      <w:numFmt w:val="bullet"/>
      <w:lvlText w:val="•"/>
      <w:lvlJc w:val="left"/>
      <w:pPr>
        <w:ind w:left="2165" w:hanging="300"/>
      </w:pPr>
      <w:rPr>
        <w:rFonts w:hint="default"/>
      </w:rPr>
    </w:lvl>
    <w:lvl w:ilvl="3" w:tplc="80AA6856">
      <w:numFmt w:val="bullet"/>
      <w:lvlText w:val="•"/>
      <w:lvlJc w:val="left"/>
      <w:pPr>
        <w:ind w:left="3190" w:hanging="300"/>
      </w:pPr>
      <w:rPr>
        <w:rFonts w:hint="default"/>
      </w:rPr>
    </w:lvl>
    <w:lvl w:ilvl="4" w:tplc="450A155E">
      <w:numFmt w:val="bullet"/>
      <w:lvlText w:val="•"/>
      <w:lvlJc w:val="left"/>
      <w:pPr>
        <w:ind w:left="4215" w:hanging="300"/>
      </w:pPr>
      <w:rPr>
        <w:rFonts w:hint="default"/>
      </w:rPr>
    </w:lvl>
    <w:lvl w:ilvl="5" w:tplc="0D4C6F68">
      <w:numFmt w:val="bullet"/>
      <w:lvlText w:val="•"/>
      <w:lvlJc w:val="left"/>
      <w:pPr>
        <w:ind w:left="5240" w:hanging="300"/>
      </w:pPr>
      <w:rPr>
        <w:rFonts w:hint="default"/>
      </w:rPr>
    </w:lvl>
    <w:lvl w:ilvl="6" w:tplc="5364B776">
      <w:numFmt w:val="bullet"/>
      <w:lvlText w:val="•"/>
      <w:lvlJc w:val="left"/>
      <w:pPr>
        <w:ind w:left="6265" w:hanging="300"/>
      </w:pPr>
      <w:rPr>
        <w:rFonts w:hint="default"/>
      </w:rPr>
    </w:lvl>
    <w:lvl w:ilvl="7" w:tplc="D968E7F2">
      <w:numFmt w:val="bullet"/>
      <w:lvlText w:val="•"/>
      <w:lvlJc w:val="left"/>
      <w:pPr>
        <w:ind w:left="7290" w:hanging="300"/>
      </w:pPr>
      <w:rPr>
        <w:rFonts w:hint="default"/>
      </w:rPr>
    </w:lvl>
    <w:lvl w:ilvl="8" w:tplc="CFE06838">
      <w:numFmt w:val="bullet"/>
      <w:lvlText w:val="•"/>
      <w:lvlJc w:val="left"/>
      <w:pPr>
        <w:ind w:left="8315" w:hanging="300"/>
      </w:pPr>
      <w:rPr>
        <w:rFonts w:hint="default"/>
      </w:rPr>
    </w:lvl>
  </w:abstractNum>
  <w:abstractNum w:abstractNumId="6" w15:restartNumberingAfterBreak="0">
    <w:nsid w:val="0F1D01A1"/>
    <w:multiLevelType w:val="hybridMultilevel"/>
    <w:tmpl w:val="FAC88DA0"/>
    <w:lvl w:ilvl="0" w:tplc="BB1E1B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BE0DA2"/>
    <w:multiLevelType w:val="multilevel"/>
    <w:tmpl w:val="64128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310C0"/>
    <w:multiLevelType w:val="multilevel"/>
    <w:tmpl w:val="305EE44E"/>
    <w:lvl w:ilvl="0">
      <w:start w:val="4"/>
      <w:numFmt w:val="decimal"/>
      <w:lvlText w:val="%1"/>
      <w:lvlJc w:val="left"/>
      <w:pPr>
        <w:ind w:left="1281" w:hanging="736"/>
        <w:jc w:val="left"/>
      </w:pPr>
      <w:rPr>
        <w:rFonts w:hint="default"/>
      </w:rPr>
    </w:lvl>
    <w:lvl w:ilvl="1">
      <w:start w:val="1"/>
      <w:numFmt w:val="decimal"/>
      <w:lvlText w:val="%1.%2"/>
      <w:lvlJc w:val="left"/>
      <w:pPr>
        <w:ind w:left="1281" w:hanging="736"/>
        <w:jc w:val="left"/>
      </w:pPr>
      <w:rPr>
        <w:rFonts w:ascii="Times New Roman" w:eastAsia="Times New Roman" w:hAnsi="Times New Roman" w:cs="Times New Roman" w:hint="default"/>
        <w:b/>
        <w:bCs/>
        <w:w w:val="117"/>
        <w:sz w:val="28"/>
        <w:szCs w:val="28"/>
      </w:rPr>
    </w:lvl>
    <w:lvl w:ilvl="2">
      <w:numFmt w:val="bullet"/>
      <w:lvlText w:val="•"/>
      <w:lvlJc w:val="left"/>
      <w:pPr>
        <w:ind w:left="3097" w:hanging="736"/>
      </w:pPr>
      <w:rPr>
        <w:rFonts w:hint="default"/>
      </w:rPr>
    </w:lvl>
    <w:lvl w:ilvl="3">
      <w:numFmt w:val="bullet"/>
      <w:lvlText w:val="•"/>
      <w:lvlJc w:val="left"/>
      <w:pPr>
        <w:ind w:left="4005" w:hanging="736"/>
      </w:pPr>
      <w:rPr>
        <w:rFonts w:hint="default"/>
      </w:rPr>
    </w:lvl>
    <w:lvl w:ilvl="4">
      <w:numFmt w:val="bullet"/>
      <w:lvlText w:val="•"/>
      <w:lvlJc w:val="left"/>
      <w:pPr>
        <w:ind w:left="4914" w:hanging="736"/>
      </w:pPr>
      <w:rPr>
        <w:rFonts w:hint="default"/>
      </w:rPr>
    </w:lvl>
    <w:lvl w:ilvl="5">
      <w:numFmt w:val="bullet"/>
      <w:lvlText w:val="•"/>
      <w:lvlJc w:val="left"/>
      <w:pPr>
        <w:ind w:left="5822" w:hanging="736"/>
      </w:pPr>
      <w:rPr>
        <w:rFonts w:hint="default"/>
      </w:rPr>
    </w:lvl>
    <w:lvl w:ilvl="6">
      <w:numFmt w:val="bullet"/>
      <w:lvlText w:val="•"/>
      <w:lvlJc w:val="left"/>
      <w:pPr>
        <w:ind w:left="6731" w:hanging="736"/>
      </w:pPr>
      <w:rPr>
        <w:rFonts w:hint="default"/>
      </w:rPr>
    </w:lvl>
    <w:lvl w:ilvl="7">
      <w:numFmt w:val="bullet"/>
      <w:lvlText w:val="•"/>
      <w:lvlJc w:val="left"/>
      <w:pPr>
        <w:ind w:left="7639" w:hanging="736"/>
      </w:pPr>
      <w:rPr>
        <w:rFonts w:hint="default"/>
      </w:rPr>
    </w:lvl>
    <w:lvl w:ilvl="8">
      <w:numFmt w:val="bullet"/>
      <w:lvlText w:val="•"/>
      <w:lvlJc w:val="left"/>
      <w:pPr>
        <w:ind w:left="8548" w:hanging="736"/>
      </w:pPr>
      <w:rPr>
        <w:rFonts w:hint="default"/>
      </w:rPr>
    </w:lvl>
  </w:abstractNum>
  <w:abstractNum w:abstractNumId="9" w15:restartNumberingAfterBreak="0">
    <w:nsid w:val="1B596151"/>
    <w:multiLevelType w:val="multilevel"/>
    <w:tmpl w:val="1C568720"/>
    <w:lvl w:ilvl="0">
      <w:start w:val="11"/>
      <w:numFmt w:val="decimal"/>
      <w:lvlText w:val="%1"/>
      <w:lvlJc w:val="left"/>
      <w:pPr>
        <w:ind w:left="1442" w:hanging="897"/>
        <w:jc w:val="left"/>
      </w:pPr>
      <w:rPr>
        <w:rFonts w:hint="default"/>
      </w:rPr>
    </w:lvl>
    <w:lvl w:ilvl="1">
      <w:start w:val="3"/>
      <w:numFmt w:val="decimal"/>
      <w:lvlText w:val="%1.%2"/>
      <w:lvlJc w:val="left"/>
      <w:pPr>
        <w:ind w:left="1442" w:hanging="897"/>
        <w:jc w:val="left"/>
      </w:pPr>
      <w:rPr>
        <w:rFonts w:ascii="Times New Roman" w:eastAsia="Times New Roman" w:hAnsi="Times New Roman" w:cs="Times New Roman" w:hint="default"/>
        <w:b/>
        <w:bCs/>
        <w:w w:val="116"/>
        <w:sz w:val="28"/>
        <w:szCs w:val="28"/>
      </w:rPr>
    </w:lvl>
    <w:lvl w:ilvl="2">
      <w:start w:val="1"/>
      <w:numFmt w:val="decimal"/>
      <w:lvlText w:val="%1.%2.%3"/>
      <w:lvlJc w:val="left"/>
      <w:pPr>
        <w:ind w:left="1502" w:hanging="957"/>
        <w:jc w:val="left"/>
      </w:pPr>
      <w:rPr>
        <w:rFonts w:ascii="Times New Roman" w:eastAsia="Times New Roman" w:hAnsi="Times New Roman" w:cs="Times New Roman" w:hint="default"/>
        <w:b/>
        <w:bCs/>
        <w:w w:val="114"/>
        <w:sz w:val="24"/>
        <w:szCs w:val="24"/>
      </w:rPr>
    </w:lvl>
    <w:lvl w:ilvl="3">
      <w:numFmt w:val="bullet"/>
      <w:lvlText w:val="•"/>
      <w:lvlJc w:val="left"/>
      <w:pPr>
        <w:ind w:left="3470" w:hanging="957"/>
      </w:pPr>
      <w:rPr>
        <w:rFonts w:hint="default"/>
      </w:rPr>
    </w:lvl>
    <w:lvl w:ilvl="4">
      <w:numFmt w:val="bullet"/>
      <w:lvlText w:val="•"/>
      <w:lvlJc w:val="left"/>
      <w:pPr>
        <w:ind w:left="4455" w:hanging="957"/>
      </w:pPr>
      <w:rPr>
        <w:rFonts w:hint="default"/>
      </w:rPr>
    </w:lvl>
    <w:lvl w:ilvl="5">
      <w:numFmt w:val="bullet"/>
      <w:lvlText w:val="•"/>
      <w:lvlJc w:val="left"/>
      <w:pPr>
        <w:ind w:left="5440" w:hanging="957"/>
      </w:pPr>
      <w:rPr>
        <w:rFonts w:hint="default"/>
      </w:rPr>
    </w:lvl>
    <w:lvl w:ilvl="6">
      <w:numFmt w:val="bullet"/>
      <w:lvlText w:val="•"/>
      <w:lvlJc w:val="left"/>
      <w:pPr>
        <w:ind w:left="6425" w:hanging="957"/>
      </w:pPr>
      <w:rPr>
        <w:rFonts w:hint="default"/>
      </w:rPr>
    </w:lvl>
    <w:lvl w:ilvl="7">
      <w:numFmt w:val="bullet"/>
      <w:lvlText w:val="•"/>
      <w:lvlJc w:val="left"/>
      <w:pPr>
        <w:ind w:left="7410" w:hanging="957"/>
      </w:pPr>
      <w:rPr>
        <w:rFonts w:hint="default"/>
      </w:rPr>
    </w:lvl>
    <w:lvl w:ilvl="8">
      <w:numFmt w:val="bullet"/>
      <w:lvlText w:val="•"/>
      <w:lvlJc w:val="left"/>
      <w:pPr>
        <w:ind w:left="8395" w:hanging="957"/>
      </w:pPr>
      <w:rPr>
        <w:rFonts w:hint="default"/>
      </w:rPr>
    </w:lvl>
  </w:abstractNum>
  <w:abstractNum w:abstractNumId="10" w15:restartNumberingAfterBreak="0">
    <w:nsid w:val="1D7A16AE"/>
    <w:multiLevelType w:val="multilevel"/>
    <w:tmpl w:val="7AE4D998"/>
    <w:lvl w:ilvl="0">
      <w:start w:val="6"/>
      <w:numFmt w:val="decimal"/>
      <w:lvlText w:val="%1"/>
      <w:lvlJc w:val="left"/>
      <w:pPr>
        <w:ind w:left="1126" w:hanging="736"/>
        <w:jc w:val="left"/>
      </w:pPr>
      <w:rPr>
        <w:rFonts w:hint="default"/>
      </w:rPr>
    </w:lvl>
    <w:lvl w:ilvl="1">
      <w:start w:val="2"/>
      <w:numFmt w:val="decimal"/>
      <w:lvlText w:val="%1.%2"/>
      <w:lvlJc w:val="left"/>
      <w:pPr>
        <w:ind w:left="1281" w:hanging="736"/>
        <w:jc w:val="left"/>
      </w:pPr>
      <w:rPr>
        <w:rFonts w:ascii="Times New Roman" w:eastAsia="Times New Roman" w:hAnsi="Times New Roman" w:cs="Times New Roman" w:hint="default"/>
        <w:b/>
        <w:bCs/>
        <w:w w:val="117"/>
        <w:sz w:val="28"/>
        <w:szCs w:val="28"/>
      </w:rPr>
    </w:lvl>
    <w:lvl w:ilvl="2">
      <w:numFmt w:val="bullet"/>
      <w:lvlText w:val="•"/>
      <w:lvlJc w:val="left"/>
      <w:pPr>
        <w:ind w:left="2289" w:hanging="736"/>
      </w:pPr>
      <w:rPr>
        <w:rFonts w:hint="default"/>
      </w:rPr>
    </w:lvl>
    <w:lvl w:ilvl="3">
      <w:numFmt w:val="bullet"/>
      <w:lvlText w:val="•"/>
      <w:lvlJc w:val="left"/>
      <w:pPr>
        <w:ind w:left="3299" w:hanging="736"/>
      </w:pPr>
      <w:rPr>
        <w:rFonts w:hint="default"/>
      </w:rPr>
    </w:lvl>
    <w:lvl w:ilvl="4">
      <w:numFmt w:val="bullet"/>
      <w:lvlText w:val="•"/>
      <w:lvlJc w:val="left"/>
      <w:pPr>
        <w:ind w:left="4308" w:hanging="736"/>
      </w:pPr>
      <w:rPr>
        <w:rFonts w:hint="default"/>
      </w:rPr>
    </w:lvl>
    <w:lvl w:ilvl="5">
      <w:numFmt w:val="bullet"/>
      <w:lvlText w:val="•"/>
      <w:lvlJc w:val="left"/>
      <w:pPr>
        <w:ind w:left="5318" w:hanging="736"/>
      </w:pPr>
      <w:rPr>
        <w:rFonts w:hint="default"/>
      </w:rPr>
    </w:lvl>
    <w:lvl w:ilvl="6">
      <w:numFmt w:val="bullet"/>
      <w:lvlText w:val="•"/>
      <w:lvlJc w:val="left"/>
      <w:pPr>
        <w:ind w:left="6327" w:hanging="736"/>
      </w:pPr>
      <w:rPr>
        <w:rFonts w:hint="default"/>
      </w:rPr>
    </w:lvl>
    <w:lvl w:ilvl="7">
      <w:numFmt w:val="bullet"/>
      <w:lvlText w:val="•"/>
      <w:lvlJc w:val="left"/>
      <w:pPr>
        <w:ind w:left="7337" w:hanging="736"/>
      </w:pPr>
      <w:rPr>
        <w:rFonts w:hint="default"/>
      </w:rPr>
    </w:lvl>
    <w:lvl w:ilvl="8">
      <w:numFmt w:val="bullet"/>
      <w:lvlText w:val="•"/>
      <w:lvlJc w:val="left"/>
      <w:pPr>
        <w:ind w:left="8346" w:hanging="736"/>
      </w:pPr>
      <w:rPr>
        <w:rFonts w:hint="default"/>
      </w:rPr>
    </w:lvl>
  </w:abstractNum>
  <w:abstractNum w:abstractNumId="11" w15:restartNumberingAfterBreak="0">
    <w:nsid w:val="248379B0"/>
    <w:multiLevelType w:val="hybridMultilevel"/>
    <w:tmpl w:val="691278A8"/>
    <w:lvl w:ilvl="0" w:tplc="566AACF4">
      <w:start w:val="8"/>
      <w:numFmt w:val="decimal"/>
      <w:lvlText w:val="%1"/>
      <w:lvlJc w:val="left"/>
      <w:pPr>
        <w:ind w:left="1126" w:hanging="582"/>
        <w:jc w:val="left"/>
      </w:pPr>
      <w:rPr>
        <w:rFonts w:ascii="Times New Roman" w:eastAsia="Times New Roman" w:hAnsi="Times New Roman" w:cs="Times New Roman" w:hint="default"/>
        <w:b/>
        <w:bCs/>
        <w:w w:val="113"/>
        <w:sz w:val="34"/>
        <w:szCs w:val="34"/>
      </w:rPr>
    </w:lvl>
    <w:lvl w:ilvl="1" w:tplc="90B28BAC">
      <w:start w:val="1"/>
      <w:numFmt w:val="decimal"/>
      <w:lvlText w:val="%2."/>
      <w:lvlJc w:val="left"/>
      <w:pPr>
        <w:ind w:left="1131" w:hanging="300"/>
        <w:jc w:val="left"/>
      </w:pPr>
      <w:rPr>
        <w:rFonts w:ascii="Times New Roman" w:eastAsia="Times New Roman" w:hAnsi="Times New Roman" w:cs="Times New Roman" w:hint="default"/>
        <w:w w:val="100"/>
        <w:sz w:val="24"/>
        <w:szCs w:val="24"/>
      </w:rPr>
    </w:lvl>
    <w:lvl w:ilvl="2" w:tplc="DBFAA4D8">
      <w:numFmt w:val="bullet"/>
      <w:lvlText w:val="•"/>
      <w:lvlJc w:val="left"/>
      <w:pPr>
        <w:ind w:left="2165" w:hanging="300"/>
      </w:pPr>
      <w:rPr>
        <w:rFonts w:hint="default"/>
      </w:rPr>
    </w:lvl>
    <w:lvl w:ilvl="3" w:tplc="8C18E4E6">
      <w:numFmt w:val="bullet"/>
      <w:lvlText w:val="•"/>
      <w:lvlJc w:val="left"/>
      <w:pPr>
        <w:ind w:left="3190" w:hanging="300"/>
      </w:pPr>
      <w:rPr>
        <w:rFonts w:hint="default"/>
      </w:rPr>
    </w:lvl>
    <w:lvl w:ilvl="4" w:tplc="0FBAD4D2">
      <w:numFmt w:val="bullet"/>
      <w:lvlText w:val="•"/>
      <w:lvlJc w:val="left"/>
      <w:pPr>
        <w:ind w:left="4215" w:hanging="300"/>
      </w:pPr>
      <w:rPr>
        <w:rFonts w:hint="default"/>
      </w:rPr>
    </w:lvl>
    <w:lvl w:ilvl="5" w:tplc="1FBCAF1E">
      <w:numFmt w:val="bullet"/>
      <w:lvlText w:val="•"/>
      <w:lvlJc w:val="left"/>
      <w:pPr>
        <w:ind w:left="5240" w:hanging="300"/>
      </w:pPr>
      <w:rPr>
        <w:rFonts w:hint="default"/>
      </w:rPr>
    </w:lvl>
    <w:lvl w:ilvl="6" w:tplc="A7062DDA">
      <w:numFmt w:val="bullet"/>
      <w:lvlText w:val="•"/>
      <w:lvlJc w:val="left"/>
      <w:pPr>
        <w:ind w:left="6265" w:hanging="300"/>
      </w:pPr>
      <w:rPr>
        <w:rFonts w:hint="default"/>
      </w:rPr>
    </w:lvl>
    <w:lvl w:ilvl="7" w:tplc="6C1E22D6">
      <w:numFmt w:val="bullet"/>
      <w:lvlText w:val="•"/>
      <w:lvlJc w:val="left"/>
      <w:pPr>
        <w:ind w:left="7290" w:hanging="300"/>
      </w:pPr>
      <w:rPr>
        <w:rFonts w:hint="default"/>
      </w:rPr>
    </w:lvl>
    <w:lvl w:ilvl="8" w:tplc="B0C4041E">
      <w:numFmt w:val="bullet"/>
      <w:lvlText w:val="•"/>
      <w:lvlJc w:val="left"/>
      <w:pPr>
        <w:ind w:left="8315" w:hanging="300"/>
      </w:pPr>
      <w:rPr>
        <w:rFonts w:hint="default"/>
      </w:rPr>
    </w:lvl>
  </w:abstractNum>
  <w:abstractNum w:abstractNumId="12" w15:restartNumberingAfterBreak="0">
    <w:nsid w:val="251D0F0E"/>
    <w:multiLevelType w:val="hybridMultilevel"/>
    <w:tmpl w:val="5DF01BD4"/>
    <w:lvl w:ilvl="0" w:tplc="18943DA6">
      <w:start w:val="1"/>
      <w:numFmt w:val="decimal"/>
      <w:lvlText w:val="[%1]"/>
      <w:lvlJc w:val="left"/>
      <w:pPr>
        <w:ind w:left="1027" w:hanging="365"/>
        <w:jc w:val="right"/>
      </w:pPr>
      <w:rPr>
        <w:rFonts w:ascii="Times New Roman" w:eastAsia="Times New Roman" w:hAnsi="Times New Roman" w:cs="Times New Roman" w:hint="default"/>
        <w:w w:val="88"/>
        <w:sz w:val="24"/>
        <w:szCs w:val="24"/>
      </w:rPr>
    </w:lvl>
    <w:lvl w:ilvl="1" w:tplc="56F43506">
      <w:numFmt w:val="bullet"/>
      <w:lvlText w:val="•"/>
      <w:lvlJc w:val="left"/>
      <w:pPr>
        <w:ind w:left="1954" w:hanging="365"/>
      </w:pPr>
      <w:rPr>
        <w:rFonts w:hint="default"/>
      </w:rPr>
    </w:lvl>
    <w:lvl w:ilvl="2" w:tplc="96F49E10">
      <w:numFmt w:val="bullet"/>
      <w:lvlText w:val="•"/>
      <w:lvlJc w:val="left"/>
      <w:pPr>
        <w:ind w:left="2889" w:hanging="365"/>
      </w:pPr>
      <w:rPr>
        <w:rFonts w:hint="default"/>
      </w:rPr>
    </w:lvl>
    <w:lvl w:ilvl="3" w:tplc="6FB2894A">
      <w:numFmt w:val="bullet"/>
      <w:lvlText w:val="•"/>
      <w:lvlJc w:val="left"/>
      <w:pPr>
        <w:ind w:left="3823" w:hanging="365"/>
      </w:pPr>
      <w:rPr>
        <w:rFonts w:hint="default"/>
      </w:rPr>
    </w:lvl>
    <w:lvl w:ilvl="4" w:tplc="58C6F90E">
      <w:numFmt w:val="bullet"/>
      <w:lvlText w:val="•"/>
      <w:lvlJc w:val="left"/>
      <w:pPr>
        <w:ind w:left="4758" w:hanging="365"/>
      </w:pPr>
      <w:rPr>
        <w:rFonts w:hint="default"/>
      </w:rPr>
    </w:lvl>
    <w:lvl w:ilvl="5" w:tplc="27A403E2">
      <w:numFmt w:val="bullet"/>
      <w:lvlText w:val="•"/>
      <w:lvlJc w:val="left"/>
      <w:pPr>
        <w:ind w:left="5692" w:hanging="365"/>
      </w:pPr>
      <w:rPr>
        <w:rFonts w:hint="default"/>
      </w:rPr>
    </w:lvl>
    <w:lvl w:ilvl="6" w:tplc="62DACDB0">
      <w:numFmt w:val="bullet"/>
      <w:lvlText w:val="•"/>
      <w:lvlJc w:val="left"/>
      <w:pPr>
        <w:ind w:left="6627" w:hanging="365"/>
      </w:pPr>
      <w:rPr>
        <w:rFonts w:hint="default"/>
      </w:rPr>
    </w:lvl>
    <w:lvl w:ilvl="7" w:tplc="8B4C56EA">
      <w:numFmt w:val="bullet"/>
      <w:lvlText w:val="•"/>
      <w:lvlJc w:val="left"/>
      <w:pPr>
        <w:ind w:left="7561" w:hanging="365"/>
      </w:pPr>
      <w:rPr>
        <w:rFonts w:hint="default"/>
      </w:rPr>
    </w:lvl>
    <w:lvl w:ilvl="8" w:tplc="BF42CE02">
      <w:numFmt w:val="bullet"/>
      <w:lvlText w:val="•"/>
      <w:lvlJc w:val="left"/>
      <w:pPr>
        <w:ind w:left="8496" w:hanging="365"/>
      </w:pPr>
      <w:rPr>
        <w:rFonts w:hint="default"/>
      </w:rPr>
    </w:lvl>
  </w:abstractNum>
  <w:abstractNum w:abstractNumId="13" w15:restartNumberingAfterBreak="0">
    <w:nsid w:val="31F00427"/>
    <w:multiLevelType w:val="hybridMultilevel"/>
    <w:tmpl w:val="0DEC9600"/>
    <w:lvl w:ilvl="0" w:tplc="46A477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7539E"/>
    <w:multiLevelType w:val="hybridMultilevel"/>
    <w:tmpl w:val="33465110"/>
    <w:lvl w:ilvl="0" w:tplc="46A477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0E7F70"/>
    <w:multiLevelType w:val="multilevel"/>
    <w:tmpl w:val="3A82DBBC"/>
    <w:lvl w:ilvl="0">
      <w:start w:val="11"/>
      <w:numFmt w:val="decimal"/>
      <w:lvlText w:val="%1"/>
      <w:lvlJc w:val="left"/>
      <w:pPr>
        <w:ind w:left="1320" w:hanging="775"/>
        <w:jc w:val="left"/>
      </w:pPr>
      <w:rPr>
        <w:rFonts w:ascii="Times New Roman" w:eastAsia="Times New Roman" w:hAnsi="Times New Roman" w:cs="Times New Roman" w:hint="default"/>
        <w:b/>
        <w:bCs/>
        <w:w w:val="113"/>
        <w:sz w:val="34"/>
        <w:szCs w:val="34"/>
      </w:rPr>
    </w:lvl>
    <w:lvl w:ilvl="1">
      <w:start w:val="1"/>
      <w:numFmt w:val="decimal"/>
      <w:lvlText w:val="%1.%2"/>
      <w:lvlJc w:val="left"/>
      <w:pPr>
        <w:ind w:left="1442" w:hanging="897"/>
        <w:jc w:val="left"/>
      </w:pPr>
      <w:rPr>
        <w:rFonts w:ascii="Times New Roman" w:eastAsia="Times New Roman" w:hAnsi="Times New Roman" w:cs="Times New Roman" w:hint="default"/>
        <w:b/>
        <w:bCs/>
        <w:w w:val="116"/>
        <w:sz w:val="28"/>
        <w:szCs w:val="28"/>
      </w:rPr>
    </w:lvl>
    <w:lvl w:ilvl="2">
      <w:numFmt w:val="bullet"/>
      <w:lvlText w:val="•"/>
      <w:lvlJc w:val="left"/>
      <w:pPr>
        <w:ind w:left="2431" w:hanging="897"/>
      </w:pPr>
      <w:rPr>
        <w:rFonts w:hint="default"/>
      </w:rPr>
    </w:lvl>
    <w:lvl w:ilvl="3">
      <w:numFmt w:val="bullet"/>
      <w:lvlText w:val="•"/>
      <w:lvlJc w:val="left"/>
      <w:pPr>
        <w:ind w:left="3423" w:hanging="897"/>
      </w:pPr>
      <w:rPr>
        <w:rFonts w:hint="default"/>
      </w:rPr>
    </w:lvl>
    <w:lvl w:ilvl="4">
      <w:numFmt w:val="bullet"/>
      <w:lvlText w:val="•"/>
      <w:lvlJc w:val="left"/>
      <w:pPr>
        <w:ind w:left="4415" w:hanging="897"/>
      </w:pPr>
      <w:rPr>
        <w:rFonts w:hint="default"/>
      </w:rPr>
    </w:lvl>
    <w:lvl w:ilvl="5">
      <w:numFmt w:val="bullet"/>
      <w:lvlText w:val="•"/>
      <w:lvlJc w:val="left"/>
      <w:pPr>
        <w:ind w:left="5406" w:hanging="897"/>
      </w:pPr>
      <w:rPr>
        <w:rFonts w:hint="default"/>
      </w:rPr>
    </w:lvl>
    <w:lvl w:ilvl="6">
      <w:numFmt w:val="bullet"/>
      <w:lvlText w:val="•"/>
      <w:lvlJc w:val="left"/>
      <w:pPr>
        <w:ind w:left="6398" w:hanging="897"/>
      </w:pPr>
      <w:rPr>
        <w:rFonts w:hint="default"/>
      </w:rPr>
    </w:lvl>
    <w:lvl w:ilvl="7">
      <w:numFmt w:val="bullet"/>
      <w:lvlText w:val="•"/>
      <w:lvlJc w:val="left"/>
      <w:pPr>
        <w:ind w:left="7390" w:hanging="897"/>
      </w:pPr>
      <w:rPr>
        <w:rFonts w:hint="default"/>
      </w:rPr>
    </w:lvl>
    <w:lvl w:ilvl="8">
      <w:numFmt w:val="bullet"/>
      <w:lvlText w:val="•"/>
      <w:lvlJc w:val="left"/>
      <w:pPr>
        <w:ind w:left="8382" w:hanging="897"/>
      </w:pPr>
      <w:rPr>
        <w:rFonts w:hint="default"/>
      </w:rPr>
    </w:lvl>
  </w:abstractNum>
  <w:abstractNum w:abstractNumId="16" w15:restartNumberingAfterBreak="0">
    <w:nsid w:val="48A822CF"/>
    <w:multiLevelType w:val="hybridMultilevel"/>
    <w:tmpl w:val="34667C66"/>
    <w:lvl w:ilvl="0" w:tplc="46A477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45269"/>
    <w:multiLevelType w:val="multilevel"/>
    <w:tmpl w:val="7CB2392C"/>
    <w:lvl w:ilvl="0">
      <w:start w:val="1"/>
      <w:numFmt w:val="decimal"/>
      <w:lvlText w:val="%1"/>
      <w:lvlJc w:val="left"/>
      <w:pPr>
        <w:ind w:left="896" w:hanging="352"/>
        <w:jc w:val="left"/>
      </w:pPr>
      <w:rPr>
        <w:rFonts w:ascii="Times New Roman" w:eastAsia="Times New Roman" w:hAnsi="Times New Roman" w:cs="Times New Roman" w:hint="default"/>
        <w:b/>
        <w:bCs/>
        <w:w w:val="111"/>
        <w:sz w:val="24"/>
        <w:szCs w:val="24"/>
      </w:rPr>
    </w:lvl>
    <w:lvl w:ilvl="1">
      <w:start w:val="1"/>
      <w:numFmt w:val="decimal"/>
      <w:lvlText w:val="%1.%2"/>
      <w:lvlJc w:val="left"/>
      <w:pPr>
        <w:ind w:left="1435" w:hanging="539"/>
        <w:jc w:val="left"/>
      </w:pPr>
      <w:rPr>
        <w:rFonts w:ascii="Times New Roman" w:eastAsia="Times New Roman" w:hAnsi="Times New Roman" w:cs="Times New Roman" w:hint="default"/>
        <w:w w:val="99"/>
        <w:sz w:val="24"/>
        <w:szCs w:val="24"/>
      </w:rPr>
    </w:lvl>
    <w:lvl w:ilvl="2">
      <w:start w:val="1"/>
      <w:numFmt w:val="decimal"/>
      <w:lvlText w:val="%1.%2.%3"/>
      <w:lvlJc w:val="left"/>
      <w:pPr>
        <w:ind w:left="2184" w:hanging="749"/>
        <w:jc w:val="left"/>
      </w:pPr>
      <w:rPr>
        <w:rFonts w:ascii="Times New Roman" w:eastAsia="Times New Roman" w:hAnsi="Times New Roman" w:cs="Times New Roman" w:hint="default"/>
        <w:w w:val="100"/>
        <w:sz w:val="24"/>
        <w:szCs w:val="24"/>
      </w:rPr>
    </w:lvl>
    <w:lvl w:ilvl="3">
      <w:numFmt w:val="bullet"/>
      <w:lvlText w:val="•"/>
      <w:lvlJc w:val="left"/>
      <w:pPr>
        <w:ind w:left="3203" w:hanging="749"/>
      </w:pPr>
      <w:rPr>
        <w:rFonts w:hint="default"/>
      </w:rPr>
    </w:lvl>
    <w:lvl w:ilvl="4">
      <w:numFmt w:val="bullet"/>
      <w:lvlText w:val="•"/>
      <w:lvlJc w:val="left"/>
      <w:pPr>
        <w:ind w:left="4226" w:hanging="749"/>
      </w:pPr>
      <w:rPr>
        <w:rFonts w:hint="default"/>
      </w:rPr>
    </w:lvl>
    <w:lvl w:ilvl="5">
      <w:numFmt w:val="bullet"/>
      <w:lvlText w:val="•"/>
      <w:lvlJc w:val="left"/>
      <w:pPr>
        <w:ind w:left="5249" w:hanging="749"/>
      </w:pPr>
      <w:rPr>
        <w:rFonts w:hint="default"/>
      </w:rPr>
    </w:lvl>
    <w:lvl w:ilvl="6">
      <w:numFmt w:val="bullet"/>
      <w:lvlText w:val="•"/>
      <w:lvlJc w:val="left"/>
      <w:pPr>
        <w:ind w:left="6272" w:hanging="749"/>
      </w:pPr>
      <w:rPr>
        <w:rFonts w:hint="default"/>
      </w:rPr>
    </w:lvl>
    <w:lvl w:ilvl="7">
      <w:numFmt w:val="bullet"/>
      <w:lvlText w:val="•"/>
      <w:lvlJc w:val="left"/>
      <w:pPr>
        <w:ind w:left="7295" w:hanging="749"/>
      </w:pPr>
      <w:rPr>
        <w:rFonts w:hint="default"/>
      </w:rPr>
    </w:lvl>
    <w:lvl w:ilvl="8">
      <w:numFmt w:val="bullet"/>
      <w:lvlText w:val="•"/>
      <w:lvlJc w:val="left"/>
      <w:pPr>
        <w:ind w:left="8319" w:hanging="749"/>
      </w:pPr>
      <w:rPr>
        <w:rFonts w:hint="default"/>
      </w:rPr>
    </w:lvl>
  </w:abstractNum>
  <w:abstractNum w:abstractNumId="18" w15:restartNumberingAfterBreak="0">
    <w:nsid w:val="586A1915"/>
    <w:multiLevelType w:val="hybridMultilevel"/>
    <w:tmpl w:val="34667C66"/>
    <w:lvl w:ilvl="0" w:tplc="46A477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496A55"/>
    <w:multiLevelType w:val="multilevel"/>
    <w:tmpl w:val="AEAA45FE"/>
    <w:lvl w:ilvl="0">
      <w:start w:val="6"/>
      <w:numFmt w:val="decimal"/>
      <w:lvlText w:val="%1"/>
      <w:lvlJc w:val="left"/>
      <w:pPr>
        <w:ind w:left="1367" w:hanging="822"/>
        <w:jc w:val="left"/>
      </w:pPr>
      <w:rPr>
        <w:rFonts w:hint="default"/>
      </w:rPr>
    </w:lvl>
    <w:lvl w:ilvl="1">
      <w:start w:val="1"/>
      <w:numFmt w:val="decimal"/>
      <w:lvlText w:val="%1.%2"/>
      <w:lvlJc w:val="left"/>
      <w:pPr>
        <w:ind w:left="1367" w:hanging="822"/>
        <w:jc w:val="left"/>
      </w:pPr>
      <w:rPr>
        <w:rFonts w:hint="default"/>
      </w:rPr>
    </w:lvl>
    <w:lvl w:ilvl="2">
      <w:start w:val="1"/>
      <w:numFmt w:val="decimal"/>
      <w:lvlText w:val="%1.%2.%3"/>
      <w:lvlJc w:val="left"/>
      <w:pPr>
        <w:ind w:left="1367" w:hanging="822"/>
        <w:jc w:val="left"/>
      </w:pPr>
      <w:rPr>
        <w:rFonts w:ascii="Times New Roman" w:eastAsia="Times New Roman" w:hAnsi="Times New Roman" w:cs="Times New Roman" w:hint="default"/>
        <w:b/>
        <w:bCs/>
        <w:w w:val="115"/>
        <w:sz w:val="24"/>
        <w:szCs w:val="24"/>
      </w:rPr>
    </w:lvl>
    <w:lvl w:ilvl="3">
      <w:numFmt w:val="bullet"/>
      <w:lvlText w:val="•"/>
      <w:lvlJc w:val="left"/>
      <w:pPr>
        <w:ind w:left="4061" w:hanging="822"/>
      </w:pPr>
      <w:rPr>
        <w:rFonts w:hint="default"/>
      </w:rPr>
    </w:lvl>
    <w:lvl w:ilvl="4">
      <w:numFmt w:val="bullet"/>
      <w:lvlText w:val="•"/>
      <w:lvlJc w:val="left"/>
      <w:pPr>
        <w:ind w:left="4962" w:hanging="822"/>
      </w:pPr>
      <w:rPr>
        <w:rFonts w:hint="default"/>
      </w:rPr>
    </w:lvl>
    <w:lvl w:ilvl="5">
      <w:numFmt w:val="bullet"/>
      <w:lvlText w:val="•"/>
      <w:lvlJc w:val="left"/>
      <w:pPr>
        <w:ind w:left="5862" w:hanging="822"/>
      </w:pPr>
      <w:rPr>
        <w:rFonts w:hint="default"/>
      </w:rPr>
    </w:lvl>
    <w:lvl w:ilvl="6">
      <w:numFmt w:val="bullet"/>
      <w:lvlText w:val="•"/>
      <w:lvlJc w:val="left"/>
      <w:pPr>
        <w:ind w:left="6763" w:hanging="822"/>
      </w:pPr>
      <w:rPr>
        <w:rFonts w:hint="default"/>
      </w:rPr>
    </w:lvl>
    <w:lvl w:ilvl="7">
      <w:numFmt w:val="bullet"/>
      <w:lvlText w:val="•"/>
      <w:lvlJc w:val="left"/>
      <w:pPr>
        <w:ind w:left="7663" w:hanging="822"/>
      </w:pPr>
      <w:rPr>
        <w:rFonts w:hint="default"/>
      </w:rPr>
    </w:lvl>
    <w:lvl w:ilvl="8">
      <w:numFmt w:val="bullet"/>
      <w:lvlText w:val="•"/>
      <w:lvlJc w:val="left"/>
      <w:pPr>
        <w:ind w:left="8564" w:hanging="822"/>
      </w:pPr>
      <w:rPr>
        <w:rFonts w:hint="default"/>
      </w:rPr>
    </w:lvl>
  </w:abstractNum>
  <w:abstractNum w:abstractNumId="20" w15:restartNumberingAfterBreak="0">
    <w:nsid w:val="5ED84C32"/>
    <w:multiLevelType w:val="hybridMultilevel"/>
    <w:tmpl w:val="7806DA5C"/>
    <w:lvl w:ilvl="0" w:tplc="9262546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513D36"/>
    <w:multiLevelType w:val="hybridMultilevel"/>
    <w:tmpl w:val="5C0E0DE6"/>
    <w:lvl w:ilvl="0" w:tplc="46A477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12D64"/>
    <w:multiLevelType w:val="multilevel"/>
    <w:tmpl w:val="7BB09F10"/>
    <w:lvl w:ilvl="0">
      <w:start w:val="12"/>
      <w:numFmt w:val="decimal"/>
      <w:lvlText w:val="%1"/>
      <w:lvlJc w:val="left"/>
      <w:pPr>
        <w:ind w:left="1320" w:hanging="775"/>
        <w:jc w:val="left"/>
      </w:pPr>
      <w:rPr>
        <w:rFonts w:ascii="Times New Roman" w:eastAsia="Times New Roman" w:hAnsi="Times New Roman" w:cs="Times New Roman" w:hint="default"/>
        <w:b/>
        <w:bCs/>
        <w:w w:val="113"/>
        <w:sz w:val="34"/>
        <w:szCs w:val="34"/>
      </w:rPr>
    </w:lvl>
    <w:lvl w:ilvl="1">
      <w:start w:val="1"/>
      <w:numFmt w:val="decimal"/>
      <w:lvlText w:val="%1.%2"/>
      <w:lvlJc w:val="left"/>
      <w:pPr>
        <w:ind w:left="1442" w:hanging="897"/>
        <w:jc w:val="left"/>
      </w:pPr>
      <w:rPr>
        <w:rFonts w:ascii="Times New Roman" w:eastAsia="Times New Roman" w:hAnsi="Times New Roman" w:cs="Times New Roman" w:hint="default"/>
        <w:b/>
        <w:bCs/>
        <w:w w:val="116"/>
        <w:sz w:val="28"/>
        <w:szCs w:val="28"/>
      </w:rPr>
    </w:lvl>
    <w:lvl w:ilvl="2">
      <w:start w:val="1"/>
      <w:numFmt w:val="decimal"/>
      <w:lvlText w:val="%1.%2.%3"/>
      <w:lvlJc w:val="left"/>
      <w:pPr>
        <w:ind w:left="1502" w:hanging="957"/>
        <w:jc w:val="left"/>
      </w:pPr>
      <w:rPr>
        <w:rFonts w:ascii="Times New Roman" w:eastAsia="Times New Roman" w:hAnsi="Times New Roman" w:cs="Times New Roman" w:hint="default"/>
        <w:b/>
        <w:bCs/>
        <w:w w:val="114"/>
        <w:sz w:val="24"/>
        <w:szCs w:val="24"/>
      </w:rPr>
    </w:lvl>
    <w:lvl w:ilvl="3">
      <w:numFmt w:val="bullet"/>
      <w:lvlText w:val="•"/>
      <w:lvlJc w:val="left"/>
      <w:pPr>
        <w:ind w:left="2608" w:hanging="957"/>
      </w:pPr>
      <w:rPr>
        <w:rFonts w:hint="default"/>
      </w:rPr>
    </w:lvl>
    <w:lvl w:ilvl="4">
      <w:numFmt w:val="bullet"/>
      <w:lvlText w:val="•"/>
      <w:lvlJc w:val="left"/>
      <w:pPr>
        <w:ind w:left="3716" w:hanging="957"/>
      </w:pPr>
      <w:rPr>
        <w:rFonts w:hint="default"/>
      </w:rPr>
    </w:lvl>
    <w:lvl w:ilvl="5">
      <w:numFmt w:val="bullet"/>
      <w:lvlText w:val="•"/>
      <w:lvlJc w:val="left"/>
      <w:pPr>
        <w:ind w:left="4824" w:hanging="957"/>
      </w:pPr>
      <w:rPr>
        <w:rFonts w:hint="default"/>
      </w:rPr>
    </w:lvl>
    <w:lvl w:ilvl="6">
      <w:numFmt w:val="bullet"/>
      <w:lvlText w:val="•"/>
      <w:lvlJc w:val="left"/>
      <w:pPr>
        <w:ind w:left="5932" w:hanging="957"/>
      </w:pPr>
      <w:rPr>
        <w:rFonts w:hint="default"/>
      </w:rPr>
    </w:lvl>
    <w:lvl w:ilvl="7">
      <w:numFmt w:val="bullet"/>
      <w:lvlText w:val="•"/>
      <w:lvlJc w:val="left"/>
      <w:pPr>
        <w:ind w:left="7040" w:hanging="957"/>
      </w:pPr>
      <w:rPr>
        <w:rFonts w:hint="default"/>
      </w:rPr>
    </w:lvl>
    <w:lvl w:ilvl="8">
      <w:numFmt w:val="bullet"/>
      <w:lvlText w:val="•"/>
      <w:lvlJc w:val="left"/>
      <w:pPr>
        <w:ind w:left="8149" w:hanging="957"/>
      </w:pPr>
      <w:rPr>
        <w:rFonts w:hint="default"/>
      </w:rPr>
    </w:lvl>
  </w:abstractNum>
  <w:abstractNum w:abstractNumId="23" w15:restartNumberingAfterBreak="0">
    <w:nsid w:val="745F29D3"/>
    <w:multiLevelType w:val="hybridMultilevel"/>
    <w:tmpl w:val="34667C66"/>
    <w:lvl w:ilvl="0" w:tplc="46A477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A32ED"/>
    <w:multiLevelType w:val="hybridMultilevel"/>
    <w:tmpl w:val="8BA6D98C"/>
    <w:lvl w:ilvl="0" w:tplc="46A477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046C3"/>
    <w:multiLevelType w:val="hybridMultilevel"/>
    <w:tmpl w:val="0DEC9600"/>
    <w:lvl w:ilvl="0" w:tplc="46A477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BE0B37"/>
    <w:multiLevelType w:val="hybridMultilevel"/>
    <w:tmpl w:val="9A507B3C"/>
    <w:lvl w:ilvl="0" w:tplc="CAFCC5F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0"/>
  </w:num>
  <w:num w:numId="2">
    <w:abstractNumId w:val="13"/>
  </w:num>
  <w:num w:numId="3">
    <w:abstractNumId w:val="0"/>
  </w:num>
  <w:num w:numId="4">
    <w:abstractNumId w:val="26"/>
  </w:num>
  <w:num w:numId="5">
    <w:abstractNumId w:val="3"/>
  </w:num>
  <w:num w:numId="6">
    <w:abstractNumId w:val="14"/>
  </w:num>
  <w:num w:numId="7">
    <w:abstractNumId w:val="24"/>
  </w:num>
  <w:num w:numId="8">
    <w:abstractNumId w:val="2"/>
  </w:num>
  <w:num w:numId="9">
    <w:abstractNumId w:val="16"/>
  </w:num>
  <w:num w:numId="10">
    <w:abstractNumId w:val="23"/>
  </w:num>
  <w:num w:numId="11">
    <w:abstractNumId w:val="21"/>
  </w:num>
  <w:num w:numId="12">
    <w:abstractNumId w:val="18"/>
  </w:num>
  <w:num w:numId="13">
    <w:abstractNumId w:val="6"/>
  </w:num>
  <w:num w:numId="14">
    <w:abstractNumId w:val="25"/>
  </w:num>
  <w:num w:numId="15">
    <w:abstractNumId w:val="7"/>
  </w:num>
  <w:num w:numId="16">
    <w:abstractNumId w:val="12"/>
  </w:num>
  <w:num w:numId="17">
    <w:abstractNumId w:val="22"/>
  </w:num>
  <w:num w:numId="18">
    <w:abstractNumId w:val="9"/>
  </w:num>
  <w:num w:numId="19">
    <w:abstractNumId w:val="15"/>
  </w:num>
  <w:num w:numId="20">
    <w:abstractNumId w:val="1"/>
  </w:num>
  <w:num w:numId="21">
    <w:abstractNumId w:val="11"/>
  </w:num>
  <w:num w:numId="22">
    <w:abstractNumId w:val="10"/>
  </w:num>
  <w:num w:numId="23">
    <w:abstractNumId w:val="19"/>
  </w:num>
  <w:num w:numId="24">
    <w:abstractNumId w:val="4"/>
  </w:num>
  <w:num w:numId="25">
    <w:abstractNumId w:val="8"/>
  </w:num>
  <w:num w:numId="26">
    <w:abstractNumId w:val="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515"/>
    <w:rsid w:val="00000A83"/>
    <w:rsid w:val="000028D5"/>
    <w:rsid w:val="00003581"/>
    <w:rsid w:val="00003656"/>
    <w:rsid w:val="00005E33"/>
    <w:rsid w:val="00006B1E"/>
    <w:rsid w:val="00010264"/>
    <w:rsid w:val="000103C5"/>
    <w:rsid w:val="00011AF7"/>
    <w:rsid w:val="00011D78"/>
    <w:rsid w:val="00012464"/>
    <w:rsid w:val="00013448"/>
    <w:rsid w:val="00015380"/>
    <w:rsid w:val="00017FFB"/>
    <w:rsid w:val="000206E7"/>
    <w:rsid w:val="00023EF3"/>
    <w:rsid w:val="00025619"/>
    <w:rsid w:val="00031D3B"/>
    <w:rsid w:val="00033A4B"/>
    <w:rsid w:val="00035C5C"/>
    <w:rsid w:val="00040E91"/>
    <w:rsid w:val="000410E0"/>
    <w:rsid w:val="00041451"/>
    <w:rsid w:val="00043193"/>
    <w:rsid w:val="00045106"/>
    <w:rsid w:val="00045F1A"/>
    <w:rsid w:val="000464F9"/>
    <w:rsid w:val="00046FF3"/>
    <w:rsid w:val="000473B4"/>
    <w:rsid w:val="00051895"/>
    <w:rsid w:val="00051B34"/>
    <w:rsid w:val="00052098"/>
    <w:rsid w:val="000521E9"/>
    <w:rsid w:val="00052A0D"/>
    <w:rsid w:val="000544A9"/>
    <w:rsid w:val="00056878"/>
    <w:rsid w:val="000643B5"/>
    <w:rsid w:val="000661E4"/>
    <w:rsid w:val="00067797"/>
    <w:rsid w:val="00067886"/>
    <w:rsid w:val="00071218"/>
    <w:rsid w:val="000722B5"/>
    <w:rsid w:val="000746BA"/>
    <w:rsid w:val="000776EE"/>
    <w:rsid w:val="00077E45"/>
    <w:rsid w:val="00083732"/>
    <w:rsid w:val="00085EC5"/>
    <w:rsid w:val="00086C9B"/>
    <w:rsid w:val="00086FC1"/>
    <w:rsid w:val="0008769C"/>
    <w:rsid w:val="00090606"/>
    <w:rsid w:val="00093ED5"/>
    <w:rsid w:val="000966FE"/>
    <w:rsid w:val="000967FD"/>
    <w:rsid w:val="00097C6F"/>
    <w:rsid w:val="000A3692"/>
    <w:rsid w:val="000A3879"/>
    <w:rsid w:val="000A3B75"/>
    <w:rsid w:val="000A4BFC"/>
    <w:rsid w:val="000A6808"/>
    <w:rsid w:val="000A6F0E"/>
    <w:rsid w:val="000A6FB1"/>
    <w:rsid w:val="000B0D62"/>
    <w:rsid w:val="000B4B1B"/>
    <w:rsid w:val="000B4C1C"/>
    <w:rsid w:val="000B5A08"/>
    <w:rsid w:val="000B603D"/>
    <w:rsid w:val="000B6E81"/>
    <w:rsid w:val="000C2A49"/>
    <w:rsid w:val="000C2EB7"/>
    <w:rsid w:val="000C381E"/>
    <w:rsid w:val="000C4F74"/>
    <w:rsid w:val="000E07AC"/>
    <w:rsid w:val="000E2257"/>
    <w:rsid w:val="000E3C1C"/>
    <w:rsid w:val="000E3C49"/>
    <w:rsid w:val="000E5868"/>
    <w:rsid w:val="000F4E3C"/>
    <w:rsid w:val="000F54A4"/>
    <w:rsid w:val="000F730B"/>
    <w:rsid w:val="000F7D43"/>
    <w:rsid w:val="0010081A"/>
    <w:rsid w:val="00102240"/>
    <w:rsid w:val="001023C8"/>
    <w:rsid w:val="001069D1"/>
    <w:rsid w:val="00106B1B"/>
    <w:rsid w:val="00106E97"/>
    <w:rsid w:val="00112631"/>
    <w:rsid w:val="00113F84"/>
    <w:rsid w:val="001147FC"/>
    <w:rsid w:val="00114F69"/>
    <w:rsid w:val="001151BC"/>
    <w:rsid w:val="00115C41"/>
    <w:rsid w:val="00117295"/>
    <w:rsid w:val="00117688"/>
    <w:rsid w:val="00117ABF"/>
    <w:rsid w:val="00120280"/>
    <w:rsid w:val="001240C9"/>
    <w:rsid w:val="0012449E"/>
    <w:rsid w:val="00124618"/>
    <w:rsid w:val="001259A6"/>
    <w:rsid w:val="0012620B"/>
    <w:rsid w:val="0012669F"/>
    <w:rsid w:val="00130EBA"/>
    <w:rsid w:val="0013118F"/>
    <w:rsid w:val="00134112"/>
    <w:rsid w:val="00135973"/>
    <w:rsid w:val="00144188"/>
    <w:rsid w:val="0014445A"/>
    <w:rsid w:val="001479C5"/>
    <w:rsid w:val="00150C92"/>
    <w:rsid w:val="00151E06"/>
    <w:rsid w:val="001531A9"/>
    <w:rsid w:val="00153CE8"/>
    <w:rsid w:val="001543E7"/>
    <w:rsid w:val="00154EF5"/>
    <w:rsid w:val="001568B4"/>
    <w:rsid w:val="00160183"/>
    <w:rsid w:val="001603C1"/>
    <w:rsid w:val="001630C2"/>
    <w:rsid w:val="001653CD"/>
    <w:rsid w:val="00165DBC"/>
    <w:rsid w:val="0016678C"/>
    <w:rsid w:val="00171103"/>
    <w:rsid w:val="001718C8"/>
    <w:rsid w:val="001718F8"/>
    <w:rsid w:val="00171BE4"/>
    <w:rsid w:val="0017314A"/>
    <w:rsid w:val="001774AD"/>
    <w:rsid w:val="00177723"/>
    <w:rsid w:val="00180537"/>
    <w:rsid w:val="001805E6"/>
    <w:rsid w:val="001808A3"/>
    <w:rsid w:val="00180BEF"/>
    <w:rsid w:val="0018194D"/>
    <w:rsid w:val="0018256E"/>
    <w:rsid w:val="00182C42"/>
    <w:rsid w:val="00182E5C"/>
    <w:rsid w:val="00182F79"/>
    <w:rsid w:val="00184445"/>
    <w:rsid w:val="00184A8C"/>
    <w:rsid w:val="00185F67"/>
    <w:rsid w:val="00186F58"/>
    <w:rsid w:val="00191CF4"/>
    <w:rsid w:val="00191FEE"/>
    <w:rsid w:val="0019395E"/>
    <w:rsid w:val="0019485C"/>
    <w:rsid w:val="001953DA"/>
    <w:rsid w:val="00197C7E"/>
    <w:rsid w:val="001A0DB1"/>
    <w:rsid w:val="001A1F45"/>
    <w:rsid w:val="001A5B39"/>
    <w:rsid w:val="001A6609"/>
    <w:rsid w:val="001A6E45"/>
    <w:rsid w:val="001B0CE7"/>
    <w:rsid w:val="001B0D87"/>
    <w:rsid w:val="001B14DC"/>
    <w:rsid w:val="001B242E"/>
    <w:rsid w:val="001B3E06"/>
    <w:rsid w:val="001B44B1"/>
    <w:rsid w:val="001B4DE3"/>
    <w:rsid w:val="001B5D85"/>
    <w:rsid w:val="001C0A33"/>
    <w:rsid w:val="001C2F59"/>
    <w:rsid w:val="001C52C8"/>
    <w:rsid w:val="001C5A32"/>
    <w:rsid w:val="001C7005"/>
    <w:rsid w:val="001C760F"/>
    <w:rsid w:val="001D10DE"/>
    <w:rsid w:val="001D2020"/>
    <w:rsid w:val="001D3DD4"/>
    <w:rsid w:val="001D7025"/>
    <w:rsid w:val="001E02FB"/>
    <w:rsid w:val="001E1381"/>
    <w:rsid w:val="001E3D54"/>
    <w:rsid w:val="001E3E43"/>
    <w:rsid w:val="001E4ACA"/>
    <w:rsid w:val="001E5956"/>
    <w:rsid w:val="001F14AF"/>
    <w:rsid w:val="001F4475"/>
    <w:rsid w:val="001F4D69"/>
    <w:rsid w:val="001F5693"/>
    <w:rsid w:val="001F5E60"/>
    <w:rsid w:val="001F5ECD"/>
    <w:rsid w:val="001F7B96"/>
    <w:rsid w:val="00202AE8"/>
    <w:rsid w:val="002032F3"/>
    <w:rsid w:val="002048A2"/>
    <w:rsid w:val="00204B0C"/>
    <w:rsid w:val="0020602F"/>
    <w:rsid w:val="00207FD2"/>
    <w:rsid w:val="00214249"/>
    <w:rsid w:val="00215D1A"/>
    <w:rsid w:val="00216C75"/>
    <w:rsid w:val="00216E41"/>
    <w:rsid w:val="00221F4B"/>
    <w:rsid w:val="002241BF"/>
    <w:rsid w:val="00230124"/>
    <w:rsid w:val="002307AF"/>
    <w:rsid w:val="00234EA3"/>
    <w:rsid w:val="00235095"/>
    <w:rsid w:val="002350BF"/>
    <w:rsid w:val="00235399"/>
    <w:rsid w:val="00237684"/>
    <w:rsid w:val="00251766"/>
    <w:rsid w:val="002525EF"/>
    <w:rsid w:val="00254766"/>
    <w:rsid w:val="00254C1F"/>
    <w:rsid w:val="00260C86"/>
    <w:rsid w:val="00260E70"/>
    <w:rsid w:val="0026308B"/>
    <w:rsid w:val="002638B5"/>
    <w:rsid w:val="002640ED"/>
    <w:rsid w:val="00265B9C"/>
    <w:rsid w:val="00266607"/>
    <w:rsid w:val="00266AAC"/>
    <w:rsid w:val="00270504"/>
    <w:rsid w:val="00274022"/>
    <w:rsid w:val="00280991"/>
    <w:rsid w:val="00282565"/>
    <w:rsid w:val="00282A8A"/>
    <w:rsid w:val="00287589"/>
    <w:rsid w:val="00287BFF"/>
    <w:rsid w:val="002925B9"/>
    <w:rsid w:val="00292777"/>
    <w:rsid w:val="00292FBE"/>
    <w:rsid w:val="0029343F"/>
    <w:rsid w:val="002A4A63"/>
    <w:rsid w:val="002A6CBF"/>
    <w:rsid w:val="002B1379"/>
    <w:rsid w:val="002B2640"/>
    <w:rsid w:val="002B6AD2"/>
    <w:rsid w:val="002C129B"/>
    <w:rsid w:val="002C1FE0"/>
    <w:rsid w:val="002C799B"/>
    <w:rsid w:val="002D1AD3"/>
    <w:rsid w:val="002D4B0D"/>
    <w:rsid w:val="002D4BD4"/>
    <w:rsid w:val="002D4FC1"/>
    <w:rsid w:val="002D7CF9"/>
    <w:rsid w:val="002E02A1"/>
    <w:rsid w:val="002E1F2C"/>
    <w:rsid w:val="002E2C13"/>
    <w:rsid w:val="002E4EC6"/>
    <w:rsid w:val="002E5655"/>
    <w:rsid w:val="002E5B68"/>
    <w:rsid w:val="002E73CC"/>
    <w:rsid w:val="002F04BD"/>
    <w:rsid w:val="002F105C"/>
    <w:rsid w:val="003000E9"/>
    <w:rsid w:val="00301318"/>
    <w:rsid w:val="00301FC3"/>
    <w:rsid w:val="00304151"/>
    <w:rsid w:val="00304239"/>
    <w:rsid w:val="003047BD"/>
    <w:rsid w:val="00305784"/>
    <w:rsid w:val="00305E22"/>
    <w:rsid w:val="00305F60"/>
    <w:rsid w:val="00306846"/>
    <w:rsid w:val="00310019"/>
    <w:rsid w:val="00311A2B"/>
    <w:rsid w:val="003120B3"/>
    <w:rsid w:val="00312958"/>
    <w:rsid w:val="003162BA"/>
    <w:rsid w:val="00321BB0"/>
    <w:rsid w:val="00322905"/>
    <w:rsid w:val="00322C6D"/>
    <w:rsid w:val="003235D0"/>
    <w:rsid w:val="00324AF6"/>
    <w:rsid w:val="00326B0A"/>
    <w:rsid w:val="0032741A"/>
    <w:rsid w:val="00327DA5"/>
    <w:rsid w:val="00330114"/>
    <w:rsid w:val="00334BA9"/>
    <w:rsid w:val="0033551E"/>
    <w:rsid w:val="00336B3E"/>
    <w:rsid w:val="00337220"/>
    <w:rsid w:val="003415B0"/>
    <w:rsid w:val="00343DCF"/>
    <w:rsid w:val="00345559"/>
    <w:rsid w:val="00347524"/>
    <w:rsid w:val="00350F48"/>
    <w:rsid w:val="00352C14"/>
    <w:rsid w:val="0035516B"/>
    <w:rsid w:val="0035671A"/>
    <w:rsid w:val="00361E41"/>
    <w:rsid w:val="003622E2"/>
    <w:rsid w:val="0037112D"/>
    <w:rsid w:val="00373692"/>
    <w:rsid w:val="00375518"/>
    <w:rsid w:val="00375844"/>
    <w:rsid w:val="00377259"/>
    <w:rsid w:val="003816ED"/>
    <w:rsid w:val="00383E66"/>
    <w:rsid w:val="003843BC"/>
    <w:rsid w:val="003857E7"/>
    <w:rsid w:val="0038666B"/>
    <w:rsid w:val="003870A9"/>
    <w:rsid w:val="00387A3D"/>
    <w:rsid w:val="003916FB"/>
    <w:rsid w:val="00391F08"/>
    <w:rsid w:val="003936B2"/>
    <w:rsid w:val="00394E1D"/>
    <w:rsid w:val="00396B21"/>
    <w:rsid w:val="00397E98"/>
    <w:rsid w:val="003A2784"/>
    <w:rsid w:val="003A2924"/>
    <w:rsid w:val="003A7EDA"/>
    <w:rsid w:val="003B2CBE"/>
    <w:rsid w:val="003B3D5C"/>
    <w:rsid w:val="003B53B0"/>
    <w:rsid w:val="003C24F1"/>
    <w:rsid w:val="003C353C"/>
    <w:rsid w:val="003C4F67"/>
    <w:rsid w:val="003C7699"/>
    <w:rsid w:val="003D07A5"/>
    <w:rsid w:val="003D1047"/>
    <w:rsid w:val="003D1EC9"/>
    <w:rsid w:val="003D2553"/>
    <w:rsid w:val="003D2A7E"/>
    <w:rsid w:val="003D305C"/>
    <w:rsid w:val="003D6853"/>
    <w:rsid w:val="003D692D"/>
    <w:rsid w:val="003E0491"/>
    <w:rsid w:val="003E174D"/>
    <w:rsid w:val="003E553C"/>
    <w:rsid w:val="003E5B27"/>
    <w:rsid w:val="003F0ECF"/>
    <w:rsid w:val="003F25B5"/>
    <w:rsid w:val="003F3C3A"/>
    <w:rsid w:val="003F46A8"/>
    <w:rsid w:val="003F4F81"/>
    <w:rsid w:val="00401558"/>
    <w:rsid w:val="0040171C"/>
    <w:rsid w:val="00401812"/>
    <w:rsid w:val="00403571"/>
    <w:rsid w:val="00404287"/>
    <w:rsid w:val="00406500"/>
    <w:rsid w:val="00406EEE"/>
    <w:rsid w:val="0041111F"/>
    <w:rsid w:val="0041115C"/>
    <w:rsid w:val="004121F1"/>
    <w:rsid w:val="0041540E"/>
    <w:rsid w:val="00420C00"/>
    <w:rsid w:val="00421410"/>
    <w:rsid w:val="0042400F"/>
    <w:rsid w:val="0042492A"/>
    <w:rsid w:val="004249B0"/>
    <w:rsid w:val="00426196"/>
    <w:rsid w:val="00426F59"/>
    <w:rsid w:val="00427EFE"/>
    <w:rsid w:val="004300C4"/>
    <w:rsid w:val="0043178C"/>
    <w:rsid w:val="004323A3"/>
    <w:rsid w:val="00432506"/>
    <w:rsid w:val="004359D2"/>
    <w:rsid w:val="00436458"/>
    <w:rsid w:val="004431D5"/>
    <w:rsid w:val="0044384E"/>
    <w:rsid w:val="00443979"/>
    <w:rsid w:val="00444BAE"/>
    <w:rsid w:val="004460BE"/>
    <w:rsid w:val="00446B03"/>
    <w:rsid w:val="00450229"/>
    <w:rsid w:val="00452726"/>
    <w:rsid w:val="00454A64"/>
    <w:rsid w:val="00455417"/>
    <w:rsid w:val="00455754"/>
    <w:rsid w:val="0045595F"/>
    <w:rsid w:val="0046187F"/>
    <w:rsid w:val="004646A4"/>
    <w:rsid w:val="00465F1F"/>
    <w:rsid w:val="00472D28"/>
    <w:rsid w:val="004734DA"/>
    <w:rsid w:val="00473D96"/>
    <w:rsid w:val="00474CEE"/>
    <w:rsid w:val="004751FC"/>
    <w:rsid w:val="0047662B"/>
    <w:rsid w:val="00477254"/>
    <w:rsid w:val="004808A2"/>
    <w:rsid w:val="004819C6"/>
    <w:rsid w:val="00484319"/>
    <w:rsid w:val="00490B19"/>
    <w:rsid w:val="004931AE"/>
    <w:rsid w:val="00496689"/>
    <w:rsid w:val="0049799D"/>
    <w:rsid w:val="004A127B"/>
    <w:rsid w:val="004A1811"/>
    <w:rsid w:val="004A2655"/>
    <w:rsid w:val="004A3A09"/>
    <w:rsid w:val="004A3DD4"/>
    <w:rsid w:val="004A554D"/>
    <w:rsid w:val="004A5800"/>
    <w:rsid w:val="004B205D"/>
    <w:rsid w:val="004B277D"/>
    <w:rsid w:val="004B27F8"/>
    <w:rsid w:val="004B2F09"/>
    <w:rsid w:val="004B4E27"/>
    <w:rsid w:val="004B5299"/>
    <w:rsid w:val="004C12A7"/>
    <w:rsid w:val="004C545A"/>
    <w:rsid w:val="004C56B9"/>
    <w:rsid w:val="004C5A45"/>
    <w:rsid w:val="004D1AF1"/>
    <w:rsid w:val="004E0131"/>
    <w:rsid w:val="004E1AAE"/>
    <w:rsid w:val="004E3D31"/>
    <w:rsid w:val="004E422E"/>
    <w:rsid w:val="004E74FA"/>
    <w:rsid w:val="004F0C3E"/>
    <w:rsid w:val="004F0F78"/>
    <w:rsid w:val="004F39EB"/>
    <w:rsid w:val="004F4F89"/>
    <w:rsid w:val="004F5497"/>
    <w:rsid w:val="004F5B33"/>
    <w:rsid w:val="004F671E"/>
    <w:rsid w:val="004F7968"/>
    <w:rsid w:val="00501084"/>
    <w:rsid w:val="00501153"/>
    <w:rsid w:val="00502E09"/>
    <w:rsid w:val="0050778D"/>
    <w:rsid w:val="00507FB9"/>
    <w:rsid w:val="00510B96"/>
    <w:rsid w:val="00512D24"/>
    <w:rsid w:val="00522FE7"/>
    <w:rsid w:val="005240EC"/>
    <w:rsid w:val="00525BCB"/>
    <w:rsid w:val="00531BD4"/>
    <w:rsid w:val="00534305"/>
    <w:rsid w:val="00534AF1"/>
    <w:rsid w:val="00534F81"/>
    <w:rsid w:val="00536C14"/>
    <w:rsid w:val="00537562"/>
    <w:rsid w:val="00540D41"/>
    <w:rsid w:val="00543014"/>
    <w:rsid w:val="00543D4A"/>
    <w:rsid w:val="00544B85"/>
    <w:rsid w:val="0054746F"/>
    <w:rsid w:val="00551C77"/>
    <w:rsid w:val="00552DBB"/>
    <w:rsid w:val="0055311E"/>
    <w:rsid w:val="005538D0"/>
    <w:rsid w:val="005578B8"/>
    <w:rsid w:val="005623B8"/>
    <w:rsid w:val="00566BE8"/>
    <w:rsid w:val="005677AC"/>
    <w:rsid w:val="00570838"/>
    <w:rsid w:val="00573E60"/>
    <w:rsid w:val="00577132"/>
    <w:rsid w:val="00577210"/>
    <w:rsid w:val="0057748F"/>
    <w:rsid w:val="0058017D"/>
    <w:rsid w:val="0058026F"/>
    <w:rsid w:val="00583794"/>
    <w:rsid w:val="00584478"/>
    <w:rsid w:val="005854F7"/>
    <w:rsid w:val="00585D38"/>
    <w:rsid w:val="00586B29"/>
    <w:rsid w:val="00587B4F"/>
    <w:rsid w:val="00587C70"/>
    <w:rsid w:val="00591EAD"/>
    <w:rsid w:val="005930A9"/>
    <w:rsid w:val="00594F8D"/>
    <w:rsid w:val="005958E7"/>
    <w:rsid w:val="005A088D"/>
    <w:rsid w:val="005A08B3"/>
    <w:rsid w:val="005A383A"/>
    <w:rsid w:val="005A5944"/>
    <w:rsid w:val="005B02EA"/>
    <w:rsid w:val="005B0DA2"/>
    <w:rsid w:val="005B131F"/>
    <w:rsid w:val="005B1B2D"/>
    <w:rsid w:val="005B4A47"/>
    <w:rsid w:val="005B5191"/>
    <w:rsid w:val="005B6E60"/>
    <w:rsid w:val="005B7F72"/>
    <w:rsid w:val="005C1648"/>
    <w:rsid w:val="005C191F"/>
    <w:rsid w:val="005C4F5D"/>
    <w:rsid w:val="005C5151"/>
    <w:rsid w:val="005C6725"/>
    <w:rsid w:val="005C6B55"/>
    <w:rsid w:val="005D2B16"/>
    <w:rsid w:val="005D437E"/>
    <w:rsid w:val="005D4653"/>
    <w:rsid w:val="005D5555"/>
    <w:rsid w:val="005E057B"/>
    <w:rsid w:val="005E6163"/>
    <w:rsid w:val="005E6A9E"/>
    <w:rsid w:val="005F39FD"/>
    <w:rsid w:val="005F539A"/>
    <w:rsid w:val="005F5CD1"/>
    <w:rsid w:val="005F6D0E"/>
    <w:rsid w:val="005F784A"/>
    <w:rsid w:val="00602948"/>
    <w:rsid w:val="00603D67"/>
    <w:rsid w:val="0060484E"/>
    <w:rsid w:val="00613697"/>
    <w:rsid w:val="00614696"/>
    <w:rsid w:val="00617E2A"/>
    <w:rsid w:val="00621713"/>
    <w:rsid w:val="00623DA7"/>
    <w:rsid w:val="00625A81"/>
    <w:rsid w:val="006279F9"/>
    <w:rsid w:val="0063048B"/>
    <w:rsid w:val="00631E01"/>
    <w:rsid w:val="00632BAA"/>
    <w:rsid w:val="006332C8"/>
    <w:rsid w:val="00634AC1"/>
    <w:rsid w:val="006365FA"/>
    <w:rsid w:val="00637610"/>
    <w:rsid w:val="006379CE"/>
    <w:rsid w:val="00641862"/>
    <w:rsid w:val="00642FC0"/>
    <w:rsid w:val="00643E3D"/>
    <w:rsid w:val="00644593"/>
    <w:rsid w:val="0064510E"/>
    <w:rsid w:val="00647034"/>
    <w:rsid w:val="006504B3"/>
    <w:rsid w:val="00650E84"/>
    <w:rsid w:val="00651C92"/>
    <w:rsid w:val="00654C7C"/>
    <w:rsid w:val="00654E4E"/>
    <w:rsid w:val="006557EA"/>
    <w:rsid w:val="00655977"/>
    <w:rsid w:val="0065710D"/>
    <w:rsid w:val="00660683"/>
    <w:rsid w:val="0066071E"/>
    <w:rsid w:val="00662259"/>
    <w:rsid w:val="006622EA"/>
    <w:rsid w:val="00663513"/>
    <w:rsid w:val="006656E9"/>
    <w:rsid w:val="0066719C"/>
    <w:rsid w:val="0067255F"/>
    <w:rsid w:val="00672791"/>
    <w:rsid w:val="00673B78"/>
    <w:rsid w:val="00676B06"/>
    <w:rsid w:val="006818EB"/>
    <w:rsid w:val="00682064"/>
    <w:rsid w:val="00683F67"/>
    <w:rsid w:val="00690151"/>
    <w:rsid w:val="00691833"/>
    <w:rsid w:val="006939A7"/>
    <w:rsid w:val="006948A3"/>
    <w:rsid w:val="00695B1F"/>
    <w:rsid w:val="006A0852"/>
    <w:rsid w:val="006B0096"/>
    <w:rsid w:val="006B382A"/>
    <w:rsid w:val="006C014E"/>
    <w:rsid w:val="006C0598"/>
    <w:rsid w:val="006C1F27"/>
    <w:rsid w:val="006C33FE"/>
    <w:rsid w:val="006C4146"/>
    <w:rsid w:val="006D040B"/>
    <w:rsid w:val="006D0D68"/>
    <w:rsid w:val="006D1900"/>
    <w:rsid w:val="006D27F7"/>
    <w:rsid w:val="006D3708"/>
    <w:rsid w:val="006D4713"/>
    <w:rsid w:val="006D48C5"/>
    <w:rsid w:val="006D52FE"/>
    <w:rsid w:val="006D618C"/>
    <w:rsid w:val="006D6B70"/>
    <w:rsid w:val="006E097B"/>
    <w:rsid w:val="006E0E51"/>
    <w:rsid w:val="006E1ADB"/>
    <w:rsid w:val="006E3E82"/>
    <w:rsid w:val="006E4042"/>
    <w:rsid w:val="006E4641"/>
    <w:rsid w:val="006E4825"/>
    <w:rsid w:val="006E583A"/>
    <w:rsid w:val="006E6444"/>
    <w:rsid w:val="006F1AA9"/>
    <w:rsid w:val="006F4A66"/>
    <w:rsid w:val="006F63B5"/>
    <w:rsid w:val="00700C20"/>
    <w:rsid w:val="00700FDD"/>
    <w:rsid w:val="00701303"/>
    <w:rsid w:val="007034D0"/>
    <w:rsid w:val="00705ACE"/>
    <w:rsid w:val="007079E8"/>
    <w:rsid w:val="00710076"/>
    <w:rsid w:val="00710DFB"/>
    <w:rsid w:val="007117BA"/>
    <w:rsid w:val="007120AE"/>
    <w:rsid w:val="0071279B"/>
    <w:rsid w:val="00714CF5"/>
    <w:rsid w:val="00716EA6"/>
    <w:rsid w:val="00721904"/>
    <w:rsid w:val="00721A31"/>
    <w:rsid w:val="00721FBF"/>
    <w:rsid w:val="00730571"/>
    <w:rsid w:val="007315BC"/>
    <w:rsid w:val="00731D10"/>
    <w:rsid w:val="0073201B"/>
    <w:rsid w:val="007335D8"/>
    <w:rsid w:val="00734220"/>
    <w:rsid w:val="00735ECB"/>
    <w:rsid w:val="00741EC7"/>
    <w:rsid w:val="00742417"/>
    <w:rsid w:val="00742F45"/>
    <w:rsid w:val="007507BF"/>
    <w:rsid w:val="007508D4"/>
    <w:rsid w:val="00751252"/>
    <w:rsid w:val="00751B20"/>
    <w:rsid w:val="00751E10"/>
    <w:rsid w:val="007531B7"/>
    <w:rsid w:val="00753926"/>
    <w:rsid w:val="0075392B"/>
    <w:rsid w:val="00753DFD"/>
    <w:rsid w:val="00756548"/>
    <w:rsid w:val="007568B3"/>
    <w:rsid w:val="007603C1"/>
    <w:rsid w:val="0076088A"/>
    <w:rsid w:val="0076275F"/>
    <w:rsid w:val="0076491A"/>
    <w:rsid w:val="00770F0F"/>
    <w:rsid w:val="007744F1"/>
    <w:rsid w:val="00774993"/>
    <w:rsid w:val="00775E2E"/>
    <w:rsid w:val="00783578"/>
    <w:rsid w:val="007846EF"/>
    <w:rsid w:val="00785F38"/>
    <w:rsid w:val="00787918"/>
    <w:rsid w:val="00790801"/>
    <w:rsid w:val="007915B8"/>
    <w:rsid w:val="00791929"/>
    <w:rsid w:val="00792288"/>
    <w:rsid w:val="00792818"/>
    <w:rsid w:val="007929B8"/>
    <w:rsid w:val="00792C16"/>
    <w:rsid w:val="0079316B"/>
    <w:rsid w:val="00793E85"/>
    <w:rsid w:val="00794792"/>
    <w:rsid w:val="0079488D"/>
    <w:rsid w:val="00796C22"/>
    <w:rsid w:val="00797483"/>
    <w:rsid w:val="007977ED"/>
    <w:rsid w:val="007A2F18"/>
    <w:rsid w:val="007A45F8"/>
    <w:rsid w:val="007A4860"/>
    <w:rsid w:val="007A564A"/>
    <w:rsid w:val="007A7411"/>
    <w:rsid w:val="007A7641"/>
    <w:rsid w:val="007B06B7"/>
    <w:rsid w:val="007B2626"/>
    <w:rsid w:val="007B2EEB"/>
    <w:rsid w:val="007B3A3E"/>
    <w:rsid w:val="007C1EC5"/>
    <w:rsid w:val="007C2975"/>
    <w:rsid w:val="007C32EC"/>
    <w:rsid w:val="007C3427"/>
    <w:rsid w:val="007C42C2"/>
    <w:rsid w:val="007C50D8"/>
    <w:rsid w:val="007D17B5"/>
    <w:rsid w:val="007D27FE"/>
    <w:rsid w:val="007D2925"/>
    <w:rsid w:val="007D46FD"/>
    <w:rsid w:val="007D6430"/>
    <w:rsid w:val="007D6C60"/>
    <w:rsid w:val="007E2834"/>
    <w:rsid w:val="007F2839"/>
    <w:rsid w:val="007F2AC1"/>
    <w:rsid w:val="007F72F2"/>
    <w:rsid w:val="0080242A"/>
    <w:rsid w:val="00804710"/>
    <w:rsid w:val="00804DF0"/>
    <w:rsid w:val="008056C9"/>
    <w:rsid w:val="00805EAA"/>
    <w:rsid w:val="00806B50"/>
    <w:rsid w:val="0081300F"/>
    <w:rsid w:val="008135C4"/>
    <w:rsid w:val="0081630D"/>
    <w:rsid w:val="00816EF3"/>
    <w:rsid w:val="00817C7B"/>
    <w:rsid w:val="00820061"/>
    <w:rsid w:val="00821C46"/>
    <w:rsid w:val="00824072"/>
    <w:rsid w:val="00824212"/>
    <w:rsid w:val="00824A1A"/>
    <w:rsid w:val="00825C5C"/>
    <w:rsid w:val="00825E4B"/>
    <w:rsid w:val="00826C65"/>
    <w:rsid w:val="00830B0F"/>
    <w:rsid w:val="00836A55"/>
    <w:rsid w:val="008400D6"/>
    <w:rsid w:val="008431EF"/>
    <w:rsid w:val="0084384C"/>
    <w:rsid w:val="00843BF9"/>
    <w:rsid w:val="008462FE"/>
    <w:rsid w:val="00846F9F"/>
    <w:rsid w:val="00850689"/>
    <w:rsid w:val="00851484"/>
    <w:rsid w:val="008514DC"/>
    <w:rsid w:val="00852939"/>
    <w:rsid w:val="008529B0"/>
    <w:rsid w:val="008539BD"/>
    <w:rsid w:val="00853E96"/>
    <w:rsid w:val="0085576A"/>
    <w:rsid w:val="00855CEA"/>
    <w:rsid w:val="008560E6"/>
    <w:rsid w:val="0085671C"/>
    <w:rsid w:val="008606AC"/>
    <w:rsid w:val="00861D3A"/>
    <w:rsid w:val="008661E8"/>
    <w:rsid w:val="0087132A"/>
    <w:rsid w:val="00875FF8"/>
    <w:rsid w:val="00876A9C"/>
    <w:rsid w:val="00883E35"/>
    <w:rsid w:val="00885DB7"/>
    <w:rsid w:val="008871BB"/>
    <w:rsid w:val="00890F6D"/>
    <w:rsid w:val="0089294C"/>
    <w:rsid w:val="00895103"/>
    <w:rsid w:val="0089599E"/>
    <w:rsid w:val="00895D3A"/>
    <w:rsid w:val="00896619"/>
    <w:rsid w:val="008A2056"/>
    <w:rsid w:val="008A231F"/>
    <w:rsid w:val="008A3132"/>
    <w:rsid w:val="008A3342"/>
    <w:rsid w:val="008A5CAA"/>
    <w:rsid w:val="008B14F7"/>
    <w:rsid w:val="008B1752"/>
    <w:rsid w:val="008B383B"/>
    <w:rsid w:val="008B43C0"/>
    <w:rsid w:val="008B76BB"/>
    <w:rsid w:val="008C0FFD"/>
    <w:rsid w:val="008C1DE6"/>
    <w:rsid w:val="008C29C7"/>
    <w:rsid w:val="008C3370"/>
    <w:rsid w:val="008C49C6"/>
    <w:rsid w:val="008C50C3"/>
    <w:rsid w:val="008C5826"/>
    <w:rsid w:val="008C5AB8"/>
    <w:rsid w:val="008C68F2"/>
    <w:rsid w:val="008D194B"/>
    <w:rsid w:val="008D2B7B"/>
    <w:rsid w:val="008D7412"/>
    <w:rsid w:val="008E0E7E"/>
    <w:rsid w:val="008E1E14"/>
    <w:rsid w:val="008E302C"/>
    <w:rsid w:val="008F05E4"/>
    <w:rsid w:val="008F2BBF"/>
    <w:rsid w:val="008F3496"/>
    <w:rsid w:val="009022DF"/>
    <w:rsid w:val="0090368B"/>
    <w:rsid w:val="0091171C"/>
    <w:rsid w:val="00911FAF"/>
    <w:rsid w:val="0091363A"/>
    <w:rsid w:val="00915B84"/>
    <w:rsid w:val="00917118"/>
    <w:rsid w:val="009207BC"/>
    <w:rsid w:val="00921B69"/>
    <w:rsid w:val="00921DC2"/>
    <w:rsid w:val="0092603E"/>
    <w:rsid w:val="00927AEB"/>
    <w:rsid w:val="0093058C"/>
    <w:rsid w:val="00931946"/>
    <w:rsid w:val="00933595"/>
    <w:rsid w:val="0093420E"/>
    <w:rsid w:val="00935D93"/>
    <w:rsid w:val="009478C6"/>
    <w:rsid w:val="00950150"/>
    <w:rsid w:val="009505C4"/>
    <w:rsid w:val="00950BC7"/>
    <w:rsid w:val="00951D94"/>
    <w:rsid w:val="009575EB"/>
    <w:rsid w:val="00960201"/>
    <w:rsid w:val="00960D3B"/>
    <w:rsid w:val="00963DC1"/>
    <w:rsid w:val="0096434D"/>
    <w:rsid w:val="00964E17"/>
    <w:rsid w:val="009735DE"/>
    <w:rsid w:val="00974D60"/>
    <w:rsid w:val="00976831"/>
    <w:rsid w:val="00977B5F"/>
    <w:rsid w:val="00983558"/>
    <w:rsid w:val="00985B69"/>
    <w:rsid w:val="00987835"/>
    <w:rsid w:val="009910F4"/>
    <w:rsid w:val="009921ED"/>
    <w:rsid w:val="00993940"/>
    <w:rsid w:val="00997FC8"/>
    <w:rsid w:val="009A08FB"/>
    <w:rsid w:val="009A2F3C"/>
    <w:rsid w:val="009A4BB2"/>
    <w:rsid w:val="009A58CC"/>
    <w:rsid w:val="009A5B11"/>
    <w:rsid w:val="009B0536"/>
    <w:rsid w:val="009B0C5B"/>
    <w:rsid w:val="009B4CDF"/>
    <w:rsid w:val="009B4E4D"/>
    <w:rsid w:val="009B4EB9"/>
    <w:rsid w:val="009B6F6F"/>
    <w:rsid w:val="009C04BF"/>
    <w:rsid w:val="009C1CAC"/>
    <w:rsid w:val="009C30BF"/>
    <w:rsid w:val="009C60E3"/>
    <w:rsid w:val="009D0349"/>
    <w:rsid w:val="009D13C2"/>
    <w:rsid w:val="009D3677"/>
    <w:rsid w:val="009D3818"/>
    <w:rsid w:val="009D4CE9"/>
    <w:rsid w:val="009D5B0D"/>
    <w:rsid w:val="009D7AC1"/>
    <w:rsid w:val="009D7AF4"/>
    <w:rsid w:val="009E0444"/>
    <w:rsid w:val="009E0886"/>
    <w:rsid w:val="009E43CF"/>
    <w:rsid w:val="009E4A05"/>
    <w:rsid w:val="009E79C2"/>
    <w:rsid w:val="009F25D3"/>
    <w:rsid w:val="009F34EB"/>
    <w:rsid w:val="009F5CFB"/>
    <w:rsid w:val="009F6C97"/>
    <w:rsid w:val="009F790F"/>
    <w:rsid w:val="00A01008"/>
    <w:rsid w:val="00A0147B"/>
    <w:rsid w:val="00A027AE"/>
    <w:rsid w:val="00A065F8"/>
    <w:rsid w:val="00A06CF1"/>
    <w:rsid w:val="00A10FBA"/>
    <w:rsid w:val="00A110B2"/>
    <w:rsid w:val="00A11EF8"/>
    <w:rsid w:val="00A14410"/>
    <w:rsid w:val="00A14610"/>
    <w:rsid w:val="00A15AD3"/>
    <w:rsid w:val="00A16BC5"/>
    <w:rsid w:val="00A2217E"/>
    <w:rsid w:val="00A237D9"/>
    <w:rsid w:val="00A24BD7"/>
    <w:rsid w:val="00A27931"/>
    <w:rsid w:val="00A302D9"/>
    <w:rsid w:val="00A320B6"/>
    <w:rsid w:val="00A3239A"/>
    <w:rsid w:val="00A33673"/>
    <w:rsid w:val="00A36E82"/>
    <w:rsid w:val="00A375BF"/>
    <w:rsid w:val="00A40C6C"/>
    <w:rsid w:val="00A4194B"/>
    <w:rsid w:val="00A43264"/>
    <w:rsid w:val="00A43B32"/>
    <w:rsid w:val="00A46CEE"/>
    <w:rsid w:val="00A46DDE"/>
    <w:rsid w:val="00A50697"/>
    <w:rsid w:val="00A53124"/>
    <w:rsid w:val="00A54F0C"/>
    <w:rsid w:val="00A56EB6"/>
    <w:rsid w:val="00A60335"/>
    <w:rsid w:val="00A60FB9"/>
    <w:rsid w:val="00A620B3"/>
    <w:rsid w:val="00A6670D"/>
    <w:rsid w:val="00A66A09"/>
    <w:rsid w:val="00A70B1E"/>
    <w:rsid w:val="00A7178C"/>
    <w:rsid w:val="00A72C8F"/>
    <w:rsid w:val="00A76A14"/>
    <w:rsid w:val="00A80C09"/>
    <w:rsid w:val="00A8118E"/>
    <w:rsid w:val="00A83154"/>
    <w:rsid w:val="00A84A31"/>
    <w:rsid w:val="00A8779A"/>
    <w:rsid w:val="00A91076"/>
    <w:rsid w:val="00A91913"/>
    <w:rsid w:val="00A91AB9"/>
    <w:rsid w:val="00A92284"/>
    <w:rsid w:val="00A94D4A"/>
    <w:rsid w:val="00AA04F1"/>
    <w:rsid w:val="00AA489A"/>
    <w:rsid w:val="00AA54F8"/>
    <w:rsid w:val="00AA64E1"/>
    <w:rsid w:val="00AA783F"/>
    <w:rsid w:val="00AB0BDC"/>
    <w:rsid w:val="00AB2AAC"/>
    <w:rsid w:val="00AB4730"/>
    <w:rsid w:val="00AB6949"/>
    <w:rsid w:val="00AB74F2"/>
    <w:rsid w:val="00AC2010"/>
    <w:rsid w:val="00AC2519"/>
    <w:rsid w:val="00AC3197"/>
    <w:rsid w:val="00AC3361"/>
    <w:rsid w:val="00AC5694"/>
    <w:rsid w:val="00AC5FEF"/>
    <w:rsid w:val="00AC6598"/>
    <w:rsid w:val="00AC6A6F"/>
    <w:rsid w:val="00AC73AA"/>
    <w:rsid w:val="00AD2067"/>
    <w:rsid w:val="00AD2C58"/>
    <w:rsid w:val="00AD3BE7"/>
    <w:rsid w:val="00AD4D9F"/>
    <w:rsid w:val="00AE1E4D"/>
    <w:rsid w:val="00AE22D9"/>
    <w:rsid w:val="00AE4223"/>
    <w:rsid w:val="00AE43BE"/>
    <w:rsid w:val="00AE532B"/>
    <w:rsid w:val="00AE6A02"/>
    <w:rsid w:val="00AF063C"/>
    <w:rsid w:val="00AF2F64"/>
    <w:rsid w:val="00AF3402"/>
    <w:rsid w:val="00AF4742"/>
    <w:rsid w:val="00AF48F0"/>
    <w:rsid w:val="00AF53EA"/>
    <w:rsid w:val="00AF545F"/>
    <w:rsid w:val="00AF6127"/>
    <w:rsid w:val="00B0155A"/>
    <w:rsid w:val="00B0172A"/>
    <w:rsid w:val="00B0440B"/>
    <w:rsid w:val="00B04613"/>
    <w:rsid w:val="00B05B3F"/>
    <w:rsid w:val="00B11D91"/>
    <w:rsid w:val="00B16166"/>
    <w:rsid w:val="00B161B4"/>
    <w:rsid w:val="00B1696A"/>
    <w:rsid w:val="00B17088"/>
    <w:rsid w:val="00B17F37"/>
    <w:rsid w:val="00B20A07"/>
    <w:rsid w:val="00B20A8B"/>
    <w:rsid w:val="00B22E52"/>
    <w:rsid w:val="00B25EDA"/>
    <w:rsid w:val="00B31365"/>
    <w:rsid w:val="00B316E8"/>
    <w:rsid w:val="00B31A1A"/>
    <w:rsid w:val="00B336C3"/>
    <w:rsid w:val="00B36B0C"/>
    <w:rsid w:val="00B3746A"/>
    <w:rsid w:val="00B4053B"/>
    <w:rsid w:val="00B442F4"/>
    <w:rsid w:val="00B44742"/>
    <w:rsid w:val="00B44F91"/>
    <w:rsid w:val="00B50F52"/>
    <w:rsid w:val="00B51D90"/>
    <w:rsid w:val="00B5252D"/>
    <w:rsid w:val="00B532F9"/>
    <w:rsid w:val="00B55099"/>
    <w:rsid w:val="00B56E1D"/>
    <w:rsid w:val="00B5714E"/>
    <w:rsid w:val="00B57D6D"/>
    <w:rsid w:val="00B6079E"/>
    <w:rsid w:val="00B60BE6"/>
    <w:rsid w:val="00B621FE"/>
    <w:rsid w:val="00B665A5"/>
    <w:rsid w:val="00B72463"/>
    <w:rsid w:val="00B7324B"/>
    <w:rsid w:val="00B777B0"/>
    <w:rsid w:val="00B83515"/>
    <w:rsid w:val="00B84A1D"/>
    <w:rsid w:val="00B94BC3"/>
    <w:rsid w:val="00B94F29"/>
    <w:rsid w:val="00B95D2E"/>
    <w:rsid w:val="00B962C0"/>
    <w:rsid w:val="00B9646F"/>
    <w:rsid w:val="00B979BE"/>
    <w:rsid w:val="00BA20CA"/>
    <w:rsid w:val="00BA2236"/>
    <w:rsid w:val="00BA4C5A"/>
    <w:rsid w:val="00BA5B22"/>
    <w:rsid w:val="00BA622F"/>
    <w:rsid w:val="00BA65EE"/>
    <w:rsid w:val="00BA7290"/>
    <w:rsid w:val="00BA7A74"/>
    <w:rsid w:val="00BB1261"/>
    <w:rsid w:val="00BB20E6"/>
    <w:rsid w:val="00BB3CC5"/>
    <w:rsid w:val="00BB7EAC"/>
    <w:rsid w:val="00BB7F4A"/>
    <w:rsid w:val="00BC0193"/>
    <w:rsid w:val="00BC334E"/>
    <w:rsid w:val="00BC3A9D"/>
    <w:rsid w:val="00BC4666"/>
    <w:rsid w:val="00BC6657"/>
    <w:rsid w:val="00BD2222"/>
    <w:rsid w:val="00BD2E34"/>
    <w:rsid w:val="00BD3AFF"/>
    <w:rsid w:val="00BD4A75"/>
    <w:rsid w:val="00BD62CB"/>
    <w:rsid w:val="00BD7850"/>
    <w:rsid w:val="00BE0506"/>
    <w:rsid w:val="00BE1C24"/>
    <w:rsid w:val="00BE3412"/>
    <w:rsid w:val="00BF1346"/>
    <w:rsid w:val="00BF15C5"/>
    <w:rsid w:val="00BF2F90"/>
    <w:rsid w:val="00BF3911"/>
    <w:rsid w:val="00BF4C8D"/>
    <w:rsid w:val="00BF529C"/>
    <w:rsid w:val="00BF55BF"/>
    <w:rsid w:val="00C00D59"/>
    <w:rsid w:val="00C017AB"/>
    <w:rsid w:val="00C01FB0"/>
    <w:rsid w:val="00C04124"/>
    <w:rsid w:val="00C075DD"/>
    <w:rsid w:val="00C120C7"/>
    <w:rsid w:val="00C1246D"/>
    <w:rsid w:val="00C144B8"/>
    <w:rsid w:val="00C14F6F"/>
    <w:rsid w:val="00C22E62"/>
    <w:rsid w:val="00C22E94"/>
    <w:rsid w:val="00C23E23"/>
    <w:rsid w:val="00C24D8A"/>
    <w:rsid w:val="00C26628"/>
    <w:rsid w:val="00C306E8"/>
    <w:rsid w:val="00C30A47"/>
    <w:rsid w:val="00C351ED"/>
    <w:rsid w:val="00C377B7"/>
    <w:rsid w:val="00C4036C"/>
    <w:rsid w:val="00C4184C"/>
    <w:rsid w:val="00C420AB"/>
    <w:rsid w:val="00C4679D"/>
    <w:rsid w:val="00C47A1B"/>
    <w:rsid w:val="00C47D6C"/>
    <w:rsid w:val="00C50F5C"/>
    <w:rsid w:val="00C51494"/>
    <w:rsid w:val="00C527C0"/>
    <w:rsid w:val="00C53A26"/>
    <w:rsid w:val="00C550C5"/>
    <w:rsid w:val="00C5553D"/>
    <w:rsid w:val="00C55CB8"/>
    <w:rsid w:val="00C55CE1"/>
    <w:rsid w:val="00C56C81"/>
    <w:rsid w:val="00C5703E"/>
    <w:rsid w:val="00C57481"/>
    <w:rsid w:val="00C6146D"/>
    <w:rsid w:val="00C6330A"/>
    <w:rsid w:val="00C64441"/>
    <w:rsid w:val="00C6525A"/>
    <w:rsid w:val="00C65A85"/>
    <w:rsid w:val="00C67BAD"/>
    <w:rsid w:val="00C825B2"/>
    <w:rsid w:val="00C84205"/>
    <w:rsid w:val="00C85487"/>
    <w:rsid w:val="00C8555B"/>
    <w:rsid w:val="00C858E5"/>
    <w:rsid w:val="00C86D66"/>
    <w:rsid w:val="00C86F08"/>
    <w:rsid w:val="00C9032B"/>
    <w:rsid w:val="00C927CB"/>
    <w:rsid w:val="00C937CB"/>
    <w:rsid w:val="00C96A6D"/>
    <w:rsid w:val="00CA01F7"/>
    <w:rsid w:val="00CA7759"/>
    <w:rsid w:val="00CB1C51"/>
    <w:rsid w:val="00CB3E7F"/>
    <w:rsid w:val="00CB4F18"/>
    <w:rsid w:val="00CB604C"/>
    <w:rsid w:val="00CB729E"/>
    <w:rsid w:val="00CB747F"/>
    <w:rsid w:val="00CC0183"/>
    <w:rsid w:val="00CC2FA2"/>
    <w:rsid w:val="00CC3580"/>
    <w:rsid w:val="00CC4491"/>
    <w:rsid w:val="00CC5698"/>
    <w:rsid w:val="00CC7F4A"/>
    <w:rsid w:val="00CD1233"/>
    <w:rsid w:val="00CD4C42"/>
    <w:rsid w:val="00CD5BAD"/>
    <w:rsid w:val="00CD62A0"/>
    <w:rsid w:val="00CD62AC"/>
    <w:rsid w:val="00CE20D1"/>
    <w:rsid w:val="00CE420B"/>
    <w:rsid w:val="00CE611D"/>
    <w:rsid w:val="00CF27C0"/>
    <w:rsid w:val="00CF4E05"/>
    <w:rsid w:val="00CF6BA3"/>
    <w:rsid w:val="00CF793E"/>
    <w:rsid w:val="00CF7DA7"/>
    <w:rsid w:val="00D00495"/>
    <w:rsid w:val="00D027DD"/>
    <w:rsid w:val="00D03EE3"/>
    <w:rsid w:val="00D04979"/>
    <w:rsid w:val="00D04BE5"/>
    <w:rsid w:val="00D10A63"/>
    <w:rsid w:val="00D11A10"/>
    <w:rsid w:val="00D11DEB"/>
    <w:rsid w:val="00D139BA"/>
    <w:rsid w:val="00D17D21"/>
    <w:rsid w:val="00D21282"/>
    <w:rsid w:val="00D21728"/>
    <w:rsid w:val="00D268A1"/>
    <w:rsid w:val="00D27244"/>
    <w:rsid w:val="00D27D92"/>
    <w:rsid w:val="00D310E0"/>
    <w:rsid w:val="00D31DC2"/>
    <w:rsid w:val="00D34B32"/>
    <w:rsid w:val="00D35022"/>
    <w:rsid w:val="00D367E7"/>
    <w:rsid w:val="00D36F8E"/>
    <w:rsid w:val="00D37F1C"/>
    <w:rsid w:val="00D41812"/>
    <w:rsid w:val="00D450DC"/>
    <w:rsid w:val="00D46A3B"/>
    <w:rsid w:val="00D5289A"/>
    <w:rsid w:val="00D5411F"/>
    <w:rsid w:val="00D5510A"/>
    <w:rsid w:val="00D5532F"/>
    <w:rsid w:val="00D555CA"/>
    <w:rsid w:val="00D56901"/>
    <w:rsid w:val="00D57E95"/>
    <w:rsid w:val="00D613AD"/>
    <w:rsid w:val="00D618DE"/>
    <w:rsid w:val="00D620B7"/>
    <w:rsid w:val="00D625BA"/>
    <w:rsid w:val="00D6363B"/>
    <w:rsid w:val="00D637F6"/>
    <w:rsid w:val="00D7195F"/>
    <w:rsid w:val="00D71A08"/>
    <w:rsid w:val="00D72105"/>
    <w:rsid w:val="00D72280"/>
    <w:rsid w:val="00D7272D"/>
    <w:rsid w:val="00D765F6"/>
    <w:rsid w:val="00D778E2"/>
    <w:rsid w:val="00D80A3A"/>
    <w:rsid w:val="00D87D30"/>
    <w:rsid w:val="00D87F26"/>
    <w:rsid w:val="00D90064"/>
    <w:rsid w:val="00D929C0"/>
    <w:rsid w:val="00D938CA"/>
    <w:rsid w:val="00D95AD8"/>
    <w:rsid w:val="00D9621C"/>
    <w:rsid w:val="00DA0E87"/>
    <w:rsid w:val="00DA48F8"/>
    <w:rsid w:val="00DB0639"/>
    <w:rsid w:val="00DB0CBB"/>
    <w:rsid w:val="00DB344D"/>
    <w:rsid w:val="00DB433C"/>
    <w:rsid w:val="00DB4DB4"/>
    <w:rsid w:val="00DB541B"/>
    <w:rsid w:val="00DC04F0"/>
    <w:rsid w:val="00DC226F"/>
    <w:rsid w:val="00DC381F"/>
    <w:rsid w:val="00DC4EA2"/>
    <w:rsid w:val="00DD0499"/>
    <w:rsid w:val="00DD1BD2"/>
    <w:rsid w:val="00DD3E23"/>
    <w:rsid w:val="00DD4C45"/>
    <w:rsid w:val="00DD4C8A"/>
    <w:rsid w:val="00DE0BAD"/>
    <w:rsid w:val="00DE0BE8"/>
    <w:rsid w:val="00DE320F"/>
    <w:rsid w:val="00DE6625"/>
    <w:rsid w:val="00DE7E81"/>
    <w:rsid w:val="00DF0D2F"/>
    <w:rsid w:val="00DF12EF"/>
    <w:rsid w:val="00DF1701"/>
    <w:rsid w:val="00DF524E"/>
    <w:rsid w:val="00DF5AE8"/>
    <w:rsid w:val="00E00FA3"/>
    <w:rsid w:val="00E03E83"/>
    <w:rsid w:val="00E03EFD"/>
    <w:rsid w:val="00E07CD4"/>
    <w:rsid w:val="00E103DF"/>
    <w:rsid w:val="00E10D0C"/>
    <w:rsid w:val="00E117DB"/>
    <w:rsid w:val="00E1194D"/>
    <w:rsid w:val="00E11E04"/>
    <w:rsid w:val="00E121DB"/>
    <w:rsid w:val="00E15369"/>
    <w:rsid w:val="00E202C1"/>
    <w:rsid w:val="00E20DDA"/>
    <w:rsid w:val="00E23511"/>
    <w:rsid w:val="00E23931"/>
    <w:rsid w:val="00E23AAB"/>
    <w:rsid w:val="00E2688A"/>
    <w:rsid w:val="00E27153"/>
    <w:rsid w:val="00E319E4"/>
    <w:rsid w:val="00E36421"/>
    <w:rsid w:val="00E41F21"/>
    <w:rsid w:val="00E42531"/>
    <w:rsid w:val="00E43CB6"/>
    <w:rsid w:val="00E44CB1"/>
    <w:rsid w:val="00E5124A"/>
    <w:rsid w:val="00E516FF"/>
    <w:rsid w:val="00E539CE"/>
    <w:rsid w:val="00E55F26"/>
    <w:rsid w:val="00E60551"/>
    <w:rsid w:val="00E62103"/>
    <w:rsid w:val="00E635E3"/>
    <w:rsid w:val="00E656DB"/>
    <w:rsid w:val="00E66593"/>
    <w:rsid w:val="00E67B7C"/>
    <w:rsid w:val="00E70FA4"/>
    <w:rsid w:val="00E7116E"/>
    <w:rsid w:val="00E71B1C"/>
    <w:rsid w:val="00E71B99"/>
    <w:rsid w:val="00E756CD"/>
    <w:rsid w:val="00E76960"/>
    <w:rsid w:val="00E770A0"/>
    <w:rsid w:val="00E7719D"/>
    <w:rsid w:val="00E82558"/>
    <w:rsid w:val="00E83CF9"/>
    <w:rsid w:val="00E845C9"/>
    <w:rsid w:val="00E84C32"/>
    <w:rsid w:val="00E86A29"/>
    <w:rsid w:val="00E8794F"/>
    <w:rsid w:val="00E908EA"/>
    <w:rsid w:val="00E92645"/>
    <w:rsid w:val="00E92CE8"/>
    <w:rsid w:val="00E947F7"/>
    <w:rsid w:val="00E96CE1"/>
    <w:rsid w:val="00E9745C"/>
    <w:rsid w:val="00E97A75"/>
    <w:rsid w:val="00EA01D0"/>
    <w:rsid w:val="00EA04B9"/>
    <w:rsid w:val="00EA71B8"/>
    <w:rsid w:val="00EA7A05"/>
    <w:rsid w:val="00EB0F7C"/>
    <w:rsid w:val="00EB14A3"/>
    <w:rsid w:val="00EB2BAF"/>
    <w:rsid w:val="00EB3126"/>
    <w:rsid w:val="00EB4E2B"/>
    <w:rsid w:val="00EB5E00"/>
    <w:rsid w:val="00EB63FE"/>
    <w:rsid w:val="00EC2F04"/>
    <w:rsid w:val="00EC5781"/>
    <w:rsid w:val="00EC66FF"/>
    <w:rsid w:val="00EC7E55"/>
    <w:rsid w:val="00ED5E13"/>
    <w:rsid w:val="00EE2B25"/>
    <w:rsid w:val="00EE380E"/>
    <w:rsid w:val="00EE5740"/>
    <w:rsid w:val="00EE6847"/>
    <w:rsid w:val="00EE7545"/>
    <w:rsid w:val="00EF0B61"/>
    <w:rsid w:val="00EF240D"/>
    <w:rsid w:val="00EF4426"/>
    <w:rsid w:val="00EF5404"/>
    <w:rsid w:val="00EF5B13"/>
    <w:rsid w:val="00F00F0C"/>
    <w:rsid w:val="00F01446"/>
    <w:rsid w:val="00F01B9C"/>
    <w:rsid w:val="00F12340"/>
    <w:rsid w:val="00F140DB"/>
    <w:rsid w:val="00F14DC7"/>
    <w:rsid w:val="00F15472"/>
    <w:rsid w:val="00F164D3"/>
    <w:rsid w:val="00F205AF"/>
    <w:rsid w:val="00F2163A"/>
    <w:rsid w:val="00F25657"/>
    <w:rsid w:val="00F27774"/>
    <w:rsid w:val="00F32FD3"/>
    <w:rsid w:val="00F37A2A"/>
    <w:rsid w:val="00F4174A"/>
    <w:rsid w:val="00F4329E"/>
    <w:rsid w:val="00F43D33"/>
    <w:rsid w:val="00F443FD"/>
    <w:rsid w:val="00F51209"/>
    <w:rsid w:val="00F5321B"/>
    <w:rsid w:val="00F53809"/>
    <w:rsid w:val="00F57196"/>
    <w:rsid w:val="00F57652"/>
    <w:rsid w:val="00F60AB8"/>
    <w:rsid w:val="00F60ACF"/>
    <w:rsid w:val="00F62D06"/>
    <w:rsid w:val="00F64596"/>
    <w:rsid w:val="00F647F9"/>
    <w:rsid w:val="00F65B72"/>
    <w:rsid w:val="00F67218"/>
    <w:rsid w:val="00F72C05"/>
    <w:rsid w:val="00F7453D"/>
    <w:rsid w:val="00F7603F"/>
    <w:rsid w:val="00F77505"/>
    <w:rsid w:val="00F813C9"/>
    <w:rsid w:val="00F849AE"/>
    <w:rsid w:val="00F86D3A"/>
    <w:rsid w:val="00F93B67"/>
    <w:rsid w:val="00F94E54"/>
    <w:rsid w:val="00FA03AB"/>
    <w:rsid w:val="00FA0F55"/>
    <w:rsid w:val="00FA1122"/>
    <w:rsid w:val="00FA119B"/>
    <w:rsid w:val="00FA11B3"/>
    <w:rsid w:val="00FA1ED5"/>
    <w:rsid w:val="00FA21CC"/>
    <w:rsid w:val="00FA2920"/>
    <w:rsid w:val="00FA4B5A"/>
    <w:rsid w:val="00FA5A2D"/>
    <w:rsid w:val="00FA69B3"/>
    <w:rsid w:val="00FB24F7"/>
    <w:rsid w:val="00FB35BD"/>
    <w:rsid w:val="00FB59A1"/>
    <w:rsid w:val="00FC2A1A"/>
    <w:rsid w:val="00FC3D35"/>
    <w:rsid w:val="00FC7460"/>
    <w:rsid w:val="00FD45D3"/>
    <w:rsid w:val="00FD4E61"/>
    <w:rsid w:val="00FD7A15"/>
    <w:rsid w:val="00FE0B78"/>
    <w:rsid w:val="00FE3A01"/>
    <w:rsid w:val="00FE6590"/>
    <w:rsid w:val="00FE78F5"/>
    <w:rsid w:val="00FF02E2"/>
    <w:rsid w:val="00FF5476"/>
    <w:rsid w:val="00FF5FB3"/>
    <w:rsid w:val="00FF65B3"/>
    <w:rsid w:val="00FF7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6D6A8"/>
  <w15:chartTrackingRefBased/>
  <w15:docId w15:val="{027EC2F0-2097-4709-AA97-798B606B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2E94"/>
    <w:pPr>
      <w:spacing w:after="200" w:line="360" w:lineRule="auto"/>
      <w:ind w:firstLine="720"/>
    </w:pPr>
    <w:rPr>
      <w:rFonts w:ascii="Times New Roman" w:hAnsi="Times New Roman"/>
      <w:sz w:val="24"/>
    </w:rPr>
  </w:style>
  <w:style w:type="paragraph" w:styleId="Heading1">
    <w:name w:val="heading 1"/>
    <w:basedOn w:val="Normal"/>
    <w:next w:val="Normal"/>
    <w:link w:val="Heading1Char"/>
    <w:uiPriority w:val="1"/>
    <w:qFormat/>
    <w:rsid w:val="0084384C"/>
    <w:pPr>
      <w:keepNext/>
      <w:keepLines/>
      <w:spacing w:before="240" w:after="0"/>
      <w:ind w:firstLine="0"/>
      <w:outlineLvl w:val="0"/>
    </w:pPr>
    <w:rPr>
      <w:rFonts w:eastAsia="MS Gothic" w:cs="Times New Roman"/>
      <w:b/>
      <w:color w:val="000000"/>
      <w:szCs w:val="32"/>
    </w:rPr>
  </w:style>
  <w:style w:type="paragraph" w:styleId="Heading2">
    <w:name w:val="heading 2"/>
    <w:basedOn w:val="Normal"/>
    <w:next w:val="Normal"/>
    <w:link w:val="Heading2Char"/>
    <w:uiPriority w:val="1"/>
    <w:unhideWhenUsed/>
    <w:qFormat/>
    <w:rsid w:val="0084384C"/>
    <w:pPr>
      <w:keepNext/>
      <w:keepLines/>
      <w:spacing w:before="40" w:after="0"/>
      <w:ind w:firstLine="0"/>
      <w:outlineLvl w:val="1"/>
    </w:pPr>
    <w:rPr>
      <w:rFonts w:eastAsia="MS Gothic" w:cs="Times New Roman"/>
      <w:i/>
      <w:szCs w:val="26"/>
    </w:rPr>
  </w:style>
  <w:style w:type="paragraph" w:styleId="Heading3">
    <w:name w:val="heading 3"/>
    <w:basedOn w:val="Heading2"/>
    <w:next w:val="Normal"/>
    <w:link w:val="Heading3Char"/>
    <w:uiPriority w:val="1"/>
    <w:unhideWhenUsed/>
    <w:qFormat/>
    <w:rsid w:val="0084384C"/>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Spacing">
    <w:name w:val="EquationSpacing"/>
    <w:basedOn w:val="Normal"/>
    <w:next w:val="PostEquation"/>
    <w:qFormat/>
    <w:rsid w:val="0084384C"/>
    <w:pPr>
      <w:spacing w:after="0"/>
    </w:pPr>
    <w:rPr>
      <w:rFonts w:cs="Times New Roman"/>
    </w:rPr>
  </w:style>
  <w:style w:type="character" w:customStyle="1" w:styleId="Bold">
    <w:name w:val="Bold"/>
    <w:uiPriority w:val="1"/>
    <w:qFormat/>
    <w:rsid w:val="0084384C"/>
    <w:rPr>
      <w:b/>
    </w:rPr>
  </w:style>
  <w:style w:type="paragraph" w:customStyle="1" w:styleId="PostEquation">
    <w:name w:val="PostEquation"/>
    <w:basedOn w:val="Normal"/>
    <w:next w:val="Normal"/>
    <w:qFormat/>
    <w:rsid w:val="0084384C"/>
    <w:pPr>
      <w:ind w:firstLine="0"/>
    </w:pPr>
    <w:rPr>
      <w:rFonts w:eastAsia="Times New Roman" w:cs="Times New Roman"/>
      <w:szCs w:val="20"/>
    </w:rPr>
  </w:style>
  <w:style w:type="character" w:customStyle="1" w:styleId="StyleSuperscript">
    <w:name w:val="Style Superscript"/>
    <w:qFormat/>
    <w:rsid w:val="0084384C"/>
    <w:rPr>
      <w:vertAlign w:val="superscript"/>
    </w:rPr>
  </w:style>
  <w:style w:type="character" w:customStyle="1" w:styleId="StyleSymbolsymbol">
    <w:name w:val="Style Symbol (symbol)"/>
    <w:qFormat/>
    <w:rsid w:val="0084384C"/>
    <w:rPr>
      <w:rFonts w:ascii="Symbol" w:hAnsi="Symbol"/>
      <w:i/>
    </w:rPr>
  </w:style>
  <w:style w:type="character" w:customStyle="1" w:styleId="VariableItalic">
    <w:name w:val="Variable Italic"/>
    <w:qFormat/>
    <w:rsid w:val="0084384C"/>
    <w:rPr>
      <w:i/>
      <w:iCs/>
    </w:rPr>
  </w:style>
  <w:style w:type="character" w:customStyle="1" w:styleId="VariableItalicSubscript">
    <w:name w:val="Variable Italic Subscript"/>
    <w:qFormat/>
    <w:rsid w:val="0084384C"/>
    <w:rPr>
      <w:i/>
      <w:iCs/>
      <w:color w:val="000000"/>
      <w:vertAlign w:val="subscript"/>
    </w:rPr>
  </w:style>
  <w:style w:type="character" w:customStyle="1" w:styleId="Heading1Char">
    <w:name w:val="Heading 1 Char"/>
    <w:link w:val="Heading1"/>
    <w:uiPriority w:val="1"/>
    <w:rsid w:val="0084384C"/>
    <w:rPr>
      <w:rFonts w:ascii="Times New Roman" w:eastAsia="MS Gothic" w:hAnsi="Times New Roman" w:cs="Times New Roman"/>
      <w:b/>
      <w:color w:val="000000"/>
      <w:sz w:val="24"/>
      <w:szCs w:val="32"/>
    </w:rPr>
  </w:style>
  <w:style w:type="character" w:customStyle="1" w:styleId="Heading2Char">
    <w:name w:val="Heading 2 Char"/>
    <w:link w:val="Heading2"/>
    <w:uiPriority w:val="1"/>
    <w:rsid w:val="0084384C"/>
    <w:rPr>
      <w:rFonts w:ascii="Times New Roman" w:eastAsia="MS Gothic" w:hAnsi="Times New Roman" w:cs="Times New Roman"/>
      <w:i/>
      <w:sz w:val="24"/>
      <w:szCs w:val="26"/>
    </w:rPr>
  </w:style>
  <w:style w:type="character" w:customStyle="1" w:styleId="Heading3Char">
    <w:name w:val="Heading 3 Char"/>
    <w:link w:val="Heading3"/>
    <w:uiPriority w:val="1"/>
    <w:rsid w:val="0084384C"/>
    <w:rPr>
      <w:rFonts w:ascii="Times New Roman" w:eastAsia="MS Gothic" w:hAnsi="Times New Roman" w:cs="Times New Roman"/>
      <w:i/>
      <w:sz w:val="24"/>
      <w:szCs w:val="26"/>
    </w:rPr>
  </w:style>
  <w:style w:type="paragraph" w:customStyle="1" w:styleId="TableStyle">
    <w:name w:val="TableStyle"/>
    <w:qFormat/>
    <w:rsid w:val="0084384C"/>
    <w:pPr>
      <w:spacing w:line="240" w:lineRule="auto"/>
    </w:pPr>
    <w:rPr>
      <w:rFonts w:ascii="Times New Roman" w:hAnsi="Times New Roman"/>
      <w:sz w:val="20"/>
    </w:rPr>
  </w:style>
  <w:style w:type="table" w:styleId="TableGrid">
    <w:name w:val="Table Grid"/>
    <w:basedOn w:val="TableNormal"/>
    <w:uiPriority w:val="59"/>
    <w:rsid w:val="00BD6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2048A2"/>
    <w:pPr>
      <w:numPr>
        <w:numId w:val="3"/>
      </w:numPr>
      <w:contextualSpacing/>
    </w:pPr>
  </w:style>
  <w:style w:type="paragraph" w:styleId="Header">
    <w:name w:val="header"/>
    <w:basedOn w:val="Normal"/>
    <w:link w:val="HeaderChar"/>
    <w:uiPriority w:val="99"/>
    <w:unhideWhenUsed/>
    <w:rsid w:val="00AD2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C58"/>
    <w:rPr>
      <w:rFonts w:ascii="Times New Roman" w:hAnsi="Times New Roman"/>
      <w:sz w:val="24"/>
    </w:rPr>
  </w:style>
  <w:style w:type="paragraph" w:styleId="Footer">
    <w:name w:val="footer"/>
    <w:basedOn w:val="Normal"/>
    <w:link w:val="FooterChar"/>
    <w:uiPriority w:val="99"/>
    <w:unhideWhenUsed/>
    <w:rsid w:val="00AD2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C58"/>
    <w:rPr>
      <w:rFonts w:ascii="Times New Roman" w:hAnsi="Times New Roman"/>
      <w:sz w:val="24"/>
    </w:rPr>
  </w:style>
  <w:style w:type="character" w:styleId="Hyperlink">
    <w:name w:val="Hyperlink"/>
    <w:basedOn w:val="DefaultParagraphFont"/>
    <w:uiPriority w:val="99"/>
    <w:unhideWhenUsed/>
    <w:rsid w:val="00C017AB"/>
    <w:rPr>
      <w:color w:val="0563C1" w:themeColor="hyperlink"/>
      <w:u w:val="single"/>
    </w:rPr>
  </w:style>
  <w:style w:type="paragraph" w:styleId="NormalWeb">
    <w:name w:val="Normal (Web)"/>
    <w:basedOn w:val="Normal"/>
    <w:uiPriority w:val="99"/>
    <w:semiHidden/>
    <w:unhideWhenUsed/>
    <w:rsid w:val="002D7CF9"/>
    <w:pPr>
      <w:spacing w:before="100" w:beforeAutospacing="1" w:after="100" w:afterAutospacing="1" w:line="240" w:lineRule="auto"/>
      <w:ind w:firstLine="0"/>
    </w:pPr>
    <w:rPr>
      <w:rFonts w:eastAsia="Times New Roman" w:cs="Times New Roman"/>
      <w:szCs w:val="24"/>
    </w:rPr>
  </w:style>
  <w:style w:type="paragraph" w:styleId="TOC1">
    <w:name w:val="toc 1"/>
    <w:basedOn w:val="Normal"/>
    <w:uiPriority w:val="1"/>
    <w:qFormat/>
    <w:rsid w:val="006D0D68"/>
    <w:pPr>
      <w:widowControl w:val="0"/>
      <w:autoSpaceDE w:val="0"/>
      <w:autoSpaceDN w:val="0"/>
      <w:spacing w:before="247" w:after="0" w:line="240" w:lineRule="auto"/>
      <w:ind w:left="897" w:hanging="352"/>
    </w:pPr>
    <w:rPr>
      <w:rFonts w:eastAsia="Times New Roman" w:cs="Times New Roman"/>
      <w:b/>
      <w:bCs/>
      <w:szCs w:val="24"/>
    </w:rPr>
  </w:style>
  <w:style w:type="paragraph" w:styleId="TOC2">
    <w:name w:val="toc 2"/>
    <w:basedOn w:val="Normal"/>
    <w:uiPriority w:val="1"/>
    <w:qFormat/>
    <w:rsid w:val="006D0D68"/>
    <w:pPr>
      <w:widowControl w:val="0"/>
      <w:autoSpaceDE w:val="0"/>
      <w:autoSpaceDN w:val="0"/>
      <w:spacing w:before="13" w:after="0" w:line="240" w:lineRule="auto"/>
      <w:ind w:left="1435" w:hanging="538"/>
    </w:pPr>
    <w:rPr>
      <w:rFonts w:eastAsia="Times New Roman" w:cs="Times New Roman"/>
      <w:szCs w:val="24"/>
    </w:rPr>
  </w:style>
  <w:style w:type="paragraph" w:styleId="TOC3">
    <w:name w:val="toc 3"/>
    <w:basedOn w:val="Normal"/>
    <w:uiPriority w:val="1"/>
    <w:qFormat/>
    <w:rsid w:val="006D0D68"/>
    <w:pPr>
      <w:widowControl w:val="0"/>
      <w:autoSpaceDE w:val="0"/>
      <w:autoSpaceDN w:val="0"/>
      <w:spacing w:before="13" w:after="0" w:line="240" w:lineRule="auto"/>
      <w:ind w:left="2184" w:hanging="749"/>
    </w:pPr>
    <w:rPr>
      <w:rFonts w:eastAsia="Times New Roman" w:cs="Times New Roman"/>
      <w:szCs w:val="24"/>
    </w:rPr>
  </w:style>
  <w:style w:type="paragraph" w:styleId="BodyText">
    <w:name w:val="Body Text"/>
    <w:basedOn w:val="Normal"/>
    <w:link w:val="BodyTextChar"/>
    <w:uiPriority w:val="1"/>
    <w:qFormat/>
    <w:rsid w:val="006D0D68"/>
    <w:pPr>
      <w:widowControl w:val="0"/>
      <w:autoSpaceDE w:val="0"/>
      <w:autoSpaceDN w:val="0"/>
      <w:spacing w:after="0" w:line="240" w:lineRule="auto"/>
      <w:ind w:firstLine="0"/>
    </w:pPr>
    <w:rPr>
      <w:rFonts w:eastAsia="Times New Roman" w:cs="Times New Roman"/>
      <w:szCs w:val="24"/>
    </w:rPr>
  </w:style>
  <w:style w:type="character" w:customStyle="1" w:styleId="BodyTextChar">
    <w:name w:val="Body Text Char"/>
    <w:basedOn w:val="DefaultParagraphFont"/>
    <w:link w:val="BodyText"/>
    <w:uiPriority w:val="1"/>
    <w:rsid w:val="006D0D68"/>
    <w:rPr>
      <w:rFonts w:ascii="Times New Roman" w:eastAsia="Times New Roman" w:hAnsi="Times New Roman" w:cs="Times New Roman"/>
      <w:sz w:val="24"/>
      <w:szCs w:val="24"/>
    </w:rPr>
  </w:style>
  <w:style w:type="paragraph" w:styleId="ListParagraph">
    <w:name w:val="List Paragraph"/>
    <w:basedOn w:val="Normal"/>
    <w:uiPriority w:val="1"/>
    <w:qFormat/>
    <w:rsid w:val="006D0D68"/>
    <w:pPr>
      <w:widowControl w:val="0"/>
      <w:autoSpaceDE w:val="0"/>
      <w:autoSpaceDN w:val="0"/>
      <w:spacing w:after="0" w:line="240" w:lineRule="auto"/>
      <w:ind w:left="1027" w:hanging="482"/>
    </w:pPr>
    <w:rPr>
      <w:rFonts w:eastAsia="Times New Roman" w:cs="Times New Roman"/>
      <w:sz w:val="22"/>
    </w:rPr>
  </w:style>
  <w:style w:type="paragraph" w:customStyle="1" w:styleId="TableParagraph">
    <w:name w:val="Table Paragraph"/>
    <w:basedOn w:val="Normal"/>
    <w:uiPriority w:val="1"/>
    <w:qFormat/>
    <w:rsid w:val="006D0D68"/>
    <w:pPr>
      <w:widowControl w:val="0"/>
      <w:autoSpaceDE w:val="0"/>
      <w:autoSpaceDN w:val="0"/>
      <w:spacing w:after="0" w:line="237" w:lineRule="exact"/>
      <w:ind w:left="50" w:firstLine="0"/>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474">
      <w:bodyDiv w:val="1"/>
      <w:marLeft w:val="0"/>
      <w:marRight w:val="0"/>
      <w:marTop w:val="0"/>
      <w:marBottom w:val="0"/>
      <w:divBdr>
        <w:top w:val="none" w:sz="0" w:space="0" w:color="auto"/>
        <w:left w:val="none" w:sz="0" w:space="0" w:color="auto"/>
        <w:bottom w:val="none" w:sz="0" w:space="0" w:color="auto"/>
        <w:right w:val="none" w:sz="0" w:space="0" w:color="auto"/>
      </w:divBdr>
    </w:div>
    <w:div w:id="787357771">
      <w:bodyDiv w:val="1"/>
      <w:marLeft w:val="0"/>
      <w:marRight w:val="0"/>
      <w:marTop w:val="0"/>
      <w:marBottom w:val="0"/>
      <w:divBdr>
        <w:top w:val="none" w:sz="0" w:space="0" w:color="auto"/>
        <w:left w:val="none" w:sz="0" w:space="0" w:color="auto"/>
        <w:bottom w:val="none" w:sz="0" w:space="0" w:color="auto"/>
        <w:right w:val="none" w:sz="0" w:space="0" w:color="auto"/>
      </w:divBdr>
    </w:div>
    <w:div w:id="962468166">
      <w:bodyDiv w:val="1"/>
      <w:marLeft w:val="0"/>
      <w:marRight w:val="0"/>
      <w:marTop w:val="0"/>
      <w:marBottom w:val="0"/>
      <w:divBdr>
        <w:top w:val="none" w:sz="0" w:space="0" w:color="auto"/>
        <w:left w:val="none" w:sz="0" w:space="0" w:color="auto"/>
        <w:bottom w:val="none" w:sz="0" w:space="0" w:color="auto"/>
        <w:right w:val="none" w:sz="0" w:space="0" w:color="auto"/>
      </w:divBdr>
    </w:div>
    <w:div w:id="1008364714">
      <w:bodyDiv w:val="1"/>
      <w:marLeft w:val="0"/>
      <w:marRight w:val="0"/>
      <w:marTop w:val="0"/>
      <w:marBottom w:val="0"/>
      <w:divBdr>
        <w:top w:val="none" w:sz="0" w:space="0" w:color="auto"/>
        <w:left w:val="none" w:sz="0" w:space="0" w:color="auto"/>
        <w:bottom w:val="none" w:sz="0" w:space="0" w:color="auto"/>
        <w:right w:val="none" w:sz="0" w:space="0" w:color="auto"/>
      </w:divBdr>
    </w:div>
    <w:div w:id="1012147474">
      <w:bodyDiv w:val="1"/>
      <w:marLeft w:val="0"/>
      <w:marRight w:val="0"/>
      <w:marTop w:val="0"/>
      <w:marBottom w:val="0"/>
      <w:divBdr>
        <w:top w:val="none" w:sz="0" w:space="0" w:color="auto"/>
        <w:left w:val="none" w:sz="0" w:space="0" w:color="auto"/>
        <w:bottom w:val="none" w:sz="0" w:space="0" w:color="auto"/>
        <w:right w:val="none" w:sz="0" w:space="0" w:color="auto"/>
      </w:divBdr>
    </w:div>
    <w:div w:id="1356080760">
      <w:bodyDiv w:val="1"/>
      <w:marLeft w:val="0"/>
      <w:marRight w:val="0"/>
      <w:marTop w:val="0"/>
      <w:marBottom w:val="0"/>
      <w:divBdr>
        <w:top w:val="none" w:sz="0" w:space="0" w:color="auto"/>
        <w:left w:val="none" w:sz="0" w:space="0" w:color="auto"/>
        <w:bottom w:val="none" w:sz="0" w:space="0" w:color="auto"/>
        <w:right w:val="none" w:sz="0" w:space="0" w:color="auto"/>
      </w:divBdr>
    </w:div>
    <w:div w:id="1511994019">
      <w:bodyDiv w:val="1"/>
      <w:marLeft w:val="0"/>
      <w:marRight w:val="0"/>
      <w:marTop w:val="0"/>
      <w:marBottom w:val="0"/>
      <w:divBdr>
        <w:top w:val="none" w:sz="0" w:space="0" w:color="auto"/>
        <w:left w:val="none" w:sz="0" w:space="0" w:color="auto"/>
        <w:bottom w:val="none" w:sz="0" w:space="0" w:color="auto"/>
        <w:right w:val="none" w:sz="0" w:space="0" w:color="auto"/>
      </w:divBdr>
    </w:div>
    <w:div w:id="1593195468">
      <w:bodyDiv w:val="1"/>
      <w:marLeft w:val="0"/>
      <w:marRight w:val="0"/>
      <w:marTop w:val="0"/>
      <w:marBottom w:val="0"/>
      <w:divBdr>
        <w:top w:val="none" w:sz="0" w:space="0" w:color="auto"/>
        <w:left w:val="none" w:sz="0" w:space="0" w:color="auto"/>
        <w:bottom w:val="none" w:sz="0" w:space="0" w:color="auto"/>
        <w:right w:val="none" w:sz="0" w:space="0" w:color="auto"/>
      </w:divBdr>
    </w:div>
    <w:div w:id="1668560890">
      <w:bodyDiv w:val="1"/>
      <w:marLeft w:val="0"/>
      <w:marRight w:val="0"/>
      <w:marTop w:val="0"/>
      <w:marBottom w:val="0"/>
      <w:divBdr>
        <w:top w:val="none" w:sz="0" w:space="0" w:color="auto"/>
        <w:left w:val="none" w:sz="0" w:space="0" w:color="auto"/>
        <w:bottom w:val="none" w:sz="0" w:space="0" w:color="auto"/>
        <w:right w:val="none" w:sz="0" w:space="0" w:color="auto"/>
      </w:divBdr>
    </w:div>
    <w:div w:id="1771462337">
      <w:bodyDiv w:val="1"/>
      <w:marLeft w:val="0"/>
      <w:marRight w:val="0"/>
      <w:marTop w:val="0"/>
      <w:marBottom w:val="0"/>
      <w:divBdr>
        <w:top w:val="none" w:sz="0" w:space="0" w:color="auto"/>
        <w:left w:val="none" w:sz="0" w:space="0" w:color="auto"/>
        <w:bottom w:val="none" w:sz="0" w:space="0" w:color="auto"/>
        <w:right w:val="none" w:sz="0" w:space="0" w:color="auto"/>
      </w:divBdr>
    </w:div>
    <w:div w:id="20848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E408-87ED-4942-8492-A3EC6465B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4</Pages>
  <Words>4205</Words>
  <Characters>23970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dc:creator>
  <cp:keywords/>
  <dc:description/>
  <cp:lastModifiedBy>Nienhuis</cp:lastModifiedBy>
  <cp:revision>15</cp:revision>
  <dcterms:created xsi:type="dcterms:W3CDTF">2018-04-13T21:12:00Z</dcterms:created>
  <dcterms:modified xsi:type="dcterms:W3CDTF">2019-01-11T15:15:00Z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c32e9e74-9309-3b5a-a767-88a870cce443</vt:lpwstr>
  </property>
  <property fmtid="{D5CDD505-2E9C-101B-9397-08002B2CF9AE}" pid="4" name="Mendeley Citation Style_1">
    <vt:lpwstr>http://www.zotero.org/styles/nature</vt:lpwstr>
  </property>
  <property fmtid="{D5CDD505-2E9C-101B-9397-08002B2CF9AE}" pid="5" name="Mendeley Recent Style Id 0_1">
    <vt:lpwstr>http://csl.mendeley.com/styles/26407741/american-geophysical-union-3</vt:lpwstr>
  </property>
  <property fmtid="{D5CDD505-2E9C-101B-9397-08002B2CF9AE}" pid="6" name="Mendeley Recent Style Name 0_1">
    <vt:lpwstr>American Geophysical Union - Dr Jaap Nienhuis</vt:lpwstr>
  </property>
  <property fmtid="{D5CDD505-2E9C-101B-9397-08002B2CF9AE}" pid="7" name="Mendeley Recent Style Id 1_1">
    <vt:lpwstr>http://csl.mendeley.com/styles/26407741/american-geophysical-union</vt:lpwstr>
  </property>
  <property fmtid="{D5CDD505-2E9C-101B-9397-08002B2CF9AE}" pid="8" name="Mendeley Recent Style Name 1_1">
    <vt:lpwstr>American Geophysical Union - Jaap Nienhuis</vt:lpwstr>
  </property>
  <property fmtid="{D5CDD505-2E9C-101B-9397-08002B2CF9AE}" pid="9" name="Mendeley Recent Style Id 2_1">
    <vt:lpwstr>http://www.zotero.org/styles/american-medical-association</vt:lpwstr>
  </property>
  <property fmtid="{D5CDD505-2E9C-101B-9397-08002B2CF9AE}" pid="10" name="Mendeley Recent Style Name 2_1">
    <vt:lpwstr>American Medical Association</vt:lpwstr>
  </property>
  <property fmtid="{D5CDD505-2E9C-101B-9397-08002B2CF9AE}" pid="11" name="Mendeley Recent Style Id 3_1">
    <vt:lpwstr>http://www.zotero.org/styles/american-political-science-association</vt:lpwstr>
  </property>
  <property fmtid="{D5CDD505-2E9C-101B-9397-08002B2CF9AE}" pid="12" name="Mendeley Recent Style Name 3_1">
    <vt:lpwstr>American Political Science Association</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http://www.zotero.org/styles/american-sociological-association</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17th edition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