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C0A2F" w14:textId="53A1DAC6" w:rsidR="00DD4C43" w:rsidRPr="00053941" w:rsidRDefault="000E1D49" w:rsidP="00DD4C43">
      <w:pPr>
        <w:pStyle w:val="Heading1"/>
        <w:rPr>
          <w:lang w:val="en-US"/>
        </w:rPr>
      </w:pPr>
      <w:r>
        <w:rPr>
          <w:lang w:val="en-US"/>
        </w:rPr>
        <w:t>Run size assessment</w:t>
      </w:r>
      <w:r w:rsidR="00DD4C43">
        <w:rPr>
          <w:lang w:val="en-US"/>
        </w:rPr>
        <w:t xml:space="preserve">: </w:t>
      </w:r>
      <w:r>
        <w:rPr>
          <w:lang w:val="en-US"/>
        </w:rPr>
        <w:t xml:space="preserve">In-season </w:t>
      </w:r>
      <w:r w:rsidR="00B97210">
        <w:rPr>
          <w:lang w:val="en-US"/>
        </w:rPr>
        <w:t>time-density</w:t>
      </w:r>
      <w:r>
        <w:rPr>
          <w:lang w:val="en-US"/>
        </w:rPr>
        <w:t xml:space="preserve"> model</w:t>
      </w:r>
    </w:p>
    <w:p w14:paraId="33834C3A" w14:textId="5E6005EC" w:rsidR="00DD4C43" w:rsidRDefault="00DD4C43" w:rsidP="000603ED">
      <w:pPr>
        <w:pStyle w:val="Authorcredit"/>
        <w:spacing w:after="0"/>
      </w:pPr>
      <w:r>
        <w:t>Report Prepared by</w:t>
      </w:r>
      <w:r w:rsidR="0049371A">
        <w:t>:</w:t>
      </w:r>
      <w:r w:rsidR="0049371A" w:rsidRPr="0049371A">
        <w:t xml:space="preserve"> </w:t>
      </w:r>
      <w:r w:rsidR="00153121">
        <w:t>C.G.J. Michielsens</w:t>
      </w:r>
      <w:r w:rsidR="00E60907">
        <w:t xml:space="preserve"> </w:t>
      </w:r>
    </w:p>
    <w:p w14:paraId="4F5B7E77" w14:textId="32B00193" w:rsidR="000603ED" w:rsidRDefault="000603ED" w:rsidP="00090671">
      <w:pPr>
        <w:pStyle w:val="Authorcredit"/>
      </w:pPr>
      <w:r>
        <w:t>Last updated</w:t>
      </w:r>
      <w:r w:rsidR="002E54D9">
        <w:t>:</w:t>
      </w:r>
      <w:r>
        <w:t xml:space="preserve"> </w:t>
      </w:r>
      <w:r w:rsidR="002E54D9">
        <w:t>February</w:t>
      </w:r>
      <w:r w:rsidR="0012337E">
        <w:t xml:space="preserve"> 202</w:t>
      </w:r>
      <w:r w:rsidR="002E54D9">
        <w:t>2</w:t>
      </w:r>
    </w:p>
    <w:p w14:paraId="38F0F2FB" w14:textId="77777777" w:rsidR="00DD4C43" w:rsidRDefault="00DD4C43" w:rsidP="00DD4C43">
      <w:pPr>
        <w:pStyle w:val="Heading2"/>
        <w:spacing w:before="0"/>
        <w:rPr>
          <w:lang w:val="en-US"/>
        </w:rPr>
      </w:pPr>
      <w:r>
        <w:rPr>
          <w:lang w:val="en-US"/>
        </w:rPr>
        <w:t>Summary</w:t>
      </w:r>
    </w:p>
    <w:p w14:paraId="1EEA9F14" w14:textId="170C04F8" w:rsidR="00066619" w:rsidRDefault="00B97210" w:rsidP="00240D04">
      <w:pPr>
        <w:pStyle w:val="Summarystyle"/>
        <w:rPr>
          <w:lang w:val="en-US"/>
        </w:rPr>
      </w:pPr>
      <w:r>
        <w:rPr>
          <w:lang w:val="en-US"/>
        </w:rPr>
        <w:t xml:space="preserve">The in-season assessment of Fraser River sockeye salmon relies on the Bayesian implementation of a time-density model </w:t>
      </w:r>
      <w:r w:rsidR="00415361">
        <w:rPr>
          <w:lang w:val="en-US"/>
        </w:rPr>
        <w:t xml:space="preserve">to estimate run size and associated </w:t>
      </w:r>
      <w:r w:rsidR="00AD6616">
        <w:rPr>
          <w:lang w:val="en-US"/>
        </w:rPr>
        <w:t xml:space="preserve">run </w:t>
      </w:r>
      <w:r w:rsidR="00415361">
        <w:rPr>
          <w:lang w:val="en-US"/>
        </w:rPr>
        <w:t>timing</w:t>
      </w:r>
      <w:r>
        <w:rPr>
          <w:lang w:val="en-US"/>
        </w:rPr>
        <w:t xml:space="preserve">. This model is fit to </w:t>
      </w:r>
      <w:r w:rsidR="00415361">
        <w:rPr>
          <w:lang w:val="en-US"/>
        </w:rPr>
        <w:t xml:space="preserve">available </w:t>
      </w:r>
      <w:r w:rsidR="00ED428C">
        <w:rPr>
          <w:lang w:val="en-US"/>
        </w:rPr>
        <w:t>catch-per-unit-effort (</w:t>
      </w:r>
      <w:r w:rsidR="00E2545B">
        <w:rPr>
          <w:lang w:val="en-US"/>
        </w:rPr>
        <w:t>CPUE</w:t>
      </w:r>
      <w:r w:rsidR="00ED428C">
        <w:rPr>
          <w:lang w:val="en-US"/>
        </w:rPr>
        <w:t>)</w:t>
      </w:r>
      <w:r w:rsidR="00E2545B">
        <w:rPr>
          <w:lang w:val="en-US"/>
        </w:rPr>
        <w:t xml:space="preserve"> data from </w:t>
      </w:r>
      <w:r w:rsidR="001F4FA2">
        <w:rPr>
          <w:lang w:val="en-US"/>
        </w:rPr>
        <w:t>gill net</w:t>
      </w:r>
      <w:r w:rsidR="00415361">
        <w:rPr>
          <w:lang w:val="en-US"/>
        </w:rPr>
        <w:t xml:space="preserve"> </w:t>
      </w:r>
      <w:r w:rsidR="00E2545B">
        <w:rPr>
          <w:lang w:val="en-US"/>
        </w:rPr>
        <w:t xml:space="preserve">test fisheries </w:t>
      </w:r>
      <w:r w:rsidR="00415361">
        <w:rPr>
          <w:lang w:val="en-US"/>
        </w:rPr>
        <w:t xml:space="preserve">in </w:t>
      </w:r>
      <w:r w:rsidR="002A5A07">
        <w:rPr>
          <w:lang w:val="en-US"/>
        </w:rPr>
        <w:t>statistical fishing A</w:t>
      </w:r>
      <w:r w:rsidR="00415361">
        <w:rPr>
          <w:lang w:val="en-US"/>
        </w:rPr>
        <w:t xml:space="preserve">reas 12 and 20, purse seine data in </w:t>
      </w:r>
      <w:r w:rsidR="002A5A07">
        <w:rPr>
          <w:lang w:val="en-US"/>
        </w:rPr>
        <w:t>A</w:t>
      </w:r>
      <w:r w:rsidR="00415361">
        <w:rPr>
          <w:lang w:val="en-US"/>
        </w:rPr>
        <w:t>reas 12, 13 and 20</w:t>
      </w:r>
      <w:r w:rsidR="00D531C3">
        <w:rPr>
          <w:lang w:val="en-US"/>
        </w:rPr>
        <w:t xml:space="preserve"> (Chapter B2)</w:t>
      </w:r>
      <w:r w:rsidR="002A5A07">
        <w:rPr>
          <w:lang w:val="en-US"/>
        </w:rPr>
        <w:t>,</w:t>
      </w:r>
      <w:r w:rsidR="00415361">
        <w:rPr>
          <w:lang w:val="en-US"/>
        </w:rPr>
        <w:t xml:space="preserve"> and r</w:t>
      </w:r>
      <w:r w:rsidR="00E2545B">
        <w:rPr>
          <w:lang w:val="en-US"/>
        </w:rPr>
        <w:t xml:space="preserve">econstructed daily abundance estimates </w:t>
      </w:r>
      <w:r w:rsidR="00415361">
        <w:rPr>
          <w:lang w:val="en-US"/>
        </w:rPr>
        <w:t>derived from</w:t>
      </w:r>
      <w:r w:rsidR="00E2545B">
        <w:rPr>
          <w:lang w:val="en-US"/>
        </w:rPr>
        <w:t xml:space="preserve"> hydroacou</w:t>
      </w:r>
      <w:r w:rsidR="00AD6616">
        <w:rPr>
          <w:lang w:val="en-US"/>
        </w:rPr>
        <w:t>s</w:t>
      </w:r>
      <w:r w:rsidR="00E2545B">
        <w:rPr>
          <w:lang w:val="en-US"/>
        </w:rPr>
        <w:t>tic data</w:t>
      </w:r>
      <w:r w:rsidR="00415361">
        <w:rPr>
          <w:lang w:val="en-US"/>
        </w:rPr>
        <w:t xml:space="preserve"> collected at Mission</w:t>
      </w:r>
      <w:r w:rsidR="00E2545B">
        <w:rPr>
          <w:lang w:val="en-US"/>
        </w:rPr>
        <w:t xml:space="preserve"> </w:t>
      </w:r>
      <w:r w:rsidR="00D531C3">
        <w:rPr>
          <w:lang w:val="en-US"/>
        </w:rPr>
        <w:t xml:space="preserve">(Chapter B10) </w:t>
      </w:r>
      <w:r w:rsidR="00E2545B">
        <w:rPr>
          <w:lang w:val="en-US"/>
        </w:rPr>
        <w:t>and seaward catches. Th</w:t>
      </w:r>
      <w:r w:rsidR="002A5A07">
        <w:rPr>
          <w:lang w:val="en-US"/>
        </w:rPr>
        <w:t xml:space="preserve">e </w:t>
      </w:r>
      <w:r w:rsidR="00E2545B">
        <w:rPr>
          <w:lang w:val="en-US"/>
        </w:rPr>
        <w:t xml:space="preserve">model relies on </w:t>
      </w:r>
      <w:r w:rsidR="00500930">
        <w:rPr>
          <w:lang w:val="en-US"/>
        </w:rPr>
        <w:t xml:space="preserve">prior probability distributions of run size, timing, </w:t>
      </w:r>
      <w:r w:rsidR="002A5A07">
        <w:rPr>
          <w:lang w:val="en-US"/>
        </w:rPr>
        <w:t xml:space="preserve">standard deviation (or spread), </w:t>
      </w:r>
      <w:r w:rsidR="00500930">
        <w:rPr>
          <w:lang w:val="en-US"/>
        </w:rPr>
        <w:t>diversion rate</w:t>
      </w:r>
      <w:r w:rsidR="002A5A07">
        <w:rPr>
          <w:lang w:val="en-US"/>
        </w:rPr>
        <w:t>, and test fishery catchability</w:t>
      </w:r>
      <w:r w:rsidR="00500930">
        <w:rPr>
          <w:lang w:val="en-US"/>
        </w:rPr>
        <w:t xml:space="preserve"> based on pre</w:t>
      </w:r>
      <w:r w:rsidR="002A5A07">
        <w:rPr>
          <w:lang w:val="en-US"/>
        </w:rPr>
        <w:t>-</w:t>
      </w:r>
      <w:r w:rsidR="00500930">
        <w:rPr>
          <w:lang w:val="en-US"/>
        </w:rPr>
        <w:t>season forecasts</w:t>
      </w:r>
      <w:r w:rsidR="002A5A07">
        <w:rPr>
          <w:lang w:val="en-US"/>
        </w:rPr>
        <w:t xml:space="preserve"> or historical observations</w:t>
      </w:r>
      <w:r w:rsidR="00ED428C">
        <w:rPr>
          <w:lang w:val="en-US"/>
        </w:rPr>
        <w:t xml:space="preserve"> (</w:t>
      </w:r>
      <w:r w:rsidR="00D531C3">
        <w:rPr>
          <w:lang w:val="en-US"/>
        </w:rPr>
        <w:t>Chapters A1 and A2</w:t>
      </w:r>
      <w:r w:rsidR="00ED428C">
        <w:t>)</w:t>
      </w:r>
      <w:r w:rsidR="00415361">
        <w:rPr>
          <w:lang w:val="en-US"/>
        </w:rPr>
        <w:t xml:space="preserve">. </w:t>
      </w:r>
      <w:r w:rsidR="002A5A07">
        <w:rPr>
          <w:lang w:val="en-US"/>
        </w:rPr>
        <w:t>Updated posterior distributions are produced by the model for timin</w:t>
      </w:r>
      <w:r w:rsidR="001B7C47">
        <w:rPr>
          <w:lang w:val="en-US"/>
        </w:rPr>
        <w:t>g,</w:t>
      </w:r>
      <w:r w:rsidR="002A5A07">
        <w:rPr>
          <w:lang w:val="en-US"/>
        </w:rPr>
        <w:t xml:space="preserve"> abundance,</w:t>
      </w:r>
      <w:r w:rsidR="001B7C47">
        <w:rPr>
          <w:lang w:val="en-US"/>
        </w:rPr>
        <w:t xml:space="preserve"> diversion,</w:t>
      </w:r>
      <w:r w:rsidR="002A5A07">
        <w:rPr>
          <w:lang w:val="en-US"/>
        </w:rPr>
        <w:t xml:space="preserve"> and sometimes spread, but </w:t>
      </w:r>
      <w:r w:rsidR="00415361">
        <w:rPr>
          <w:lang w:val="en-US"/>
        </w:rPr>
        <w:t xml:space="preserve">the </w:t>
      </w:r>
      <w:r w:rsidR="002A5A07">
        <w:rPr>
          <w:lang w:val="en-US"/>
        </w:rPr>
        <w:t xml:space="preserve">catchability </w:t>
      </w:r>
      <w:r w:rsidR="00415361">
        <w:rPr>
          <w:lang w:val="en-US"/>
        </w:rPr>
        <w:t xml:space="preserve">priors </w:t>
      </w:r>
      <w:r w:rsidR="002A5A07">
        <w:rPr>
          <w:lang w:val="en-US"/>
        </w:rPr>
        <w:t>are not updated.</w:t>
      </w:r>
      <w:r w:rsidR="00415361">
        <w:rPr>
          <w:lang w:val="en-US"/>
        </w:rPr>
        <w:t xml:space="preserve"> </w:t>
      </w:r>
      <w:r w:rsidR="002D5CD1">
        <w:rPr>
          <w:lang w:val="en-US"/>
        </w:rPr>
        <w:t>Instead,</w:t>
      </w:r>
      <w:r w:rsidR="00415361">
        <w:rPr>
          <w:lang w:val="en-US"/>
        </w:rPr>
        <w:t xml:space="preserve"> the daily catchabilities are assumed to be fixed but uncertain inputs</w:t>
      </w:r>
      <w:r w:rsidR="00CB4C90">
        <w:rPr>
          <w:lang w:val="en-US"/>
        </w:rPr>
        <w:t>, based initially on</w:t>
      </w:r>
      <w:r w:rsidR="002D5CD1">
        <w:rPr>
          <w:lang w:val="en-US"/>
        </w:rPr>
        <w:t xml:space="preserve"> historical estimates</w:t>
      </w:r>
      <w:r w:rsidR="002A5A07">
        <w:rPr>
          <w:lang w:val="en-US"/>
        </w:rPr>
        <w:t>,</w:t>
      </w:r>
      <w:r w:rsidR="002D5CD1">
        <w:rPr>
          <w:lang w:val="en-US"/>
        </w:rPr>
        <w:t xml:space="preserve"> </w:t>
      </w:r>
      <w:r w:rsidR="00CB4C90">
        <w:rPr>
          <w:lang w:val="en-US"/>
        </w:rPr>
        <w:t>and</w:t>
      </w:r>
      <w:r w:rsidR="002A5A07">
        <w:rPr>
          <w:lang w:val="en-US"/>
        </w:rPr>
        <w:t xml:space="preserve"> </w:t>
      </w:r>
      <w:r w:rsidR="001B7C47">
        <w:rPr>
          <w:lang w:val="en-US"/>
        </w:rPr>
        <w:t xml:space="preserve">later </w:t>
      </w:r>
      <w:r w:rsidR="00CB4C90">
        <w:rPr>
          <w:lang w:val="en-US"/>
        </w:rPr>
        <w:t>on</w:t>
      </w:r>
      <w:r w:rsidR="002D5CD1">
        <w:rPr>
          <w:lang w:val="en-US"/>
        </w:rPr>
        <w:t xml:space="preserve"> in-season observations</w:t>
      </w:r>
      <w:r w:rsidR="00AD6616">
        <w:rPr>
          <w:lang w:val="en-US"/>
        </w:rPr>
        <w:t xml:space="preserve"> as they become available</w:t>
      </w:r>
      <w:r w:rsidR="002D5CD1">
        <w:rPr>
          <w:lang w:val="en-US"/>
        </w:rPr>
        <w:t xml:space="preserve"> (</w:t>
      </w:r>
      <w:r w:rsidR="00D531C3">
        <w:rPr>
          <w:lang w:val="en-US"/>
        </w:rPr>
        <w:t>Chapter B4</w:t>
      </w:r>
      <w:r w:rsidR="002D5CD1">
        <w:rPr>
          <w:lang w:val="en-US"/>
        </w:rPr>
        <w:t>).</w:t>
      </w:r>
      <w:r w:rsidR="00C9254B">
        <w:rPr>
          <w:lang w:val="en-US"/>
        </w:rPr>
        <w:t xml:space="preserve"> </w:t>
      </w:r>
      <w:r w:rsidR="00AD6616">
        <w:rPr>
          <w:lang w:val="en-US"/>
        </w:rPr>
        <w:t>E</w:t>
      </w:r>
      <w:r w:rsidR="00113BC1">
        <w:rPr>
          <w:lang w:val="en-US"/>
        </w:rPr>
        <w:t xml:space="preserve">arly in-season, the model </w:t>
      </w:r>
      <w:r w:rsidR="00066619">
        <w:rPr>
          <w:lang w:val="en-US"/>
        </w:rPr>
        <w:t>tends to</w:t>
      </w:r>
      <w:r w:rsidR="00113BC1">
        <w:rPr>
          <w:lang w:val="en-US"/>
        </w:rPr>
        <w:t xml:space="preserve"> underestimate the </w:t>
      </w:r>
      <w:r w:rsidR="00066619">
        <w:rPr>
          <w:lang w:val="en-US"/>
        </w:rPr>
        <w:t>number of days for the salmon to pass through marine areas</w:t>
      </w:r>
      <w:r w:rsidR="00113BC1">
        <w:rPr>
          <w:lang w:val="en-US"/>
        </w:rPr>
        <w:t xml:space="preserve">, </w:t>
      </w:r>
      <w:r w:rsidR="00AD6616">
        <w:rPr>
          <w:lang w:val="en-US"/>
        </w:rPr>
        <w:t xml:space="preserve">and therefore </w:t>
      </w:r>
      <w:r w:rsidR="00113BC1">
        <w:rPr>
          <w:lang w:val="en-US"/>
        </w:rPr>
        <w:t>th</w:t>
      </w:r>
      <w:r w:rsidR="007E33C8">
        <w:rPr>
          <w:lang w:val="en-US"/>
        </w:rPr>
        <w:t xml:space="preserve">e standard deviation of the migration </w:t>
      </w:r>
      <w:r w:rsidR="0068478D">
        <w:rPr>
          <w:lang w:val="en-US"/>
        </w:rPr>
        <w:t xml:space="preserve">(spread) </w:t>
      </w:r>
      <w:r w:rsidR="00113BC1">
        <w:rPr>
          <w:lang w:val="en-US"/>
        </w:rPr>
        <w:t xml:space="preserve">is </w:t>
      </w:r>
      <w:r w:rsidR="001B7C47">
        <w:rPr>
          <w:lang w:val="en-US"/>
        </w:rPr>
        <w:t xml:space="preserve">also </w:t>
      </w:r>
      <w:r w:rsidR="00113BC1">
        <w:rPr>
          <w:lang w:val="en-US"/>
        </w:rPr>
        <w:t>considered a fixed but uncertain</w:t>
      </w:r>
      <w:r w:rsidR="007E33C8">
        <w:rPr>
          <w:lang w:val="en-US"/>
        </w:rPr>
        <w:t xml:space="preserve"> parameter</w:t>
      </w:r>
      <w:r w:rsidR="00113BC1">
        <w:rPr>
          <w:lang w:val="en-US"/>
        </w:rPr>
        <w:t xml:space="preserve">. </w:t>
      </w:r>
      <w:r w:rsidR="001B7C47">
        <w:rPr>
          <w:lang w:val="en-US"/>
        </w:rPr>
        <w:t xml:space="preserve">If necessary, this assumption can be relaxed after the peak of the run has been observed. </w:t>
      </w:r>
      <w:r w:rsidR="00113BC1">
        <w:rPr>
          <w:lang w:val="en-US"/>
        </w:rPr>
        <w:t xml:space="preserve">The model is applied </w:t>
      </w:r>
      <w:r w:rsidR="00CB4C90">
        <w:rPr>
          <w:lang w:val="en-US"/>
        </w:rPr>
        <w:t xml:space="preserve">to </w:t>
      </w:r>
      <w:r w:rsidR="001B7C47">
        <w:rPr>
          <w:lang w:val="en-US"/>
        </w:rPr>
        <w:t>stock aggregates</w:t>
      </w:r>
      <w:r w:rsidR="00CB4C90">
        <w:rPr>
          <w:lang w:val="en-US"/>
        </w:rPr>
        <w:t xml:space="preserve"> </w:t>
      </w:r>
      <w:r w:rsidR="001B7C47">
        <w:rPr>
          <w:lang w:val="en-US"/>
        </w:rPr>
        <w:t>which share</w:t>
      </w:r>
      <w:r w:rsidR="00066619">
        <w:rPr>
          <w:lang w:val="en-US"/>
        </w:rPr>
        <w:t xml:space="preserve"> similar migration timing</w:t>
      </w:r>
      <w:r w:rsidR="001B7C47">
        <w:rPr>
          <w:lang w:val="en-US"/>
        </w:rPr>
        <w:t xml:space="preserve"> and fall within the same management groups</w:t>
      </w:r>
      <w:r w:rsidR="00113BC1">
        <w:rPr>
          <w:lang w:val="en-US"/>
        </w:rPr>
        <w:t>.</w:t>
      </w:r>
      <w:r w:rsidR="00066619">
        <w:rPr>
          <w:lang w:val="en-US"/>
        </w:rPr>
        <w:t xml:space="preserve"> For stocks that delay their upstream migration, only marine CPUE are used to assess the run, resulting in larger run size uncertainty</w:t>
      </w:r>
      <w:r w:rsidR="00CB4C90">
        <w:rPr>
          <w:lang w:val="en-US"/>
        </w:rPr>
        <w:t xml:space="preserve"> in comparison to stocks that also rely on marine reconstructed data</w:t>
      </w:r>
      <w:r w:rsidR="00066619">
        <w:rPr>
          <w:lang w:val="en-US"/>
        </w:rPr>
        <w:t>.</w:t>
      </w:r>
    </w:p>
    <w:p w14:paraId="10FF1E15" w14:textId="6EEBBEF6" w:rsidR="000E1752" w:rsidRPr="009347E1" w:rsidRDefault="002F3F7E" w:rsidP="00DD4C43">
      <w:pPr>
        <w:pStyle w:val="Heading2"/>
        <w:rPr>
          <w:lang w:val="en-US"/>
        </w:rPr>
      </w:pPr>
      <w:r w:rsidRPr="009347E1">
        <w:rPr>
          <w:lang w:val="en-US"/>
        </w:rPr>
        <w:t>Introduction</w:t>
      </w:r>
    </w:p>
    <w:p w14:paraId="40C17DED" w14:textId="5D9C0127" w:rsidR="001B7C47" w:rsidRDefault="002E54D9" w:rsidP="0046741B">
      <w:pPr>
        <w:pStyle w:val="Body"/>
        <w:rPr>
          <w:lang w:val="en-US"/>
        </w:rPr>
      </w:pPr>
      <w:r w:rsidRPr="002E54D9">
        <w:rPr>
          <w:lang w:val="en-US"/>
        </w:rPr>
        <w:t>The Fraser River Panel is responsible for the in-season management of Fraser River sockeye stocks, as stipulated by the Pacific Salmon Treaty between Canada and the United States (</w:t>
      </w:r>
      <w:r w:rsidR="00895400">
        <w:rPr>
          <w:lang w:val="en-US"/>
        </w:rPr>
        <w:t>PSC in-season</w:t>
      </w:r>
      <w:r w:rsidRPr="002E54D9">
        <w:rPr>
          <w:lang w:val="en-US"/>
        </w:rPr>
        <w:t xml:space="preserve">). </w:t>
      </w:r>
      <w:r w:rsidR="00FF7AE7">
        <w:t>U</w:t>
      </w:r>
      <w:r w:rsidR="00895400">
        <w:t xml:space="preserve">nder the terms of the Treaty, Commission staff are responsible for providing the Panel and Technical Committee with in-season updates of run size. Historically, two different methods had been relied upon for the in-season assessment of salmon stocks: </w:t>
      </w:r>
      <w:r w:rsidRPr="002E54D9">
        <w:rPr>
          <w:lang w:val="en-US"/>
        </w:rPr>
        <w:t>regression models relating indicators of abundance (or cumulative abundance) on a given date with total run-size estimates obtained post-season (Fried and Hilborn 1988, Ryall 1998) and time-density (or cumulative time-density) models that estimate the proportion of the migration on a given date (Walters and Buckingham 1975, PSC 1995, Springborn et al. 1998). These time-density models rely on the date of peak abundance as well as the shape of the daily abundance</w:t>
      </w:r>
      <w:r w:rsidR="00F86E09">
        <w:rPr>
          <w:lang w:val="en-US"/>
        </w:rPr>
        <w:t xml:space="preserve"> profile</w:t>
      </w:r>
      <w:r w:rsidRPr="002E54D9">
        <w:rPr>
          <w:lang w:val="en-US"/>
        </w:rPr>
        <w:t xml:space="preserve"> over time. They can be fit to abundance indices such as </w:t>
      </w:r>
      <w:r w:rsidR="00FF7AE7">
        <w:rPr>
          <w:lang w:val="en-US"/>
        </w:rPr>
        <w:t>catch-per-unit-effort (</w:t>
      </w:r>
      <w:r w:rsidRPr="002E54D9">
        <w:rPr>
          <w:lang w:val="en-US"/>
        </w:rPr>
        <w:t>CPUE</w:t>
      </w:r>
      <w:r w:rsidR="00FF7AE7">
        <w:rPr>
          <w:lang w:val="en-US"/>
        </w:rPr>
        <w:t>)</w:t>
      </w:r>
      <w:r w:rsidRPr="002E54D9">
        <w:rPr>
          <w:lang w:val="en-US"/>
        </w:rPr>
        <w:t xml:space="preserve"> data from commercial or test fisheries</w:t>
      </w:r>
      <w:r w:rsidR="001B7C47">
        <w:rPr>
          <w:lang w:val="en-US"/>
        </w:rPr>
        <w:t>,</w:t>
      </w:r>
      <w:r w:rsidRPr="002E54D9">
        <w:rPr>
          <w:lang w:val="en-US"/>
        </w:rPr>
        <w:t xml:space="preserve"> as well as absolute estimates of abundance reconstructed from catch and real-time escapement data. </w:t>
      </w:r>
    </w:p>
    <w:p w14:paraId="0A020FA2" w14:textId="336F2844" w:rsidR="00667C51" w:rsidRPr="00895400" w:rsidRDefault="001B7C47" w:rsidP="0046741B">
      <w:pPr>
        <w:pStyle w:val="Body"/>
        <w:rPr>
          <w:lang w:val="en-US"/>
        </w:rPr>
      </w:pPr>
      <w:r>
        <w:rPr>
          <w:lang w:val="en-US"/>
        </w:rPr>
        <w:t xml:space="preserve">While </w:t>
      </w:r>
      <w:r w:rsidR="002E54D9" w:rsidRPr="002E54D9">
        <w:rPr>
          <w:lang w:val="en-US"/>
        </w:rPr>
        <w:t xml:space="preserve">time-density models </w:t>
      </w:r>
      <w:r w:rsidR="00FB7F99">
        <w:rPr>
          <w:lang w:val="en-US"/>
        </w:rPr>
        <w:t>have the advantage</w:t>
      </w:r>
      <w:r w:rsidR="002E54D9" w:rsidRPr="002E54D9">
        <w:rPr>
          <w:lang w:val="en-US"/>
        </w:rPr>
        <w:t xml:space="preserve"> that the timing of the migration </w:t>
      </w:r>
      <w:r w:rsidR="00FB7F99">
        <w:rPr>
          <w:lang w:val="en-US"/>
        </w:rPr>
        <w:t>is</w:t>
      </w:r>
      <w:r w:rsidR="002E54D9" w:rsidRPr="002E54D9">
        <w:rPr>
          <w:lang w:val="en-US"/>
        </w:rPr>
        <w:t xml:space="preserve"> an estimated model parameter compared to a fixed input as is the case for alternative in-season assessment models that rely on regression analyses using catch or </w:t>
      </w:r>
      <w:r w:rsidR="00FF7AE7">
        <w:rPr>
          <w:lang w:val="en-US"/>
        </w:rPr>
        <w:t>CPUE</w:t>
      </w:r>
      <w:r w:rsidR="002E54D9" w:rsidRPr="002E54D9">
        <w:rPr>
          <w:lang w:val="en-US"/>
        </w:rPr>
        <w:t xml:space="preserve"> (PSC 1995; Ryall 1998)</w:t>
      </w:r>
      <w:r>
        <w:rPr>
          <w:lang w:val="en-US"/>
        </w:rPr>
        <w:t>, the simultaneous estimation of timing and run size can also pose some challenges.</w:t>
      </w:r>
      <w:r w:rsidR="002E54D9" w:rsidRPr="002E54D9">
        <w:rPr>
          <w:lang w:val="en-US"/>
        </w:rPr>
        <w:t xml:space="preserve"> </w:t>
      </w:r>
      <w:r>
        <w:rPr>
          <w:lang w:val="en-US"/>
        </w:rPr>
        <w:t>T</w:t>
      </w:r>
      <w:r w:rsidR="002E54D9" w:rsidRPr="002E54D9">
        <w:rPr>
          <w:lang w:val="en-US"/>
        </w:rPr>
        <w:t xml:space="preserve">he peak </w:t>
      </w:r>
      <w:r>
        <w:rPr>
          <w:lang w:val="en-US"/>
        </w:rPr>
        <w:t>of the run</w:t>
      </w:r>
      <w:r w:rsidR="002E54D9" w:rsidRPr="002E54D9">
        <w:rPr>
          <w:lang w:val="en-US"/>
        </w:rPr>
        <w:t xml:space="preserve"> can only be confirmed once more than 50% of the migration has </w:t>
      </w:r>
      <w:r w:rsidR="00FF7AE7">
        <w:rPr>
          <w:lang w:val="en-US"/>
        </w:rPr>
        <w:t>been observed</w:t>
      </w:r>
      <w:r w:rsidR="002E54D9" w:rsidRPr="002E54D9">
        <w:rPr>
          <w:lang w:val="en-US"/>
        </w:rPr>
        <w:t xml:space="preserve">. Consequently, prior to the peak, runs that are small </w:t>
      </w:r>
      <w:r w:rsidR="002E54D9" w:rsidRPr="002E54D9">
        <w:rPr>
          <w:lang w:val="en-US"/>
        </w:rPr>
        <w:lastRenderedPageBreak/>
        <w:t xml:space="preserve">and early or late and large may be indistinguishable (Adkison and Cunningham 2015). The integration of all available sources of data and information within the assessments is therefore important to ensure timely in-season management decisions. Bayesian methods offer an ideal platform for such analyses while also accounting for the uncertainty in the resulting estimates (Fried and Hilborn 1988; Hyun et al. 2005). </w:t>
      </w:r>
      <w:r w:rsidR="002E54D9">
        <w:rPr>
          <w:lang w:val="en-US"/>
        </w:rPr>
        <w:t>T</w:t>
      </w:r>
      <w:r w:rsidR="002E54D9" w:rsidRPr="002E54D9">
        <w:rPr>
          <w:lang w:val="en-US"/>
        </w:rPr>
        <w:t>his</w:t>
      </w:r>
      <w:r w:rsidR="002E54D9">
        <w:rPr>
          <w:lang w:val="en-US"/>
        </w:rPr>
        <w:t xml:space="preserve"> document </w:t>
      </w:r>
      <w:r w:rsidR="002E54D9" w:rsidRPr="002E54D9">
        <w:rPr>
          <w:lang w:val="en-US"/>
        </w:rPr>
        <w:t>describe</w:t>
      </w:r>
      <w:r w:rsidR="002E54D9">
        <w:rPr>
          <w:lang w:val="en-US"/>
        </w:rPr>
        <w:t>s</w:t>
      </w:r>
      <w:r w:rsidR="002E54D9" w:rsidRPr="002E54D9">
        <w:rPr>
          <w:lang w:val="en-US"/>
        </w:rPr>
        <w:t xml:space="preserve"> a general time-density model developed in a Bayesian framework </w:t>
      </w:r>
      <w:r w:rsidR="005B6E7F">
        <w:rPr>
          <w:lang w:val="en-US"/>
        </w:rPr>
        <w:t>for the</w:t>
      </w:r>
      <w:r w:rsidR="002E54D9" w:rsidRPr="002E54D9">
        <w:rPr>
          <w:lang w:val="en-US"/>
        </w:rPr>
        <w:t xml:space="preserve"> in-season assessment of run size and timing for </w:t>
      </w:r>
      <w:r w:rsidR="002E54D9">
        <w:rPr>
          <w:lang w:val="en-US"/>
        </w:rPr>
        <w:t>Fraser River sockeye salmon</w:t>
      </w:r>
      <w:r w:rsidR="002E54D9" w:rsidRPr="002E54D9">
        <w:rPr>
          <w:lang w:val="en-US"/>
        </w:rPr>
        <w:t>.</w:t>
      </w:r>
    </w:p>
    <w:p w14:paraId="54FD348B" w14:textId="2B00000B" w:rsidR="002E54D9" w:rsidRDefault="002E54D9" w:rsidP="004462FA">
      <w:pPr>
        <w:pStyle w:val="Heading2"/>
        <w:rPr>
          <w:lang w:val="en-US"/>
        </w:rPr>
      </w:pPr>
      <w:r>
        <w:rPr>
          <w:lang w:val="en-US"/>
        </w:rPr>
        <w:t>Data</w:t>
      </w:r>
    </w:p>
    <w:p w14:paraId="53881628" w14:textId="7DBBF2CB" w:rsidR="00D343CE" w:rsidRDefault="00972FDB" w:rsidP="00D343CE">
      <w:pPr>
        <w:pStyle w:val="Body"/>
      </w:pPr>
      <w:r w:rsidRPr="00972FDB">
        <w:rPr>
          <w:lang w:val="en-US"/>
        </w:rPr>
        <w:t xml:space="preserve">The </w:t>
      </w:r>
      <w:r w:rsidR="006C5B19">
        <w:rPr>
          <w:lang w:val="en-US"/>
        </w:rPr>
        <w:t xml:space="preserve">in-season </w:t>
      </w:r>
      <w:r w:rsidRPr="00972FDB">
        <w:rPr>
          <w:lang w:val="en-US"/>
        </w:rPr>
        <w:t xml:space="preserve">assessment of Fraser River sockeye stocks </w:t>
      </w:r>
      <w:r w:rsidR="006C5B19">
        <w:rPr>
          <w:lang w:val="en-US"/>
        </w:rPr>
        <w:t>relies</w:t>
      </w:r>
      <w:r w:rsidRPr="00972FDB">
        <w:rPr>
          <w:lang w:val="en-US"/>
        </w:rPr>
        <w:t xml:space="preserve"> on four </w:t>
      </w:r>
      <w:r w:rsidR="006C5B19">
        <w:rPr>
          <w:lang w:val="en-US"/>
        </w:rPr>
        <w:t>types of data</w:t>
      </w:r>
      <w:r w:rsidRPr="00972FDB">
        <w:rPr>
          <w:lang w:val="en-US"/>
        </w:rPr>
        <w:t xml:space="preserve">: </w:t>
      </w:r>
      <w:r w:rsidR="00FB7F99">
        <w:rPr>
          <w:lang w:val="en-US"/>
        </w:rPr>
        <w:t xml:space="preserve">Lower Fraser River daily abundance estimates from the hydroacoustic program at Mission, </w:t>
      </w:r>
      <w:r w:rsidRPr="00972FDB">
        <w:rPr>
          <w:lang w:val="en-US"/>
        </w:rPr>
        <w:t>catch</w:t>
      </w:r>
      <w:r w:rsidR="00FB7F99">
        <w:rPr>
          <w:lang w:val="en-US"/>
        </w:rPr>
        <w:t>es</w:t>
      </w:r>
      <w:r w:rsidR="001B7C47">
        <w:rPr>
          <w:lang w:val="en-US"/>
        </w:rPr>
        <w:t xml:space="preserve"> seaward of the hydroacoustics program</w:t>
      </w:r>
      <w:r w:rsidRPr="00972FDB">
        <w:rPr>
          <w:lang w:val="en-US"/>
        </w:rPr>
        <w:t>, test fishing catch and effort,</w:t>
      </w:r>
      <w:r w:rsidR="00FB7F99">
        <w:rPr>
          <w:lang w:val="en-US"/>
        </w:rPr>
        <w:t xml:space="preserve"> and</w:t>
      </w:r>
      <w:r w:rsidRPr="00972FDB">
        <w:rPr>
          <w:lang w:val="en-US"/>
        </w:rPr>
        <w:t xml:space="preserve"> stock identification</w:t>
      </w:r>
      <w:r w:rsidR="00FB7F99">
        <w:rPr>
          <w:lang w:val="en-US"/>
        </w:rPr>
        <w:t xml:space="preserve"> data</w:t>
      </w:r>
      <w:r w:rsidRPr="00972FDB">
        <w:rPr>
          <w:lang w:val="en-US"/>
        </w:rPr>
        <w:t xml:space="preserve"> (Woodey 1987). The reduced </w:t>
      </w:r>
      <w:r w:rsidR="00FF7AE7">
        <w:rPr>
          <w:lang w:val="en-US"/>
        </w:rPr>
        <w:t xml:space="preserve">allowable </w:t>
      </w:r>
      <w:r w:rsidRPr="00972FDB">
        <w:rPr>
          <w:lang w:val="en-US"/>
        </w:rPr>
        <w:t xml:space="preserve">exploitation of Fraser River sockeye in recent years has increased the reliance on test fishing CPUE information rather than commercial data as an index of abundance. </w:t>
      </w:r>
      <w:r w:rsidR="00AA2BA9">
        <w:rPr>
          <w:lang w:val="en-US"/>
        </w:rPr>
        <w:t xml:space="preserve">The main marine test fisheries for in-season assessments are the </w:t>
      </w:r>
      <w:r w:rsidR="001F4FA2">
        <w:rPr>
          <w:lang w:val="en-US"/>
        </w:rPr>
        <w:t>gill net</w:t>
      </w:r>
      <w:r w:rsidR="00AA2BA9">
        <w:rPr>
          <w:lang w:val="en-US"/>
        </w:rPr>
        <w:t xml:space="preserve"> and purse seine test fisheries in </w:t>
      </w:r>
      <w:r w:rsidR="000C3C00">
        <w:rPr>
          <w:lang w:val="en-US"/>
        </w:rPr>
        <w:t xml:space="preserve">DFO statistical </w:t>
      </w:r>
      <w:r w:rsidR="00AA2BA9">
        <w:rPr>
          <w:lang w:val="en-US"/>
        </w:rPr>
        <w:t>Area</w:t>
      </w:r>
      <w:r w:rsidR="000C3C00">
        <w:rPr>
          <w:lang w:val="en-US"/>
        </w:rPr>
        <w:t>s</w:t>
      </w:r>
      <w:r w:rsidR="00AA2BA9">
        <w:rPr>
          <w:lang w:val="en-US"/>
        </w:rPr>
        <w:t xml:space="preserve"> </w:t>
      </w:r>
      <w:r w:rsidR="006C5B19">
        <w:rPr>
          <w:lang w:val="en-US"/>
        </w:rPr>
        <w:t>12</w:t>
      </w:r>
      <w:r w:rsidR="000C3C00">
        <w:rPr>
          <w:lang w:val="en-US"/>
        </w:rPr>
        <w:t xml:space="preserve"> and</w:t>
      </w:r>
      <w:r w:rsidR="003B0658">
        <w:rPr>
          <w:lang w:val="en-US"/>
        </w:rPr>
        <w:t xml:space="preserve"> 13</w:t>
      </w:r>
      <w:r w:rsidR="00AA2BA9">
        <w:rPr>
          <w:lang w:val="en-US"/>
        </w:rPr>
        <w:t xml:space="preserve"> (Johnstone Strait)</w:t>
      </w:r>
      <w:r w:rsidR="000C3C00">
        <w:rPr>
          <w:lang w:val="en-US"/>
        </w:rPr>
        <w:t>,</w:t>
      </w:r>
      <w:r w:rsidR="00AA2BA9">
        <w:rPr>
          <w:lang w:val="en-US"/>
        </w:rPr>
        <w:t xml:space="preserve"> and</w:t>
      </w:r>
      <w:r w:rsidR="000C3C00">
        <w:rPr>
          <w:lang w:val="en-US"/>
        </w:rPr>
        <w:t xml:space="preserve"> Area</w:t>
      </w:r>
      <w:r w:rsidR="00AA2BA9">
        <w:rPr>
          <w:lang w:val="en-US"/>
        </w:rPr>
        <w:t xml:space="preserve"> 20 (Juan de Fuca Strait). </w:t>
      </w:r>
      <w:r w:rsidRPr="00972FDB">
        <w:rPr>
          <w:lang w:val="en-US"/>
        </w:rPr>
        <w:t xml:space="preserve">The combined CPUE data </w:t>
      </w:r>
      <w:r w:rsidR="000C3C00">
        <w:rPr>
          <w:lang w:val="en-US"/>
        </w:rPr>
        <w:t>from</w:t>
      </w:r>
      <w:r w:rsidR="006C5B19">
        <w:rPr>
          <w:lang w:val="en-US"/>
        </w:rPr>
        <w:t xml:space="preserve"> these two </w:t>
      </w:r>
      <w:r w:rsidR="000C3C00">
        <w:rPr>
          <w:lang w:val="en-US"/>
        </w:rPr>
        <w:t>Straits</w:t>
      </w:r>
      <w:r w:rsidR="000C3C00" w:rsidRPr="00972FDB">
        <w:rPr>
          <w:lang w:val="en-US"/>
        </w:rPr>
        <w:t xml:space="preserve"> </w:t>
      </w:r>
      <w:r w:rsidRPr="00972FDB">
        <w:rPr>
          <w:lang w:val="en-US"/>
        </w:rPr>
        <w:t xml:space="preserve">provide time series of relative daily abundance. </w:t>
      </w:r>
      <w:r w:rsidR="00754E7E">
        <w:rPr>
          <w:lang w:val="en-US"/>
        </w:rPr>
        <w:t>Reconstructed e</w:t>
      </w:r>
      <w:r w:rsidRPr="00972FDB">
        <w:rPr>
          <w:lang w:val="en-US"/>
        </w:rPr>
        <w:t xml:space="preserve">stimates of daily </w:t>
      </w:r>
      <w:r w:rsidR="006C5B19">
        <w:rPr>
          <w:lang w:val="en-US"/>
        </w:rPr>
        <w:t>absolute</w:t>
      </w:r>
      <w:r w:rsidRPr="00972FDB">
        <w:rPr>
          <w:lang w:val="en-US"/>
        </w:rPr>
        <w:t xml:space="preserve"> abundance </w:t>
      </w:r>
      <w:r w:rsidR="006C5B19">
        <w:rPr>
          <w:lang w:val="en-US"/>
        </w:rPr>
        <w:t xml:space="preserve">in the same areas </w:t>
      </w:r>
      <w:r w:rsidRPr="00972FDB">
        <w:rPr>
          <w:lang w:val="en-US"/>
        </w:rPr>
        <w:t xml:space="preserve">are derived through backward reconstruction methods </w:t>
      </w:r>
      <w:r w:rsidR="006C5B19">
        <w:rPr>
          <w:lang w:val="en-US"/>
        </w:rPr>
        <w:t>(</w:t>
      </w:r>
      <w:r w:rsidR="006C5B19" w:rsidRPr="00972FDB">
        <w:rPr>
          <w:lang w:val="en-US"/>
        </w:rPr>
        <w:t>Starr and Hilborn 1988</w:t>
      </w:r>
      <w:r w:rsidR="006C5B19">
        <w:rPr>
          <w:lang w:val="en-US"/>
        </w:rPr>
        <w:t xml:space="preserve">) </w:t>
      </w:r>
      <w:r w:rsidRPr="00972FDB">
        <w:rPr>
          <w:lang w:val="en-US"/>
        </w:rPr>
        <w:t xml:space="preserve">using upstream daily passage estimates </w:t>
      </w:r>
      <w:r w:rsidR="00131341">
        <w:rPr>
          <w:lang w:val="en-US"/>
        </w:rPr>
        <w:t>by</w:t>
      </w:r>
      <w:r w:rsidRPr="00972FDB">
        <w:rPr>
          <w:lang w:val="en-US"/>
        </w:rPr>
        <w:t xml:space="preserve"> </w:t>
      </w:r>
      <w:r w:rsidR="006C5B19">
        <w:rPr>
          <w:lang w:val="en-US"/>
        </w:rPr>
        <w:t>the Mission</w:t>
      </w:r>
      <w:r w:rsidRPr="00972FDB">
        <w:rPr>
          <w:lang w:val="en-US"/>
        </w:rPr>
        <w:t xml:space="preserve"> hydroacoustics program </w:t>
      </w:r>
      <w:r w:rsidR="006C5B19">
        <w:rPr>
          <w:lang w:val="en-US"/>
        </w:rPr>
        <w:t>in combination with s</w:t>
      </w:r>
      <w:r w:rsidRPr="00972FDB">
        <w:rPr>
          <w:lang w:val="en-US"/>
        </w:rPr>
        <w:t>eaward catches</w:t>
      </w:r>
      <w:r w:rsidR="006C5B19">
        <w:rPr>
          <w:lang w:val="en-US"/>
        </w:rPr>
        <w:t xml:space="preserve"> </w:t>
      </w:r>
      <w:r w:rsidR="006C5B19" w:rsidRPr="00972FDB">
        <w:rPr>
          <w:lang w:val="en-US"/>
        </w:rPr>
        <w:t>(</w:t>
      </w:r>
      <w:r w:rsidR="00D531C3">
        <w:rPr>
          <w:lang w:val="en-US"/>
        </w:rPr>
        <w:t>Chapter B18</w:t>
      </w:r>
      <w:r w:rsidR="006C5B19" w:rsidRPr="00972FDB">
        <w:rPr>
          <w:lang w:val="en-US"/>
        </w:rPr>
        <w:t>)</w:t>
      </w:r>
      <w:r w:rsidRPr="00972FDB">
        <w:rPr>
          <w:lang w:val="en-US"/>
        </w:rPr>
        <w:t xml:space="preserve">. </w:t>
      </w:r>
      <w:r w:rsidR="001F4FA2">
        <w:rPr>
          <w:lang w:val="en-US"/>
        </w:rPr>
        <w:t xml:space="preserve">Both the CPUE and the reconstructed data are </w:t>
      </w:r>
      <w:r w:rsidR="000C3C00">
        <w:rPr>
          <w:lang w:val="en-US"/>
        </w:rPr>
        <w:t xml:space="preserve">multiplied by </w:t>
      </w:r>
      <w:r w:rsidR="00FE1E01">
        <w:rPr>
          <w:lang w:val="en-US"/>
        </w:rPr>
        <w:t>stock proportion estimates (</w:t>
      </w:r>
      <w:r w:rsidR="00D531C3">
        <w:rPr>
          <w:lang w:val="en-US"/>
        </w:rPr>
        <w:t>Chapter B17</w:t>
      </w:r>
      <w:r w:rsidR="00FE1E01">
        <w:rPr>
          <w:lang w:val="en-US"/>
        </w:rPr>
        <w:t xml:space="preserve">) </w:t>
      </w:r>
      <w:r w:rsidR="000C3C00">
        <w:rPr>
          <w:lang w:val="en-US"/>
        </w:rPr>
        <w:t>to produce multiple timeseries resolved at</w:t>
      </w:r>
      <w:r w:rsidR="001F4FA2">
        <w:rPr>
          <w:lang w:val="en-US"/>
        </w:rPr>
        <w:t xml:space="preserve"> finer</w:t>
      </w:r>
      <w:r w:rsidR="000C3C00">
        <w:rPr>
          <w:lang w:val="en-US"/>
        </w:rPr>
        <w:t xml:space="preserve"> </w:t>
      </w:r>
      <w:r w:rsidR="001F4FA2">
        <w:rPr>
          <w:lang w:val="en-US"/>
        </w:rPr>
        <w:t>stock resolutions</w:t>
      </w:r>
      <w:r w:rsidR="000C3C00">
        <w:rPr>
          <w:lang w:val="en-US"/>
        </w:rPr>
        <w:t xml:space="preserve">. Separate models are then parameterized for stock aggregates </w:t>
      </w:r>
      <w:r w:rsidR="00131341">
        <w:rPr>
          <w:lang w:val="en-US"/>
        </w:rPr>
        <w:t xml:space="preserve">within </w:t>
      </w:r>
      <w:r w:rsidR="000C3C00">
        <w:rPr>
          <w:lang w:val="en-US"/>
        </w:rPr>
        <w:t>each</w:t>
      </w:r>
      <w:r w:rsidR="00131341">
        <w:rPr>
          <w:lang w:val="en-US"/>
        </w:rPr>
        <w:t xml:space="preserve"> management group that have distinctly different migration timing,</w:t>
      </w:r>
      <w:r w:rsidR="000C3C00">
        <w:rPr>
          <w:lang w:val="en-US"/>
        </w:rPr>
        <w:t xml:space="preserve"> catchability, or migration behaviour (e.g. delay or non-delay).</w:t>
      </w:r>
      <w:r w:rsidR="00131341">
        <w:rPr>
          <w:lang w:val="en-US"/>
        </w:rPr>
        <w:t xml:space="preserve"> </w:t>
      </w:r>
      <w:r w:rsidR="00115ED7">
        <w:rPr>
          <w:lang w:val="en-US"/>
        </w:rPr>
        <w:t>To simplify the model description</w:t>
      </w:r>
      <w:r w:rsidR="003B0658">
        <w:rPr>
          <w:lang w:val="en-US"/>
        </w:rPr>
        <w:t xml:space="preserve"> </w:t>
      </w:r>
      <w:r w:rsidR="000C3C00">
        <w:rPr>
          <w:lang w:val="en-US"/>
        </w:rPr>
        <w:t>within this report</w:t>
      </w:r>
      <w:r w:rsidR="00115ED7">
        <w:rPr>
          <w:lang w:val="en-US"/>
        </w:rPr>
        <w:t xml:space="preserve">, stock indices have been omitted </w:t>
      </w:r>
      <w:r w:rsidR="000C3C00">
        <w:rPr>
          <w:lang w:val="en-US"/>
        </w:rPr>
        <w:t xml:space="preserve">from </w:t>
      </w:r>
      <w:r w:rsidR="00115ED7">
        <w:rPr>
          <w:lang w:val="en-US"/>
        </w:rPr>
        <w:t>the model equations.</w:t>
      </w:r>
    </w:p>
    <w:p w14:paraId="511A3FB2" w14:textId="0501791A" w:rsidR="001C6A28" w:rsidRDefault="00D343CE" w:rsidP="00D343CE">
      <w:pPr>
        <w:pStyle w:val="Body"/>
      </w:pPr>
      <w:r>
        <w:t>In-season, the marine CPUE data are considered early indicators of the expected daily abundance at Mission 6</w:t>
      </w:r>
      <w:r w:rsidR="000C3C00">
        <w:t>-</w:t>
      </w:r>
      <w:r>
        <w:t>days later</w:t>
      </w:r>
      <w:r w:rsidRPr="00D343CE">
        <w:t xml:space="preserve">, as it takes Fraser sockeye </w:t>
      </w:r>
      <w:r w:rsidR="000C3C00">
        <w:t xml:space="preserve">approximately </w:t>
      </w:r>
      <w:r w:rsidRPr="00D343CE">
        <w:t>6</w:t>
      </w:r>
      <w:r w:rsidR="000C3C00">
        <w:t>-</w:t>
      </w:r>
      <w:r w:rsidRPr="00D343CE">
        <w:t>days to travel from</w:t>
      </w:r>
      <w:r>
        <w:t xml:space="preserve"> </w:t>
      </w:r>
      <w:r w:rsidRPr="00D343CE">
        <w:t xml:space="preserve">the marine </w:t>
      </w:r>
      <w:r w:rsidR="000C3C00">
        <w:t>test fishery</w:t>
      </w:r>
      <w:r w:rsidR="000C3C00" w:rsidRPr="00D343CE">
        <w:t xml:space="preserve"> </w:t>
      </w:r>
      <w:r w:rsidRPr="00D343CE">
        <w:t>locations to the hydroacoustic site at Mission.</w:t>
      </w:r>
      <w:r w:rsidR="001C6A28" w:rsidRPr="001C6A28">
        <w:t xml:space="preserve"> </w:t>
      </w:r>
      <w:r w:rsidR="000C3C00">
        <w:t>Therefore, i</w:t>
      </w:r>
      <w:r w:rsidR="001C6A28" w:rsidRPr="00D343CE">
        <w:t>n-season</w:t>
      </w:r>
      <w:r w:rsidR="001C6A28">
        <w:t>,</w:t>
      </w:r>
      <w:r w:rsidR="000C3C00">
        <w:t xml:space="preserve"> there is a 6-day lag between CPUE and reconstructed timeseries.</w:t>
      </w:r>
      <w:r w:rsidRPr="00D343CE">
        <w:t xml:space="preserve"> </w:t>
      </w:r>
      <w:r w:rsidR="00950C2A">
        <w:t xml:space="preserve">In addition, </w:t>
      </w:r>
      <w:r w:rsidR="001C6A28">
        <w:t xml:space="preserve">reconstructed marine abundance estimates are only available for </w:t>
      </w:r>
      <w:r w:rsidR="00950C2A">
        <w:t xml:space="preserve">stocks that </w:t>
      </w:r>
      <w:r w:rsidR="001C6A28">
        <w:t xml:space="preserve">do not </w:t>
      </w:r>
      <w:r w:rsidR="00950C2A">
        <w:t>delay their upstream migration into the Fraser River</w:t>
      </w:r>
      <w:r w:rsidR="000C3C00">
        <w:t xml:space="preserve"> due to the violation of basic reconstruction assumptions (</w:t>
      </w:r>
      <w:r w:rsidR="00D531C3">
        <w:t>Chapter B18</w:t>
      </w:r>
      <w:r w:rsidR="000C3C00">
        <w:t>)</w:t>
      </w:r>
      <w:r w:rsidR="001C6A28">
        <w:t>. For stock like</w:t>
      </w:r>
      <w:r w:rsidR="00950C2A">
        <w:t xml:space="preserve"> Harrison and delaying Late run stocks, </w:t>
      </w:r>
      <w:r w:rsidR="001C6A28">
        <w:t xml:space="preserve">only marine CPUE data can be used to </w:t>
      </w:r>
      <w:r w:rsidR="003B0658">
        <w:t xml:space="preserve">assess </w:t>
      </w:r>
      <w:r w:rsidR="001C6A28">
        <w:t>th</w:t>
      </w:r>
      <w:r w:rsidR="003B0658">
        <w:t>ese</w:t>
      </w:r>
      <w:r w:rsidR="001C6A28">
        <w:t xml:space="preserve"> </w:t>
      </w:r>
      <w:r w:rsidR="003B0658">
        <w:t>stocks</w:t>
      </w:r>
      <w:r w:rsidR="001C6A28">
        <w:t>, resulting in larger run size uncertainty.</w:t>
      </w:r>
    </w:p>
    <w:p w14:paraId="7970F90D" w14:textId="7FBEC7A0" w:rsidR="004462FA" w:rsidRPr="004462FA" w:rsidRDefault="004462FA" w:rsidP="004462FA">
      <w:pPr>
        <w:pStyle w:val="Heading2"/>
        <w:rPr>
          <w:lang w:val="en-US"/>
        </w:rPr>
      </w:pPr>
      <w:r w:rsidRPr="004462FA">
        <w:rPr>
          <w:lang w:val="en-US"/>
        </w:rPr>
        <w:t>Methods</w:t>
      </w:r>
    </w:p>
    <w:p w14:paraId="6853C7D4" w14:textId="5C03D2A4" w:rsidR="007C0504" w:rsidRDefault="007C0504" w:rsidP="00115ED7">
      <w:pPr>
        <w:pStyle w:val="Body"/>
        <w:rPr>
          <w:lang w:val="en-US"/>
        </w:rPr>
      </w:pPr>
      <w:r>
        <w:rPr>
          <w:lang w:val="en-US"/>
        </w:rPr>
        <w:t xml:space="preserve">The following </w:t>
      </w:r>
      <w:r w:rsidR="000533A8">
        <w:rPr>
          <w:lang w:val="en-US"/>
        </w:rPr>
        <w:t xml:space="preserve">model </w:t>
      </w:r>
      <w:r>
        <w:rPr>
          <w:lang w:val="en-US"/>
        </w:rPr>
        <w:t xml:space="preserve">description assumes that all </w:t>
      </w:r>
      <w:r w:rsidR="00521AD4">
        <w:rPr>
          <w:lang w:val="en-US"/>
        </w:rPr>
        <w:t>timeseries</w:t>
      </w:r>
      <w:r>
        <w:rPr>
          <w:lang w:val="en-US"/>
        </w:rPr>
        <w:t xml:space="preserve"> </w:t>
      </w:r>
      <w:r w:rsidR="00521AD4">
        <w:rPr>
          <w:lang w:val="en-US"/>
        </w:rPr>
        <w:t>have been offset in order to align</w:t>
      </w:r>
      <w:r>
        <w:rPr>
          <w:lang w:val="en-US"/>
        </w:rPr>
        <w:t xml:space="preserve"> </w:t>
      </w:r>
      <w:r w:rsidR="00521AD4">
        <w:rPr>
          <w:lang w:val="en-US"/>
        </w:rPr>
        <w:t xml:space="preserve">with a single </w:t>
      </w:r>
      <w:r w:rsidR="00115ED7">
        <w:rPr>
          <w:lang w:val="en-US"/>
        </w:rPr>
        <w:t>geographical reference location</w:t>
      </w:r>
      <w:r w:rsidR="00521AD4">
        <w:rPr>
          <w:lang w:val="en-US"/>
        </w:rPr>
        <w:t xml:space="preserve"> associated with</w:t>
      </w:r>
      <w:r w:rsidR="00115ED7">
        <w:rPr>
          <w:lang w:val="en-US"/>
        </w:rPr>
        <w:t xml:space="preserve"> the</w:t>
      </w:r>
      <w:r>
        <w:rPr>
          <w:lang w:val="en-US"/>
        </w:rPr>
        <w:t xml:space="preserve"> Area 20 purse seine test fishing site</w:t>
      </w:r>
      <w:r w:rsidR="000851FE">
        <w:rPr>
          <w:lang w:val="en-US"/>
        </w:rPr>
        <w:t xml:space="preserve"> (</w:t>
      </w:r>
      <w:r w:rsidR="00D531C3">
        <w:rPr>
          <w:lang w:val="en-US"/>
        </w:rPr>
        <w:t>Chapter B18</w:t>
      </w:r>
      <w:r w:rsidR="000851FE">
        <w:rPr>
          <w:lang w:val="en-US"/>
        </w:rPr>
        <w:t>)</w:t>
      </w:r>
      <w:r>
        <w:rPr>
          <w:lang w:val="en-US"/>
        </w:rPr>
        <w:t xml:space="preserve">. </w:t>
      </w:r>
      <w:r w:rsidR="00521AD4">
        <w:rPr>
          <w:lang w:val="en-US"/>
        </w:rPr>
        <w:t xml:space="preserve">Date indices corresponding to data from all other locations are adjusted accordingly based on the relative difference in assumed fish migration time between Area 20 and Mission, and the migration time between the location of interest and Mission. </w:t>
      </w:r>
      <w:r>
        <w:rPr>
          <w:lang w:val="en-US"/>
        </w:rPr>
        <w:t xml:space="preserve">For example, it takes </w:t>
      </w:r>
      <w:r w:rsidR="00521AD4">
        <w:rPr>
          <w:lang w:val="en-US"/>
        </w:rPr>
        <w:t xml:space="preserve">approximately </w:t>
      </w:r>
      <w:r>
        <w:rPr>
          <w:lang w:val="en-US"/>
        </w:rPr>
        <w:t>7</w:t>
      </w:r>
      <w:r w:rsidR="00521AD4">
        <w:rPr>
          <w:lang w:val="en-US"/>
        </w:rPr>
        <w:t>-</w:t>
      </w:r>
      <w:r>
        <w:rPr>
          <w:lang w:val="en-US"/>
        </w:rPr>
        <w:t>days</w:t>
      </w:r>
      <w:r w:rsidR="00BF4281">
        <w:rPr>
          <w:lang w:val="en-US"/>
        </w:rPr>
        <w:t xml:space="preserve"> for sockeye</w:t>
      </w:r>
      <w:r>
        <w:rPr>
          <w:lang w:val="en-US"/>
        </w:rPr>
        <w:t xml:space="preserve"> to migrate from the Area 12 purse seine test fishing site to Mission, making the corresponding Area 20 date for </w:t>
      </w:r>
      <w:r w:rsidR="00115ED7">
        <w:rPr>
          <w:lang w:val="en-US"/>
        </w:rPr>
        <w:t>the</w:t>
      </w:r>
      <w:r w:rsidR="000533A8">
        <w:rPr>
          <w:lang w:val="en-US"/>
        </w:rPr>
        <w:t xml:space="preserve"> CPUE data of the</w:t>
      </w:r>
      <w:r>
        <w:rPr>
          <w:lang w:val="en-US"/>
        </w:rPr>
        <w:t xml:space="preserve"> purse seine test fishery </w:t>
      </w:r>
      <w:r w:rsidR="000533A8">
        <w:rPr>
          <w:lang w:val="en-US"/>
        </w:rPr>
        <w:t xml:space="preserve">in </w:t>
      </w:r>
      <w:r>
        <w:rPr>
          <w:lang w:val="en-US"/>
        </w:rPr>
        <w:t>Area 12 one day later than the actual date</w:t>
      </w:r>
      <w:r w:rsidR="000533A8">
        <w:rPr>
          <w:lang w:val="en-US"/>
        </w:rPr>
        <w:t xml:space="preserve">. All dates </w:t>
      </w:r>
      <w:r w:rsidR="00115ED7">
        <w:rPr>
          <w:lang w:val="en-US"/>
        </w:rPr>
        <w:t>mentioned</w:t>
      </w:r>
      <w:r w:rsidR="000533A8">
        <w:rPr>
          <w:lang w:val="en-US"/>
        </w:rPr>
        <w:t xml:space="preserve"> in the description of the </w:t>
      </w:r>
      <w:r w:rsidR="00B97210">
        <w:rPr>
          <w:lang w:val="en-US"/>
        </w:rPr>
        <w:t>time-density</w:t>
      </w:r>
      <w:r w:rsidR="000533A8">
        <w:rPr>
          <w:lang w:val="en-US"/>
        </w:rPr>
        <w:t xml:space="preserve"> model </w:t>
      </w:r>
      <w:r w:rsidR="00115ED7">
        <w:rPr>
          <w:lang w:val="en-US"/>
        </w:rPr>
        <w:t xml:space="preserve">below </w:t>
      </w:r>
      <w:r w:rsidR="000533A8">
        <w:rPr>
          <w:lang w:val="en-US"/>
        </w:rPr>
        <w:t xml:space="preserve">refer to Area 20 dates. </w:t>
      </w:r>
    </w:p>
    <w:p w14:paraId="373CD3A2" w14:textId="5673FA0A" w:rsidR="004462FA" w:rsidRDefault="002E54D9" w:rsidP="004462FA">
      <w:pPr>
        <w:pStyle w:val="Heading3"/>
      </w:pPr>
      <w:r>
        <w:t xml:space="preserve">In-season </w:t>
      </w:r>
      <w:r w:rsidR="00B97210">
        <w:t>time-density</w:t>
      </w:r>
      <w:r>
        <w:t xml:space="preserve"> model</w:t>
      </w:r>
    </w:p>
    <w:p w14:paraId="60409156" w14:textId="4365F3AD" w:rsidR="00A34A34" w:rsidRDefault="00040216" w:rsidP="00950C2A">
      <w:pPr>
        <w:pStyle w:val="Body"/>
      </w:pPr>
      <w:r>
        <w:t xml:space="preserve">The in-season </w:t>
      </w:r>
      <w:r w:rsidR="00B97210">
        <w:t>time-density</w:t>
      </w:r>
      <w:r w:rsidR="001A43D2">
        <w:t xml:space="preserve"> </w:t>
      </w:r>
      <w:r>
        <w:t xml:space="preserve">model to assess the run size and timing of different Fraser River sockeye groups relies on a </w:t>
      </w:r>
      <w:r w:rsidR="002E54D9" w:rsidRPr="002E54D9">
        <w:t xml:space="preserve">time-density function to represent the daily salmon migration past </w:t>
      </w:r>
      <w:r>
        <w:t>the marine test fishing locations</w:t>
      </w:r>
      <w:r w:rsidR="002E54D9" w:rsidRPr="002E54D9">
        <w:t xml:space="preserve"> (Mundy 1979</w:t>
      </w:r>
      <w:r w:rsidR="001A43D2">
        <w:t>,</w:t>
      </w:r>
      <w:r w:rsidR="002E54D9" w:rsidRPr="002E54D9">
        <w:t xml:space="preserve"> Cave and Gazey 1994</w:t>
      </w:r>
      <w:r w:rsidR="001A43D2">
        <w:t>,</w:t>
      </w:r>
      <w:r w:rsidR="002E54D9" w:rsidRPr="002E54D9">
        <w:t xml:space="preserve"> Springborn et al. 1998). </w:t>
      </w:r>
      <w:r w:rsidR="00D9089A">
        <w:t xml:space="preserve">Two different versions of </w:t>
      </w:r>
      <w:r w:rsidR="00D9089A">
        <w:lastRenderedPageBreak/>
        <w:t xml:space="preserve">the time-density model are used depending on the </w:t>
      </w:r>
      <w:r w:rsidR="001A43D2">
        <w:t>available</w:t>
      </w:r>
      <w:r w:rsidR="00D9089A">
        <w:t xml:space="preserve"> test fishing data</w:t>
      </w:r>
      <w:r w:rsidR="001A43D2">
        <w:t xml:space="preserve"> and the associated quality</w:t>
      </w:r>
      <w:r w:rsidR="00D9089A">
        <w:t xml:space="preserve">. </w:t>
      </w:r>
      <w:r w:rsidR="00A34A34">
        <w:t>The marine gill</w:t>
      </w:r>
      <w:r w:rsidR="00521AD4">
        <w:t xml:space="preserve"> </w:t>
      </w:r>
      <w:r w:rsidR="00A34A34">
        <w:t>net data are of lower quality as a</w:t>
      </w:r>
      <w:r w:rsidR="007B54C1">
        <w:t xml:space="preserve"> relative</w:t>
      </w:r>
      <w:r w:rsidR="00A34A34">
        <w:t xml:space="preserve"> index of abundance compared to the purse seine data given the substantially lower catchability of sockeye salmon by gill</w:t>
      </w:r>
      <w:r w:rsidR="00521AD4">
        <w:t xml:space="preserve"> </w:t>
      </w:r>
      <w:r w:rsidR="00A34A34">
        <w:t xml:space="preserve">nets versus purse seines, </w:t>
      </w:r>
      <w:r w:rsidR="00950C2A">
        <w:t>i.e.,</w:t>
      </w:r>
      <w:r w:rsidR="00A34A34">
        <w:t xml:space="preserve"> they catch a much smaller proportion of the run. The marine gill</w:t>
      </w:r>
      <w:r w:rsidR="00521AD4">
        <w:t xml:space="preserve"> </w:t>
      </w:r>
      <w:r w:rsidR="00A34A34">
        <w:t>net data are however essential for the assessment of early-time</w:t>
      </w:r>
      <w:r w:rsidR="007B54C1">
        <w:t>d</w:t>
      </w:r>
      <w:r w:rsidR="00A34A34">
        <w:t xml:space="preserve">, low abundance stocks for which the cost of running expensive purse seine test fisheries would be prohibitive. </w:t>
      </w:r>
      <w:r w:rsidR="00BF23D6">
        <w:t>Given the high variability in the individual gill</w:t>
      </w:r>
      <w:r w:rsidR="00724A89">
        <w:t xml:space="preserve"> </w:t>
      </w:r>
      <w:r w:rsidR="00BF23D6">
        <w:t>net CPUE time</w:t>
      </w:r>
      <w:r w:rsidR="00950C2A">
        <w:t>-</w:t>
      </w:r>
      <w:r w:rsidR="00BF23D6">
        <w:t xml:space="preserve">series for the Area 12 and 20, the two time-series are combined into a total CPUE time-series to assess the combined abundance migrating through marine </w:t>
      </w:r>
      <w:r w:rsidR="007B54C1">
        <w:t>areas</w:t>
      </w:r>
      <w:r w:rsidR="00BF23D6">
        <w:t>. In case</w:t>
      </w:r>
      <w:r w:rsidR="00BF4281">
        <w:t>s where</w:t>
      </w:r>
      <w:r w:rsidR="00BF23D6">
        <w:t xml:space="preserve"> purse seine CPUE data are available, </w:t>
      </w:r>
      <w:r w:rsidR="007B54C1">
        <w:t>a more detailed</w:t>
      </w:r>
      <w:r w:rsidR="00BF23D6">
        <w:t xml:space="preserve"> version of the model assess</w:t>
      </w:r>
      <w:r w:rsidR="00950C2A">
        <w:t>es</w:t>
      </w:r>
      <w:r w:rsidR="00BF23D6">
        <w:t xml:space="preserve"> the abundance in both </w:t>
      </w:r>
      <w:r w:rsidR="007B54C1">
        <w:t>approaches</w:t>
      </w:r>
      <w:r w:rsidR="00950C2A">
        <w:t xml:space="preserve"> separately</w:t>
      </w:r>
      <w:r w:rsidR="00BF23D6">
        <w:t>. The following paragraphs will first describ</w:t>
      </w:r>
      <w:r w:rsidR="007B54C1">
        <w:t xml:space="preserve">e </w:t>
      </w:r>
      <w:r w:rsidR="00BF23D6">
        <w:t>the model us</w:t>
      </w:r>
      <w:r w:rsidR="007B54C1">
        <w:t>ing</w:t>
      </w:r>
      <w:r w:rsidR="00BF23D6">
        <w:t xml:space="preserve"> marine gill</w:t>
      </w:r>
      <w:r w:rsidR="00724A89">
        <w:t xml:space="preserve"> </w:t>
      </w:r>
      <w:r w:rsidR="00BF23D6">
        <w:t>net data, followed by</w:t>
      </w:r>
      <w:r w:rsidR="00950C2A">
        <w:t xml:space="preserve"> </w:t>
      </w:r>
      <w:r w:rsidR="00724A89">
        <w:t xml:space="preserve">a description of a more complex </w:t>
      </w:r>
      <w:r w:rsidR="009565BF">
        <w:t>model version</w:t>
      </w:r>
      <w:r w:rsidR="00724A89">
        <w:t xml:space="preserve"> incorporating data from both gear types</w:t>
      </w:r>
      <w:r w:rsidR="00BF23D6">
        <w:t>.</w:t>
      </w:r>
    </w:p>
    <w:p w14:paraId="08EC8DE5" w14:textId="5058E4AC" w:rsidR="001E1EF2" w:rsidRDefault="002E54D9" w:rsidP="00950C2A">
      <w:pPr>
        <w:pStyle w:val="Body"/>
      </w:pPr>
      <w:r w:rsidRPr="002E54D9">
        <w:t>The daily abundance of salmon (</w:t>
      </w:r>
      <w:r w:rsidRPr="001E1EF2">
        <w:rPr>
          <w:i/>
          <w:iCs/>
        </w:rPr>
        <w:t>N</w:t>
      </w:r>
      <w:r w:rsidR="00991B0F">
        <w:rPr>
          <w:i/>
          <w:iCs/>
          <w:vertAlign w:val="subscript"/>
        </w:rPr>
        <w:t>d</w:t>
      </w:r>
      <w:r w:rsidRPr="002E54D9">
        <w:t>) passing th</w:t>
      </w:r>
      <w:r w:rsidR="001B4929">
        <w:t>e</w:t>
      </w:r>
      <w:r w:rsidRPr="002E54D9">
        <w:t xml:space="preserve"> marine </w:t>
      </w:r>
      <w:r w:rsidR="001B4929">
        <w:t>reference</w:t>
      </w:r>
      <w:r w:rsidRPr="002E54D9">
        <w:t xml:space="preserve"> location</w:t>
      </w:r>
      <w:r w:rsidR="001B4929">
        <w:t>s</w:t>
      </w:r>
      <w:r w:rsidRPr="002E54D9">
        <w:t xml:space="preserve"> on a given day </w:t>
      </w:r>
      <w:r w:rsidR="00991B0F" w:rsidRPr="00991B0F">
        <w:rPr>
          <w:i/>
          <w:iCs/>
        </w:rPr>
        <w:t>d</w:t>
      </w:r>
      <w:r w:rsidRPr="002E54D9">
        <w:t xml:space="preserve"> can be represented as:</w:t>
      </w:r>
      <w:bookmarkStart w:id="0" w:name="_Hlk506901636"/>
      <w:r w:rsidR="001E1EF2">
        <w:t xml:space="preserve"> </w:t>
      </w:r>
    </w:p>
    <w:p w14:paraId="6D85FF35" w14:textId="3D85B4FC" w:rsidR="001E1EF2" w:rsidRPr="001B4929" w:rsidRDefault="0015233E" w:rsidP="001B4929">
      <w:pPr>
        <w:pStyle w:val="Default"/>
        <w:numPr>
          <w:ilvl w:val="0"/>
          <w:numId w:val="13"/>
        </w:numPr>
        <w:spacing w:before="120" w:after="120"/>
        <w:ind w:left="2160" w:firstLine="0"/>
        <w:rPr>
          <w:rFonts w:asciiTheme="minorHAnsi" w:hAnsiTheme="minorHAnsi" w:cstheme="minorHAnsi"/>
          <w:sz w:val="22"/>
          <w:szCs w:val="22"/>
        </w:rPr>
      </w:pPr>
      <m:oMath>
        <m:sSub>
          <m:sSubPr>
            <m:ctrlPr>
              <w:rPr>
                <w:rFonts w:ascii="Cambria Math" w:hAnsi="Cambria Math" w:cstheme="minorHAnsi"/>
                <w:sz w:val="22"/>
                <w:szCs w:val="22"/>
              </w:rPr>
            </m:ctrlPr>
          </m:sSubPr>
          <m:e>
            <m:r>
              <w:rPr>
                <w:rFonts w:ascii="Cambria Math" w:hAnsi="Cambria Math" w:cstheme="minorHAnsi"/>
                <w:sz w:val="22"/>
                <w:szCs w:val="22"/>
              </w:rPr>
              <m:t>N</m:t>
            </m:r>
          </m:e>
          <m:sub>
            <m:r>
              <w:rPr>
                <w:rFonts w:ascii="Cambria Math" w:hAnsi="Cambria Math" w:cstheme="minorHAnsi"/>
                <w:sz w:val="22"/>
                <w:szCs w:val="22"/>
              </w:rPr>
              <m:t>d</m:t>
            </m:r>
          </m:sub>
        </m:sSub>
        <m:r>
          <m:rPr>
            <m:sty m:val="p"/>
          </m:rPr>
          <w:rPr>
            <w:rFonts w:ascii="Cambria Math" w:hAnsi="Cambria Math" w:cstheme="minorHAnsi"/>
            <w:sz w:val="22"/>
            <w:szCs w:val="22"/>
          </w:rPr>
          <m:t>=</m:t>
        </m:r>
        <m:r>
          <w:rPr>
            <w:rFonts w:ascii="Cambria Math" w:hAnsi="Cambria Math" w:cstheme="minorHAnsi"/>
            <w:sz w:val="22"/>
            <w:szCs w:val="22"/>
          </w:rPr>
          <m:t>N</m:t>
        </m:r>
        <m:r>
          <m:rPr>
            <m:sty m:val="p"/>
          </m:rPr>
          <w:rPr>
            <w:rFonts w:ascii="Cambria Math" w:hAnsi="Cambria Math" w:cstheme="minorHAnsi"/>
            <w:sz w:val="22"/>
            <w:szCs w:val="22"/>
          </w:rPr>
          <m:t>∙</m:t>
        </m:r>
        <m:r>
          <w:rPr>
            <w:rFonts w:ascii="Cambria Math" w:hAnsi="Cambria Math" w:cstheme="minorHAnsi"/>
            <w:sz w:val="22"/>
            <w:szCs w:val="22"/>
          </w:rPr>
          <m:t>f</m:t>
        </m:r>
        <m:d>
          <m:dPr>
            <m:ctrlPr>
              <w:rPr>
                <w:rFonts w:ascii="Cambria Math" w:hAnsi="Cambria Math" w:cstheme="minorHAnsi"/>
                <w:sz w:val="22"/>
                <w:szCs w:val="22"/>
              </w:rPr>
            </m:ctrlPr>
          </m:dPr>
          <m:e>
            <m:r>
              <w:rPr>
                <w:rFonts w:ascii="Cambria Math" w:hAnsi="Cambria Math" w:cstheme="minorHAnsi"/>
                <w:sz w:val="22"/>
                <w:szCs w:val="22"/>
              </w:rPr>
              <m:t>d</m:t>
            </m:r>
          </m:e>
        </m:d>
      </m:oMath>
    </w:p>
    <w:bookmarkEnd w:id="0"/>
    <w:p w14:paraId="67FA18CB" w14:textId="3CA1AA8B" w:rsidR="002E54D9" w:rsidRPr="002E54D9" w:rsidRDefault="002E54D9" w:rsidP="001B4929">
      <w:pPr>
        <w:pStyle w:val="Body"/>
      </w:pPr>
      <w:r w:rsidRPr="002E54D9">
        <w:t xml:space="preserve">where </w:t>
      </w:r>
      <w:r w:rsidRPr="00D9089A">
        <w:rPr>
          <w:i/>
          <w:iCs/>
        </w:rPr>
        <w:t>f(</w:t>
      </w:r>
      <w:r w:rsidR="00D9089A" w:rsidRPr="00D9089A">
        <w:rPr>
          <w:i/>
          <w:iCs/>
        </w:rPr>
        <w:t>d</w:t>
      </w:r>
      <w:r w:rsidRPr="00D9089A">
        <w:rPr>
          <w:i/>
          <w:iCs/>
        </w:rPr>
        <w:t>)</w:t>
      </w:r>
      <w:r w:rsidRPr="002E54D9">
        <w:t xml:space="preserve"> is the time-density function of migrating salmon</w:t>
      </w:r>
      <w:r w:rsidR="001B4929">
        <w:t xml:space="preserve">, </w:t>
      </w:r>
      <w:r w:rsidRPr="002E54D9">
        <w:t>i.e.</w:t>
      </w:r>
      <w:r w:rsidR="001B4929">
        <w:t>,</w:t>
      </w:r>
      <w:r w:rsidRPr="002E54D9">
        <w:t xml:space="preserve"> the daily proportion of the total run size and </w:t>
      </w:r>
      <w:r w:rsidR="00D9089A">
        <w:rPr>
          <w:i/>
          <w:iCs/>
        </w:rPr>
        <w:t>N</w:t>
      </w:r>
      <w:r w:rsidRPr="002E54D9">
        <w:t xml:space="preserve"> is the total run size or the total recruitment of salmon, available to coastal fisheries. For Fraser sockeye, we assume a normal distribution of migrating salmon over time (Gilhousen 1960, Cave and Gazey 1994):</w:t>
      </w:r>
    </w:p>
    <w:p w14:paraId="50C18F98" w14:textId="0BA69453" w:rsidR="00D9089A" w:rsidRPr="001B4929" w:rsidRDefault="001B4929" w:rsidP="001B4929">
      <w:pPr>
        <w:pStyle w:val="Default"/>
        <w:numPr>
          <w:ilvl w:val="0"/>
          <w:numId w:val="13"/>
        </w:numPr>
        <w:spacing w:before="120" w:after="120"/>
        <w:ind w:left="2160" w:firstLine="0"/>
        <w:rPr>
          <w:rFonts w:asciiTheme="minorHAnsi" w:hAnsiTheme="minorHAnsi" w:cstheme="minorHAnsi"/>
          <w:i/>
          <w:iCs/>
          <w:sz w:val="22"/>
          <w:szCs w:val="22"/>
        </w:rPr>
      </w:pPr>
      <m:oMath>
        <m:r>
          <w:rPr>
            <w:rFonts w:ascii="Cambria Math" w:hAnsi="Cambria Math" w:cstheme="minorHAnsi"/>
            <w:sz w:val="22"/>
            <w:szCs w:val="22"/>
          </w:rPr>
          <m:t>f</m:t>
        </m:r>
        <m:d>
          <m:dPr>
            <m:ctrlPr>
              <w:rPr>
                <w:rFonts w:ascii="Cambria Math" w:hAnsi="Cambria Math" w:cstheme="minorHAnsi"/>
                <w:i/>
                <w:iCs/>
                <w:sz w:val="22"/>
                <w:szCs w:val="22"/>
              </w:rPr>
            </m:ctrlPr>
          </m:dPr>
          <m:e>
            <m:r>
              <w:rPr>
                <w:rFonts w:ascii="Cambria Math" w:hAnsi="Cambria Math" w:cstheme="minorHAnsi"/>
                <w:sz w:val="22"/>
                <w:szCs w:val="22"/>
              </w:rPr>
              <m:t>d|T,S</m:t>
            </m:r>
          </m:e>
        </m:d>
        <m:r>
          <w:rPr>
            <w:rFonts w:ascii="Cambria Math" w:hAnsi="Cambria Math" w:cstheme="minorHAnsi"/>
            <w:sz w:val="22"/>
            <w:szCs w:val="22"/>
          </w:rPr>
          <m:t>=</m:t>
        </m:r>
        <m:f>
          <m:fPr>
            <m:ctrlPr>
              <w:rPr>
                <w:rFonts w:ascii="Cambria Math" w:hAnsi="Cambria Math" w:cstheme="minorHAnsi"/>
                <w:i/>
                <w:iCs/>
                <w:sz w:val="22"/>
                <w:szCs w:val="22"/>
              </w:rPr>
            </m:ctrlPr>
          </m:fPr>
          <m:num>
            <m:r>
              <w:rPr>
                <w:rFonts w:ascii="Cambria Math" w:hAnsi="Cambria Math" w:cstheme="minorHAnsi"/>
                <w:sz w:val="22"/>
                <w:szCs w:val="22"/>
              </w:rPr>
              <m:t>1</m:t>
            </m:r>
          </m:num>
          <m:den>
            <m:r>
              <w:rPr>
                <w:rFonts w:ascii="Cambria Math" w:hAnsi="Cambria Math" w:cstheme="minorHAnsi"/>
                <w:sz w:val="22"/>
                <w:szCs w:val="22"/>
              </w:rPr>
              <m:t>S</m:t>
            </m:r>
            <m:rad>
              <m:radPr>
                <m:degHide m:val="1"/>
                <m:ctrlPr>
                  <w:rPr>
                    <w:rFonts w:ascii="Cambria Math" w:hAnsi="Cambria Math" w:cstheme="minorHAnsi"/>
                    <w:i/>
                    <w:iCs/>
                    <w:sz w:val="22"/>
                    <w:szCs w:val="22"/>
                  </w:rPr>
                </m:ctrlPr>
              </m:radPr>
              <m:deg/>
              <m:e>
                <m:r>
                  <w:rPr>
                    <w:rFonts w:ascii="Cambria Math" w:hAnsi="Cambria Math" w:cstheme="minorHAnsi"/>
                    <w:sz w:val="22"/>
                    <w:szCs w:val="22"/>
                  </w:rPr>
                  <m:t>2π</m:t>
                </m:r>
              </m:e>
            </m:rad>
          </m:den>
        </m:f>
        <m:sSup>
          <m:sSupPr>
            <m:ctrlPr>
              <w:rPr>
                <w:rFonts w:ascii="Cambria Math" w:hAnsi="Cambria Math" w:cstheme="minorHAnsi"/>
                <w:i/>
                <w:iCs/>
                <w:sz w:val="22"/>
                <w:szCs w:val="22"/>
              </w:rPr>
            </m:ctrlPr>
          </m:sSupPr>
          <m:e>
            <m:r>
              <w:rPr>
                <w:rFonts w:ascii="Cambria Math" w:hAnsi="Cambria Math" w:cstheme="minorHAnsi"/>
                <w:sz w:val="22"/>
                <w:szCs w:val="22"/>
              </w:rPr>
              <m:t>e</m:t>
            </m:r>
          </m:e>
          <m:sup>
            <m:r>
              <w:rPr>
                <w:rFonts w:ascii="Cambria Math" w:hAnsi="Cambria Math" w:cstheme="minorHAnsi"/>
                <w:sz w:val="22"/>
                <w:szCs w:val="22"/>
              </w:rPr>
              <m:t>-</m:t>
            </m:r>
            <m:f>
              <m:fPr>
                <m:ctrlPr>
                  <w:rPr>
                    <w:rFonts w:ascii="Cambria Math" w:hAnsi="Cambria Math" w:cstheme="minorHAnsi"/>
                    <w:i/>
                    <w:iCs/>
                    <w:sz w:val="22"/>
                    <w:szCs w:val="22"/>
                  </w:rPr>
                </m:ctrlPr>
              </m:fPr>
              <m:num>
                <m:r>
                  <w:rPr>
                    <w:rFonts w:ascii="Cambria Math" w:hAnsi="Cambria Math" w:cstheme="minorHAnsi"/>
                    <w:sz w:val="22"/>
                    <w:szCs w:val="22"/>
                  </w:rPr>
                  <m:t>1</m:t>
                </m:r>
              </m:num>
              <m:den>
                <m:r>
                  <w:rPr>
                    <w:rFonts w:ascii="Cambria Math" w:hAnsi="Cambria Math" w:cstheme="minorHAnsi"/>
                    <w:sz w:val="22"/>
                    <w:szCs w:val="22"/>
                  </w:rPr>
                  <m:t>2</m:t>
                </m:r>
              </m:den>
            </m:f>
            <m:d>
              <m:dPr>
                <m:ctrlPr>
                  <w:rPr>
                    <w:rFonts w:ascii="Cambria Math" w:hAnsi="Cambria Math" w:cstheme="minorHAnsi"/>
                    <w:i/>
                    <w:iCs/>
                    <w:sz w:val="22"/>
                    <w:szCs w:val="22"/>
                  </w:rPr>
                </m:ctrlPr>
              </m:dPr>
              <m:e>
                <m:f>
                  <m:fPr>
                    <m:ctrlPr>
                      <w:rPr>
                        <w:rFonts w:ascii="Cambria Math" w:hAnsi="Cambria Math" w:cstheme="minorHAnsi"/>
                        <w:i/>
                        <w:iCs/>
                        <w:sz w:val="22"/>
                        <w:szCs w:val="22"/>
                      </w:rPr>
                    </m:ctrlPr>
                  </m:fPr>
                  <m:num>
                    <m:r>
                      <w:rPr>
                        <w:rFonts w:ascii="Cambria Math" w:hAnsi="Cambria Math" w:cstheme="minorHAnsi"/>
                        <w:sz w:val="22"/>
                        <w:szCs w:val="22"/>
                      </w:rPr>
                      <m:t>d-T</m:t>
                    </m:r>
                  </m:num>
                  <m:den>
                    <m:r>
                      <w:rPr>
                        <w:rFonts w:ascii="Cambria Math" w:hAnsi="Cambria Math" w:cstheme="minorHAnsi"/>
                        <w:sz w:val="22"/>
                        <w:szCs w:val="22"/>
                      </w:rPr>
                      <m:t>S</m:t>
                    </m:r>
                  </m:den>
                </m:f>
              </m:e>
            </m:d>
          </m:sup>
        </m:sSup>
      </m:oMath>
    </w:p>
    <w:p w14:paraId="1910C86C" w14:textId="52434D1C" w:rsidR="002E54D9" w:rsidRDefault="002E54D9" w:rsidP="001B4929">
      <w:pPr>
        <w:pStyle w:val="Body"/>
      </w:pPr>
      <w:r w:rsidRPr="001B4929">
        <w:t xml:space="preserve">where </w:t>
      </w:r>
      <w:r w:rsidRPr="001B4929">
        <w:rPr>
          <w:i/>
          <w:iCs/>
        </w:rPr>
        <w:t>T</w:t>
      </w:r>
      <w:r w:rsidRPr="001B4929">
        <w:t xml:space="preserve"> is the mean timing of the salmon migration and </w:t>
      </w:r>
      <w:r w:rsidRPr="001B4929">
        <w:rPr>
          <w:i/>
          <w:iCs/>
        </w:rPr>
        <w:t>S</w:t>
      </w:r>
      <w:r w:rsidRPr="001B4929">
        <w:t xml:space="preserve"> is the standard deviation. Reconstructed daily marine abundances </w:t>
      </w:r>
      <w:r w:rsidR="001B4929" w:rsidRPr="001B4929">
        <w:t>(</w:t>
      </w:r>
      <m:oMath>
        <m:sSubSup>
          <m:sSubSupPr>
            <m:ctrlPr>
              <w:rPr>
                <w:rFonts w:ascii="Cambria Math" w:eastAsia="Calibri" w:hAnsi="Cambria Math"/>
                <w:i/>
                <w:lang w:val="en-US"/>
              </w:rPr>
            </m:ctrlPr>
          </m:sSubSupPr>
          <m:e>
            <m:r>
              <w:rPr>
                <w:rFonts w:ascii="Cambria Math" w:hAnsi="Cambria Math"/>
              </w:rPr>
              <m:t>N</m:t>
            </m:r>
          </m:e>
          <m:sub>
            <m:r>
              <w:rPr>
                <w:rFonts w:ascii="Cambria Math" w:hAnsi="Cambria Math"/>
              </w:rPr>
              <m:t>t</m:t>
            </m:r>
          </m:sub>
          <m:sup>
            <m:r>
              <w:rPr>
                <w:rFonts w:ascii="Cambria Math" w:hAnsi="Cambria Math"/>
              </w:rPr>
              <m:t>obs</m:t>
            </m:r>
          </m:sup>
        </m:sSubSup>
      </m:oMath>
      <w:r w:rsidR="001B4929" w:rsidRPr="001B4929">
        <w:t xml:space="preserve">) </w:t>
      </w:r>
      <w:r w:rsidRPr="001B4929">
        <w:t>deviate from the daily abundances predicted by the time-density model (</w:t>
      </w:r>
      <w:r w:rsidRPr="001B4929">
        <w:rPr>
          <w:i/>
          <w:iCs/>
        </w:rPr>
        <w:t>N</w:t>
      </w:r>
      <w:r w:rsidR="001B4929" w:rsidRPr="001B4929">
        <w:rPr>
          <w:i/>
          <w:iCs/>
          <w:vertAlign w:val="subscript"/>
        </w:rPr>
        <w:t>d</w:t>
      </w:r>
      <w:r w:rsidRPr="001B4929">
        <w:t>):</w:t>
      </w:r>
    </w:p>
    <w:p w14:paraId="2D908476" w14:textId="5A80B7CB" w:rsidR="001B4929" w:rsidRPr="001B4929" w:rsidRDefault="0015233E" w:rsidP="00495622">
      <w:pPr>
        <w:pStyle w:val="Default"/>
        <w:numPr>
          <w:ilvl w:val="0"/>
          <w:numId w:val="13"/>
        </w:numPr>
        <w:spacing w:before="120" w:after="120"/>
        <w:ind w:left="2160" w:firstLine="0"/>
        <w:rPr>
          <w:rFonts w:ascii="Cambria Math" w:hAnsi="Cambria Math" w:cstheme="minorHAnsi"/>
          <w:sz w:val="22"/>
          <w:szCs w:val="22"/>
        </w:rPr>
      </w:pPr>
      <m:oMath>
        <m:sSubSup>
          <m:sSubSupPr>
            <m:ctrlPr>
              <w:rPr>
                <w:rFonts w:ascii="Cambria Math" w:hAnsi="Cambria Math" w:cstheme="minorHAnsi"/>
                <w:i/>
                <w:iCs/>
                <w:sz w:val="22"/>
                <w:szCs w:val="22"/>
              </w:rPr>
            </m:ctrlPr>
          </m:sSubSupPr>
          <m:e>
            <m:r>
              <w:rPr>
                <w:rFonts w:ascii="Cambria Math" w:hAnsi="Cambria Math" w:cstheme="minorHAnsi"/>
                <w:sz w:val="22"/>
                <w:szCs w:val="22"/>
              </w:rPr>
              <m:t>N</m:t>
            </m:r>
          </m:e>
          <m:sub>
            <m:r>
              <w:rPr>
                <w:rFonts w:ascii="Cambria Math" w:hAnsi="Cambria Math" w:cstheme="minorHAnsi"/>
                <w:sz w:val="22"/>
                <w:szCs w:val="22"/>
              </w:rPr>
              <m:t>d</m:t>
            </m:r>
          </m:sub>
          <m:sup>
            <m:r>
              <w:rPr>
                <w:rFonts w:ascii="Cambria Math" w:hAnsi="Cambria Math" w:cstheme="minorHAnsi"/>
                <w:sz w:val="22"/>
                <w:szCs w:val="22"/>
              </w:rPr>
              <m:t>obs</m:t>
            </m:r>
          </m:sup>
        </m:sSubSup>
        <m:r>
          <w:rPr>
            <w:rFonts w:ascii="Cambria Math" w:hAnsi="Cambria Math" w:cstheme="minorHAnsi"/>
            <w:sz w:val="22"/>
            <w:szCs w:val="22"/>
          </w:rPr>
          <m:t>=</m:t>
        </m:r>
        <m:sSub>
          <m:sSubPr>
            <m:ctrlPr>
              <w:rPr>
                <w:rFonts w:ascii="Cambria Math" w:hAnsi="Cambria Math" w:cstheme="minorHAnsi"/>
                <w:i/>
                <w:iCs/>
                <w:sz w:val="22"/>
                <w:szCs w:val="22"/>
              </w:rPr>
            </m:ctrlPr>
          </m:sSubPr>
          <m:e>
            <m:r>
              <w:rPr>
                <w:rFonts w:ascii="Cambria Math" w:hAnsi="Cambria Math" w:cstheme="minorHAnsi"/>
                <w:sz w:val="22"/>
                <w:szCs w:val="22"/>
              </w:rPr>
              <m:t>N</m:t>
            </m:r>
          </m:e>
          <m:sub>
            <m:r>
              <w:rPr>
                <w:rFonts w:ascii="Cambria Math" w:hAnsi="Cambria Math" w:cstheme="minorHAnsi"/>
                <w:sz w:val="22"/>
                <w:szCs w:val="22"/>
              </w:rPr>
              <m:t>d</m:t>
            </m:r>
          </m:sub>
        </m:sSub>
        <m:r>
          <w:rPr>
            <w:rFonts w:ascii="Cambria Math" w:hAnsi="Cambria Math" w:cstheme="minorHAnsi"/>
            <w:sz w:val="22"/>
            <w:szCs w:val="22"/>
          </w:rPr>
          <m:t>+</m:t>
        </m:r>
        <m:sSub>
          <m:sSubPr>
            <m:ctrlPr>
              <w:rPr>
                <w:rFonts w:ascii="Cambria Math" w:hAnsi="Cambria Math" w:cstheme="minorHAnsi"/>
                <w:i/>
                <w:iCs/>
                <w:sz w:val="22"/>
                <w:szCs w:val="22"/>
              </w:rPr>
            </m:ctrlPr>
          </m:sSubPr>
          <m:e>
            <m:r>
              <w:rPr>
                <w:rFonts w:ascii="Cambria Math" w:hAnsi="Cambria Math" w:cstheme="minorHAnsi"/>
                <w:sz w:val="22"/>
                <w:szCs w:val="22"/>
              </w:rPr>
              <m:t>v</m:t>
            </m:r>
          </m:e>
          <m:sub>
            <m:r>
              <w:rPr>
                <w:rFonts w:ascii="Cambria Math" w:hAnsi="Cambria Math" w:cstheme="minorHAnsi"/>
                <w:sz w:val="22"/>
                <w:szCs w:val="22"/>
              </w:rPr>
              <m:t>d</m:t>
            </m:r>
          </m:sub>
        </m:sSub>
      </m:oMath>
    </w:p>
    <w:p w14:paraId="78AC01FA" w14:textId="3A8EE33D" w:rsidR="002E54D9" w:rsidRPr="001B4929" w:rsidRDefault="001B4929" w:rsidP="00664B08">
      <w:pPr>
        <w:pStyle w:val="Body"/>
      </w:pPr>
      <w:r>
        <w:t>w</w:t>
      </w:r>
      <w:r w:rsidR="002E54D9" w:rsidRPr="002E54D9">
        <w:t>ith</w:t>
      </w:r>
      <w:r>
        <w:t xml:space="preserve"> </w:t>
      </w:r>
      <w:r w:rsidR="002E54D9" w:rsidRPr="002E54D9">
        <w:t xml:space="preserve"> </w:t>
      </w:r>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v</m:t>
                </m:r>
              </m:sub>
              <m:sup>
                <m:r>
                  <w:rPr>
                    <w:rFonts w:ascii="Cambria Math" w:hAnsi="Cambria Math"/>
                  </w:rPr>
                  <m:t>2</m:t>
                </m:r>
              </m:sup>
            </m:sSubSup>
          </m:e>
        </m:d>
      </m:oMath>
      <w:r w:rsidR="002E54D9" w:rsidRPr="002E54D9">
        <w:t xml:space="preserve"> reflecting the deviation. </w:t>
      </w:r>
      <w:bookmarkStart w:id="1" w:name="_Hlk95481717"/>
      <w:r w:rsidR="002E54D9" w:rsidRPr="002E54D9">
        <w:t>Based on the salmon abundance available on a given day (</w:t>
      </w:r>
      <w:r w:rsidR="002E54D9" w:rsidRPr="001B4929">
        <w:rPr>
          <w:i/>
          <w:iCs/>
        </w:rPr>
        <w:t>N</w:t>
      </w:r>
      <w:r w:rsidRPr="001B4929">
        <w:rPr>
          <w:i/>
          <w:iCs/>
          <w:vertAlign w:val="subscript"/>
        </w:rPr>
        <w:t>d</w:t>
      </w:r>
      <w:r w:rsidR="002E54D9" w:rsidRPr="002E54D9">
        <w:t>), the associate</w:t>
      </w:r>
      <w:r w:rsidR="002E54D9" w:rsidRPr="001B4929">
        <w:t xml:space="preserve">d CPUE by the </w:t>
      </w:r>
      <w:r w:rsidR="001F4FA2">
        <w:t>gill net</w:t>
      </w:r>
      <w:r w:rsidR="002E54D9" w:rsidRPr="001B4929">
        <w:t xml:space="preserve"> </w:t>
      </w:r>
      <w:r w:rsidR="00C74D31">
        <w:t>(</w:t>
      </w:r>
      <w:r w:rsidR="00C74D31" w:rsidRPr="00C74D31">
        <w:rPr>
          <w:i/>
          <w:iCs/>
        </w:rPr>
        <w:t>GN</w:t>
      </w:r>
      <w:r w:rsidR="00C74D31">
        <w:t xml:space="preserve">) </w:t>
      </w:r>
      <w:r w:rsidR="002E54D9" w:rsidRPr="001B4929">
        <w:t>test fishery on that day (</w:t>
      </w:r>
      <w:r w:rsidR="002E54D9" w:rsidRPr="001B4929">
        <w:rPr>
          <w:i/>
          <w:iCs/>
        </w:rPr>
        <w:t>I</w:t>
      </w:r>
      <w:r w:rsidRPr="001B4929">
        <w:rPr>
          <w:i/>
          <w:iCs/>
          <w:vertAlign w:val="subscript"/>
        </w:rPr>
        <w:t>d</w:t>
      </w:r>
      <w:r w:rsidR="00C74D31">
        <w:rPr>
          <w:i/>
          <w:iCs/>
          <w:vertAlign w:val="subscript"/>
        </w:rPr>
        <w:t>,GN</w:t>
      </w:r>
      <w:r w:rsidR="002E54D9" w:rsidRPr="001B4929">
        <w:t>) is given by:</w:t>
      </w:r>
    </w:p>
    <w:bookmarkStart w:id="2" w:name="_Hlk95486707"/>
    <w:p w14:paraId="05C75CE0" w14:textId="1EA85BD9" w:rsidR="001B4929" w:rsidRPr="001B4929" w:rsidRDefault="0015233E" w:rsidP="001B4929">
      <w:pPr>
        <w:pStyle w:val="Default"/>
        <w:numPr>
          <w:ilvl w:val="0"/>
          <w:numId w:val="13"/>
        </w:numPr>
        <w:spacing w:before="120" w:after="120"/>
        <w:ind w:left="2160" w:firstLine="0"/>
        <w:rPr>
          <w:rFonts w:ascii="Cambria Math" w:hAnsi="Cambria Math" w:cstheme="minorHAnsi"/>
          <w:sz w:val="22"/>
          <w:szCs w:val="22"/>
        </w:rPr>
      </w:pPr>
      <m:oMath>
        <m:sSub>
          <m:sSubPr>
            <m:ctrlPr>
              <w:rPr>
                <w:rFonts w:ascii="Cambria Math" w:hAnsi="Cambria Math" w:cstheme="minorHAnsi"/>
                <w:i/>
                <w:iCs/>
                <w:sz w:val="22"/>
                <w:szCs w:val="22"/>
              </w:rPr>
            </m:ctrlPr>
          </m:sSubPr>
          <m:e>
            <m:r>
              <w:rPr>
                <w:rFonts w:ascii="Cambria Math" w:hAnsi="Cambria Math" w:cstheme="minorHAnsi"/>
                <w:sz w:val="22"/>
                <w:szCs w:val="22"/>
              </w:rPr>
              <m:t>I</m:t>
            </m:r>
          </m:e>
          <m:sub>
            <m:r>
              <w:rPr>
                <w:rFonts w:ascii="Cambria Math" w:hAnsi="Cambria Math" w:cstheme="minorHAnsi"/>
                <w:sz w:val="22"/>
                <w:szCs w:val="22"/>
              </w:rPr>
              <m:t>d,GN</m:t>
            </m:r>
          </m:sub>
        </m:sSub>
        <m:r>
          <w:rPr>
            <w:rFonts w:ascii="Cambria Math" w:hAnsi="Cambria Math" w:cstheme="minorHAnsi"/>
            <w:sz w:val="22"/>
            <w:szCs w:val="22"/>
          </w:rPr>
          <m:t>=</m:t>
        </m:r>
        <m:sSub>
          <m:sSubPr>
            <m:ctrlPr>
              <w:rPr>
                <w:rFonts w:ascii="Cambria Math" w:hAnsi="Cambria Math" w:cstheme="minorHAnsi"/>
                <w:i/>
                <w:iCs/>
                <w:sz w:val="22"/>
                <w:szCs w:val="22"/>
              </w:rPr>
            </m:ctrlPr>
          </m:sSubPr>
          <m:e>
            <m:r>
              <w:rPr>
                <w:rFonts w:ascii="Cambria Math" w:hAnsi="Cambria Math" w:cstheme="minorHAnsi"/>
                <w:sz w:val="22"/>
                <w:szCs w:val="22"/>
              </w:rPr>
              <m:t>q</m:t>
            </m:r>
          </m:e>
          <m:sub>
            <m:r>
              <w:rPr>
                <w:rFonts w:ascii="Cambria Math" w:hAnsi="Cambria Math" w:cstheme="minorHAnsi"/>
                <w:sz w:val="22"/>
                <w:szCs w:val="22"/>
              </w:rPr>
              <m:t>d,GN</m:t>
            </m:r>
          </m:sub>
        </m:sSub>
        <m:r>
          <w:rPr>
            <w:rFonts w:ascii="Cambria Math" w:hAnsi="Cambria Math" w:cstheme="minorHAnsi"/>
            <w:sz w:val="22"/>
            <w:szCs w:val="22"/>
          </w:rPr>
          <m:t>∙</m:t>
        </m:r>
        <m:sSub>
          <m:sSubPr>
            <m:ctrlPr>
              <w:rPr>
                <w:rFonts w:ascii="Cambria Math" w:hAnsi="Cambria Math" w:cstheme="minorHAnsi"/>
                <w:i/>
                <w:iCs/>
                <w:sz w:val="22"/>
                <w:szCs w:val="22"/>
              </w:rPr>
            </m:ctrlPr>
          </m:sSubPr>
          <m:e>
            <m:r>
              <w:rPr>
                <w:rFonts w:ascii="Cambria Math" w:hAnsi="Cambria Math" w:cstheme="minorHAnsi"/>
                <w:sz w:val="22"/>
                <w:szCs w:val="22"/>
              </w:rPr>
              <m:t>N</m:t>
            </m:r>
          </m:e>
          <m:sub>
            <m:r>
              <w:rPr>
                <w:rFonts w:ascii="Cambria Math" w:hAnsi="Cambria Math" w:cstheme="minorHAnsi"/>
                <w:sz w:val="22"/>
                <w:szCs w:val="22"/>
              </w:rPr>
              <m:t>d</m:t>
            </m:r>
          </m:sub>
        </m:sSub>
      </m:oMath>
    </w:p>
    <w:bookmarkEnd w:id="1"/>
    <w:bookmarkEnd w:id="2"/>
    <w:p w14:paraId="73BE787F" w14:textId="743C6A0E" w:rsidR="002E54D9" w:rsidRPr="002E54D9" w:rsidRDefault="002E54D9" w:rsidP="00664B08">
      <w:pPr>
        <w:pStyle w:val="Body"/>
      </w:pPr>
      <w:r w:rsidRPr="002E54D9">
        <w:t xml:space="preserve">where </w:t>
      </w:r>
      <w:r w:rsidRPr="00664B08">
        <w:rPr>
          <w:i/>
          <w:iCs/>
        </w:rPr>
        <w:t>q</w:t>
      </w:r>
      <w:r w:rsidRPr="002E54D9">
        <w:t xml:space="preserve"> represents the catchability coefficient, </w:t>
      </w:r>
      <w:r w:rsidR="00664B08" w:rsidRPr="002E54D9">
        <w:t>i.e.,</w:t>
      </w:r>
      <w:r w:rsidRPr="002E54D9">
        <w:t xml:space="preserve"> the proportion of the daily abundance taken </w:t>
      </w:r>
      <w:r w:rsidR="004F6C39">
        <w:t xml:space="preserve">as catch </w:t>
      </w:r>
      <w:r w:rsidRPr="002E54D9">
        <w:t>by one unit of effort. The observed CPUE data differ from the model predictions assuming lognormal residual errors:</w:t>
      </w:r>
    </w:p>
    <w:p w14:paraId="3D29404B" w14:textId="35784E87" w:rsidR="00664B08" w:rsidRPr="00664B08" w:rsidRDefault="0015233E" w:rsidP="00664B08">
      <w:pPr>
        <w:pStyle w:val="Default"/>
        <w:numPr>
          <w:ilvl w:val="0"/>
          <w:numId w:val="13"/>
        </w:numPr>
        <w:spacing w:before="120" w:after="120"/>
        <w:ind w:left="2160" w:firstLine="0"/>
        <w:rPr>
          <w:rFonts w:ascii="Cambria Math" w:hAnsi="Cambria Math" w:cstheme="minorHAnsi"/>
          <w:i/>
          <w:iCs/>
          <w:sz w:val="22"/>
          <w:szCs w:val="22"/>
        </w:rPr>
      </w:pPr>
      <m:oMath>
        <m:sSubSup>
          <m:sSubSupPr>
            <m:ctrlPr>
              <w:rPr>
                <w:rFonts w:ascii="Cambria Math" w:hAnsi="Cambria Math" w:cstheme="minorHAnsi"/>
                <w:i/>
                <w:iCs/>
                <w:sz w:val="22"/>
                <w:szCs w:val="22"/>
              </w:rPr>
            </m:ctrlPr>
          </m:sSubSupPr>
          <m:e>
            <m:r>
              <w:rPr>
                <w:rFonts w:ascii="Cambria Math" w:hAnsi="Cambria Math" w:cstheme="minorHAnsi"/>
                <w:sz w:val="22"/>
                <w:szCs w:val="22"/>
              </w:rPr>
              <m:t>I</m:t>
            </m:r>
          </m:e>
          <m:sub>
            <m:r>
              <w:rPr>
                <w:rFonts w:ascii="Cambria Math" w:hAnsi="Cambria Math" w:cstheme="minorHAnsi"/>
                <w:sz w:val="22"/>
                <w:szCs w:val="22"/>
              </w:rPr>
              <m:t>d,GN</m:t>
            </m:r>
          </m:sub>
          <m:sup>
            <m:r>
              <w:rPr>
                <w:rFonts w:ascii="Cambria Math" w:hAnsi="Cambria Math" w:cstheme="minorHAnsi"/>
                <w:sz w:val="22"/>
                <w:szCs w:val="22"/>
              </w:rPr>
              <m:t>obs</m:t>
            </m:r>
          </m:sup>
        </m:sSubSup>
        <m:r>
          <w:rPr>
            <w:rFonts w:ascii="Cambria Math" w:hAnsi="Cambria Math" w:cstheme="minorHAnsi"/>
            <w:sz w:val="22"/>
            <w:szCs w:val="22"/>
          </w:rPr>
          <m:t>=</m:t>
        </m:r>
        <m:sSub>
          <m:sSubPr>
            <m:ctrlPr>
              <w:rPr>
                <w:rFonts w:ascii="Cambria Math" w:hAnsi="Cambria Math" w:cstheme="minorHAnsi"/>
                <w:i/>
                <w:iCs/>
                <w:sz w:val="22"/>
                <w:szCs w:val="22"/>
              </w:rPr>
            </m:ctrlPr>
          </m:sSubPr>
          <m:e>
            <m:r>
              <w:rPr>
                <w:rFonts w:ascii="Cambria Math" w:hAnsi="Cambria Math" w:cstheme="minorHAnsi"/>
                <w:sz w:val="22"/>
                <w:szCs w:val="22"/>
              </w:rPr>
              <m:t>I</m:t>
            </m:r>
          </m:e>
          <m:sub>
            <m:r>
              <w:rPr>
                <w:rFonts w:ascii="Cambria Math" w:hAnsi="Cambria Math" w:cstheme="minorHAnsi"/>
                <w:sz w:val="22"/>
                <w:szCs w:val="22"/>
              </w:rPr>
              <m:t>d,GN</m:t>
            </m:r>
          </m:sub>
        </m:sSub>
        <m:r>
          <w:rPr>
            <w:rFonts w:ascii="Cambria Math" w:hAnsi="Cambria Math" w:cstheme="minorHAnsi"/>
            <w:sz w:val="22"/>
            <w:szCs w:val="22"/>
          </w:rPr>
          <m:t>∙exp</m:t>
        </m:r>
        <m:d>
          <m:dPr>
            <m:ctrlPr>
              <w:rPr>
                <w:rFonts w:ascii="Cambria Math" w:hAnsi="Cambria Math" w:cstheme="minorHAnsi"/>
                <w:i/>
                <w:iCs/>
                <w:sz w:val="22"/>
                <w:szCs w:val="22"/>
              </w:rPr>
            </m:ctrlPr>
          </m:dPr>
          <m:e>
            <m:sSub>
              <m:sSubPr>
                <m:ctrlPr>
                  <w:rPr>
                    <w:rFonts w:ascii="Cambria Math" w:hAnsi="Cambria Math" w:cstheme="minorHAnsi"/>
                    <w:i/>
                    <w:iCs/>
                    <w:sz w:val="22"/>
                    <w:szCs w:val="22"/>
                  </w:rPr>
                </m:ctrlPr>
              </m:sSubPr>
              <m:e>
                <m:r>
                  <w:rPr>
                    <w:rFonts w:ascii="Cambria Math" w:hAnsi="Cambria Math" w:cstheme="minorHAnsi"/>
                    <w:sz w:val="22"/>
                    <w:szCs w:val="22"/>
                  </w:rPr>
                  <m:t>w</m:t>
                </m:r>
              </m:e>
              <m:sub>
                <m:r>
                  <w:rPr>
                    <w:rFonts w:ascii="Cambria Math" w:hAnsi="Cambria Math" w:cstheme="minorHAnsi"/>
                    <w:sz w:val="22"/>
                    <w:szCs w:val="22"/>
                  </w:rPr>
                  <m:t>d,GN</m:t>
                </m:r>
              </m:sub>
            </m:sSub>
          </m:e>
        </m:d>
      </m:oMath>
    </w:p>
    <w:p w14:paraId="22120B03" w14:textId="77777777" w:rsidR="004F6C39" w:rsidRDefault="002E54D9" w:rsidP="00052B67">
      <w:pPr>
        <w:pStyle w:val="Body"/>
        <w:rPr>
          <w:rFonts w:ascii="Calibri" w:hAnsi="Calibri" w:cs="Calibri"/>
        </w:rPr>
      </w:pPr>
      <w:r w:rsidRPr="002E54D9">
        <w:rPr>
          <w:rFonts w:ascii="Calibri" w:hAnsi="Calibri" w:cs="Calibri"/>
        </w:rPr>
        <w:t xml:space="preserve">with </w:t>
      </w:r>
      <m:oMath>
        <m:sSub>
          <m:sSubPr>
            <m:ctrlPr>
              <w:rPr>
                <w:rFonts w:ascii="Cambria Math" w:hAnsi="Cambria Math"/>
              </w:rPr>
            </m:ctrlPr>
          </m:sSubPr>
          <m:e>
            <m:r>
              <w:rPr>
                <w:rFonts w:ascii="Cambria Math" w:hAnsi="Cambria Math"/>
              </w:rPr>
              <m:t>w</m:t>
            </m:r>
          </m:e>
          <m:sub>
            <m:r>
              <w:rPr>
                <w:rFonts w:ascii="Cambria Math" w:hAnsi="Cambria Math"/>
              </w:rPr>
              <m:t>d,GN</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0,</m:t>
            </m:r>
            <m:sSubSup>
              <m:sSubSupPr>
                <m:ctrlPr>
                  <w:rPr>
                    <w:rFonts w:ascii="Cambria Math" w:hAnsi="Cambria Math"/>
                  </w:rPr>
                </m:ctrlPr>
              </m:sSubSupPr>
              <m:e>
                <m:r>
                  <w:rPr>
                    <w:rFonts w:ascii="Cambria Math" w:hAnsi="Cambria Math"/>
                  </w:rPr>
                  <m:t>σ</m:t>
                </m:r>
              </m:e>
              <m:sub>
                <m:r>
                  <w:rPr>
                    <w:rFonts w:ascii="Cambria Math" w:hAnsi="Cambria Math"/>
                  </w:rPr>
                  <m:t>w,GN</m:t>
                </m:r>
              </m:sub>
              <m:sup>
                <m:r>
                  <m:rPr>
                    <m:sty m:val="p"/>
                  </m:rPr>
                  <w:rPr>
                    <w:rFonts w:ascii="Cambria Math" w:hAnsi="Cambria Math"/>
                  </w:rPr>
                  <m:t>2</m:t>
                </m:r>
              </m:sup>
            </m:sSubSup>
          </m:e>
        </m:d>
      </m:oMath>
      <w:r w:rsidRPr="002E54D9">
        <w:rPr>
          <w:rFonts w:ascii="Calibri" w:hAnsi="Calibri" w:cs="Calibri"/>
        </w:rPr>
        <w:t xml:space="preserve">. </w:t>
      </w:r>
    </w:p>
    <w:p w14:paraId="5B71B65E" w14:textId="6EC42985" w:rsidR="00664B08" w:rsidRDefault="00864C67" w:rsidP="00052B67">
      <w:pPr>
        <w:pStyle w:val="Body"/>
        <w:rPr>
          <w:rFonts w:ascii="Calibri" w:hAnsi="Calibri" w:cs="Calibri"/>
        </w:rPr>
      </w:pPr>
      <w:r>
        <w:rPr>
          <w:rFonts w:ascii="Calibri" w:hAnsi="Calibri" w:cs="Calibri"/>
        </w:rPr>
        <w:t>In case</w:t>
      </w:r>
      <w:r w:rsidR="00BF4281">
        <w:rPr>
          <w:rFonts w:ascii="Calibri" w:hAnsi="Calibri" w:cs="Calibri"/>
        </w:rPr>
        <w:t>s when</w:t>
      </w:r>
      <w:r>
        <w:rPr>
          <w:rFonts w:ascii="Calibri" w:hAnsi="Calibri" w:cs="Calibri"/>
        </w:rPr>
        <w:t xml:space="preserve"> purse seine test fishery data are available</w:t>
      </w:r>
      <w:r w:rsidR="00CC6BF9">
        <w:rPr>
          <w:rFonts w:ascii="Calibri" w:hAnsi="Calibri" w:cs="Calibri"/>
        </w:rPr>
        <w:t xml:space="preserve"> in addition to </w:t>
      </w:r>
      <w:r w:rsidR="001F4FA2">
        <w:rPr>
          <w:rFonts w:ascii="Calibri" w:hAnsi="Calibri" w:cs="Calibri"/>
        </w:rPr>
        <w:t>gill net</w:t>
      </w:r>
      <w:r w:rsidR="00CC6BF9">
        <w:rPr>
          <w:rFonts w:ascii="Calibri" w:hAnsi="Calibri" w:cs="Calibri"/>
        </w:rPr>
        <w:t xml:space="preserve"> data</w:t>
      </w:r>
      <w:r>
        <w:rPr>
          <w:rFonts w:ascii="Calibri" w:hAnsi="Calibri" w:cs="Calibri"/>
        </w:rPr>
        <w:t>, the time-density model is expanded to include daily abundance estimates in Johnstone as well as Juan de Fuca Strait:</w:t>
      </w:r>
    </w:p>
    <w:p w14:paraId="5D97FA58" w14:textId="23CB5819" w:rsidR="00864C67" w:rsidRPr="006656B8" w:rsidRDefault="0015233E" w:rsidP="006656B8">
      <w:pPr>
        <w:pStyle w:val="Default"/>
        <w:numPr>
          <w:ilvl w:val="0"/>
          <w:numId w:val="13"/>
        </w:numPr>
        <w:spacing w:before="120" w:after="120"/>
        <w:ind w:left="2160" w:firstLine="0"/>
        <w:rPr>
          <w:rFonts w:ascii="Cambria Math" w:hAnsi="Cambria Math" w:cstheme="minorHAnsi"/>
          <w:i/>
          <w:iCs/>
          <w:sz w:val="22"/>
          <w:szCs w:val="22"/>
        </w:rPr>
      </w:pPr>
      <m:oMath>
        <m:sSub>
          <m:sSubPr>
            <m:ctrlPr>
              <w:rPr>
                <w:rFonts w:ascii="Cambria Math" w:hAnsi="Cambria Math" w:cstheme="minorHAnsi"/>
                <w:i/>
                <w:iCs/>
                <w:sz w:val="22"/>
                <w:szCs w:val="22"/>
              </w:rPr>
            </m:ctrlPr>
          </m:sSubPr>
          <m:e>
            <m:r>
              <w:rPr>
                <w:rFonts w:ascii="Cambria Math" w:hAnsi="Cambria Math" w:cstheme="minorHAnsi"/>
                <w:sz w:val="22"/>
                <w:szCs w:val="22"/>
              </w:rPr>
              <m:t>N</m:t>
            </m:r>
          </m:e>
          <m:sub>
            <m:r>
              <w:rPr>
                <w:rFonts w:ascii="Cambria Math" w:hAnsi="Cambria Math" w:cstheme="minorHAnsi"/>
                <w:sz w:val="22"/>
                <w:szCs w:val="22"/>
              </w:rPr>
              <m:t>d,A12</m:t>
            </m:r>
          </m:sub>
        </m:sSub>
        <m:r>
          <w:rPr>
            <w:rFonts w:ascii="Cambria Math" w:hAnsi="Cambria Math" w:cstheme="minorHAnsi"/>
            <w:sz w:val="22"/>
            <w:szCs w:val="22"/>
          </w:rPr>
          <m:t>=N∙D∙f</m:t>
        </m:r>
        <m:d>
          <m:dPr>
            <m:ctrlPr>
              <w:rPr>
                <w:rFonts w:ascii="Cambria Math" w:hAnsi="Cambria Math" w:cstheme="minorHAnsi"/>
                <w:i/>
                <w:iCs/>
                <w:sz w:val="22"/>
                <w:szCs w:val="22"/>
              </w:rPr>
            </m:ctrlPr>
          </m:dPr>
          <m:e>
            <m:r>
              <w:rPr>
                <w:rFonts w:ascii="Cambria Math" w:hAnsi="Cambria Math" w:cstheme="minorHAnsi"/>
                <w:sz w:val="22"/>
                <w:szCs w:val="22"/>
              </w:rPr>
              <m:t>d</m:t>
            </m:r>
          </m:e>
        </m:d>
      </m:oMath>
      <w:r w:rsidR="00FD0C38" w:rsidRPr="006656B8">
        <w:rPr>
          <w:rFonts w:ascii="Cambria Math" w:hAnsi="Cambria Math" w:cstheme="minorHAnsi"/>
          <w:i/>
          <w:iCs/>
          <w:sz w:val="22"/>
          <w:szCs w:val="22"/>
        </w:rPr>
        <w:t xml:space="preserve">  and </w:t>
      </w:r>
      <m:oMath>
        <m:sSub>
          <m:sSubPr>
            <m:ctrlPr>
              <w:rPr>
                <w:rFonts w:ascii="Cambria Math" w:hAnsi="Cambria Math" w:cstheme="minorHAnsi"/>
                <w:i/>
                <w:iCs/>
                <w:sz w:val="22"/>
                <w:szCs w:val="22"/>
              </w:rPr>
            </m:ctrlPr>
          </m:sSubPr>
          <m:e>
            <m:r>
              <w:rPr>
                <w:rFonts w:ascii="Cambria Math" w:hAnsi="Cambria Math" w:cstheme="minorHAnsi"/>
                <w:sz w:val="22"/>
                <w:szCs w:val="22"/>
              </w:rPr>
              <m:t>N</m:t>
            </m:r>
          </m:e>
          <m:sub>
            <m:r>
              <w:rPr>
                <w:rFonts w:ascii="Cambria Math" w:hAnsi="Cambria Math" w:cstheme="minorHAnsi"/>
                <w:sz w:val="22"/>
                <w:szCs w:val="22"/>
              </w:rPr>
              <m:t>d,A20</m:t>
            </m:r>
          </m:sub>
        </m:sSub>
        <m:r>
          <w:rPr>
            <w:rFonts w:ascii="Cambria Math" w:hAnsi="Cambria Math" w:cstheme="minorHAnsi"/>
            <w:sz w:val="22"/>
            <w:szCs w:val="22"/>
          </w:rPr>
          <m:t>=N∙</m:t>
        </m:r>
        <m:d>
          <m:dPr>
            <m:ctrlPr>
              <w:rPr>
                <w:rFonts w:ascii="Cambria Math" w:hAnsi="Cambria Math" w:cstheme="minorHAnsi"/>
                <w:i/>
                <w:iCs/>
                <w:sz w:val="22"/>
                <w:szCs w:val="22"/>
              </w:rPr>
            </m:ctrlPr>
          </m:dPr>
          <m:e>
            <m:r>
              <w:rPr>
                <w:rFonts w:ascii="Cambria Math" w:hAnsi="Cambria Math" w:cstheme="minorHAnsi"/>
                <w:sz w:val="22"/>
                <w:szCs w:val="22"/>
              </w:rPr>
              <m:t>1-D</m:t>
            </m:r>
          </m:e>
        </m:d>
        <m:r>
          <w:rPr>
            <w:rFonts w:ascii="Cambria Math" w:hAnsi="Cambria Math" w:cstheme="minorHAnsi"/>
            <w:sz w:val="22"/>
            <w:szCs w:val="22"/>
          </w:rPr>
          <m:t>∙f</m:t>
        </m:r>
        <m:d>
          <m:dPr>
            <m:ctrlPr>
              <w:rPr>
                <w:rFonts w:ascii="Cambria Math" w:hAnsi="Cambria Math" w:cstheme="minorHAnsi"/>
                <w:i/>
                <w:iCs/>
                <w:sz w:val="22"/>
                <w:szCs w:val="22"/>
              </w:rPr>
            </m:ctrlPr>
          </m:dPr>
          <m:e>
            <m:r>
              <w:rPr>
                <w:rFonts w:ascii="Cambria Math" w:hAnsi="Cambria Math" w:cstheme="minorHAnsi"/>
                <w:sz w:val="22"/>
                <w:szCs w:val="22"/>
              </w:rPr>
              <m:t>d</m:t>
            </m:r>
          </m:e>
        </m:d>
      </m:oMath>
    </w:p>
    <w:p w14:paraId="4F7E5BC7" w14:textId="45BC4E66" w:rsidR="006656B8" w:rsidRDefault="00864C67" w:rsidP="0093439A">
      <w:pPr>
        <w:pStyle w:val="Body"/>
        <w:rPr>
          <w:bCs/>
          <w:lang w:val="en-US"/>
        </w:rPr>
      </w:pPr>
      <w:r w:rsidRPr="002E54D9">
        <w:t xml:space="preserve">where </w:t>
      </w:r>
      <w:r w:rsidRPr="001E1EF2">
        <w:rPr>
          <w:i/>
          <w:iCs/>
        </w:rPr>
        <w:t>N</w:t>
      </w:r>
      <w:r>
        <w:rPr>
          <w:i/>
          <w:iCs/>
          <w:vertAlign w:val="subscript"/>
        </w:rPr>
        <w:t>d,a</w:t>
      </w:r>
      <w:r w:rsidRPr="002E54D9">
        <w:t xml:space="preserve"> </w:t>
      </w:r>
      <w:r>
        <w:t>is the daily abundance on</w:t>
      </w:r>
      <w:r w:rsidRPr="002E54D9">
        <w:t xml:space="preserve"> a given day </w:t>
      </w:r>
      <w:r w:rsidRPr="00991B0F">
        <w:rPr>
          <w:i/>
          <w:iCs/>
        </w:rPr>
        <w:t>d</w:t>
      </w:r>
      <w:r w:rsidRPr="002E54D9">
        <w:t xml:space="preserve"> </w:t>
      </w:r>
      <w:r>
        <w:t xml:space="preserve">in </w:t>
      </w:r>
      <w:r w:rsidR="00052B67">
        <w:t xml:space="preserve">area </w:t>
      </w:r>
      <w:r w:rsidR="00CC6BF9" w:rsidRPr="00CC6BF9">
        <w:rPr>
          <w:i/>
          <w:iCs/>
        </w:rPr>
        <w:t>a</w:t>
      </w:r>
      <w:r w:rsidR="00052B67">
        <w:t xml:space="preserve"> (</w:t>
      </w:r>
      <w:r w:rsidR="00052B67" w:rsidRPr="00052B67">
        <w:rPr>
          <w:i/>
          <w:iCs/>
        </w:rPr>
        <w:t>A</w:t>
      </w:r>
      <w:r w:rsidR="00FD0C38">
        <w:rPr>
          <w:i/>
          <w:iCs/>
        </w:rPr>
        <w:t xml:space="preserve">12 </w:t>
      </w:r>
      <w:r w:rsidR="00FD0C38" w:rsidRPr="00FD0C38">
        <w:t>or</w:t>
      </w:r>
      <w:r w:rsidR="00FD0C38">
        <w:rPr>
          <w:i/>
          <w:iCs/>
        </w:rPr>
        <w:t xml:space="preserve"> </w:t>
      </w:r>
      <w:r w:rsidR="00052B67">
        <w:rPr>
          <w:i/>
          <w:iCs/>
        </w:rPr>
        <w:t>A</w:t>
      </w:r>
      <w:r w:rsidR="00FD0C38">
        <w:rPr>
          <w:i/>
          <w:iCs/>
        </w:rPr>
        <w:t>20)</w:t>
      </w:r>
      <w:r>
        <w:t xml:space="preserve">, and </w:t>
      </w:r>
      <w:r w:rsidR="00A25EDC" w:rsidRPr="00A25EDC">
        <w:rPr>
          <w:i/>
          <w:iCs/>
        </w:rPr>
        <w:t>D</w:t>
      </w:r>
      <w:r w:rsidR="00A25EDC">
        <w:t xml:space="preserve"> is </w:t>
      </w:r>
      <w:r w:rsidR="00FD0C38">
        <w:rPr>
          <w:rFonts w:eastAsiaTheme="minorEastAsia"/>
          <w:lang w:val="en-US"/>
        </w:rPr>
        <w:t>the</w:t>
      </w:r>
      <w:r w:rsidR="00A25EDC">
        <w:rPr>
          <w:rFonts w:eastAsiaTheme="minorEastAsia"/>
          <w:lang w:val="en-US"/>
        </w:rPr>
        <w:t xml:space="preserve"> (northern) diversion rate, i.e. the proportion of the </w:t>
      </w:r>
      <w:r w:rsidR="00FD0C38">
        <w:rPr>
          <w:rFonts w:eastAsiaTheme="minorEastAsia"/>
          <w:lang w:val="en-US"/>
        </w:rPr>
        <w:t>run</w:t>
      </w:r>
      <w:r w:rsidR="00A25EDC">
        <w:rPr>
          <w:rFonts w:eastAsiaTheme="minorEastAsia"/>
          <w:lang w:val="en-US"/>
        </w:rPr>
        <w:t xml:space="preserve"> migrating through</w:t>
      </w:r>
      <w:r w:rsidR="00A25EDC" w:rsidRPr="00BD1813">
        <w:rPr>
          <w:rFonts w:eastAsiaTheme="minorEastAsia"/>
          <w:lang w:val="en-US"/>
        </w:rPr>
        <w:t xml:space="preserve"> </w:t>
      </w:r>
      <w:r w:rsidR="00A25EDC">
        <w:rPr>
          <w:rFonts w:eastAsiaTheme="minorEastAsia"/>
          <w:lang w:val="en-US"/>
        </w:rPr>
        <w:t>Johnstone Strait</w:t>
      </w:r>
      <w:r w:rsidR="00C74D31">
        <w:rPr>
          <w:rFonts w:eastAsiaTheme="minorEastAsia"/>
          <w:lang w:val="en-US"/>
        </w:rPr>
        <w:t xml:space="preserve"> (</w:t>
      </w:r>
      <w:r w:rsidR="00C74D31" w:rsidRPr="00C74D31">
        <w:rPr>
          <w:rFonts w:eastAsiaTheme="minorEastAsia"/>
          <w:i/>
          <w:iCs/>
          <w:lang w:val="en-US"/>
        </w:rPr>
        <w:t>A12</w:t>
      </w:r>
      <w:r w:rsidR="00C74D31">
        <w:rPr>
          <w:rFonts w:eastAsiaTheme="minorEastAsia"/>
          <w:lang w:val="en-US"/>
        </w:rPr>
        <w:t>)</w:t>
      </w:r>
      <w:r w:rsidR="00724A89">
        <w:rPr>
          <w:rFonts w:eastAsiaTheme="minorEastAsia"/>
          <w:lang w:val="en-US"/>
        </w:rPr>
        <w:t xml:space="preserve"> (</w:t>
      </w:r>
      <w:r w:rsidR="00D531C3">
        <w:rPr>
          <w:rFonts w:eastAsiaTheme="minorEastAsia"/>
          <w:lang w:val="en-US"/>
        </w:rPr>
        <w:t>Chapter A2</w:t>
      </w:r>
      <w:r w:rsidR="00724A89">
        <w:rPr>
          <w:rFonts w:eastAsiaTheme="minorEastAsia"/>
          <w:lang w:val="en-US"/>
        </w:rPr>
        <w:t>)</w:t>
      </w:r>
      <w:r>
        <w:t xml:space="preserve">. </w:t>
      </w:r>
      <w:r w:rsidR="00052B67">
        <w:rPr>
          <w:bCs/>
          <w:lang w:val="en-US"/>
        </w:rPr>
        <w:t xml:space="preserve">For </w:t>
      </w:r>
      <w:r w:rsidR="001F4FA2">
        <w:rPr>
          <w:bCs/>
          <w:lang w:val="en-US"/>
        </w:rPr>
        <w:t>gill net</w:t>
      </w:r>
      <w:r w:rsidR="00052B67">
        <w:rPr>
          <w:bCs/>
          <w:lang w:val="en-US"/>
        </w:rPr>
        <w:t xml:space="preserve"> test fisheries, it </w:t>
      </w:r>
      <w:r w:rsidR="00C74D31">
        <w:rPr>
          <w:bCs/>
          <w:lang w:val="en-US"/>
        </w:rPr>
        <w:t>i</w:t>
      </w:r>
      <w:r w:rsidR="00052B67">
        <w:rPr>
          <w:bCs/>
          <w:lang w:val="en-US"/>
        </w:rPr>
        <w:t xml:space="preserve">s assumed that the sockeye catchability is the same in Johnstone Strait versus Juan de Fuca Strait. </w:t>
      </w:r>
      <w:r w:rsidR="006656B8">
        <w:rPr>
          <w:bCs/>
          <w:lang w:val="en-US"/>
        </w:rPr>
        <w:t xml:space="preserve">Therefore the </w:t>
      </w:r>
      <w:r w:rsidR="001F4FA2">
        <w:rPr>
          <w:bCs/>
          <w:lang w:val="en-US"/>
        </w:rPr>
        <w:t>Gill net</w:t>
      </w:r>
      <w:r w:rsidR="006656B8">
        <w:rPr>
          <w:bCs/>
          <w:lang w:val="en-US"/>
        </w:rPr>
        <w:t xml:space="preserve"> CPUE on a given day </w:t>
      </w:r>
      <w:r w:rsidR="006656B8" w:rsidRPr="001B4929">
        <w:t>(</w:t>
      </w:r>
      <w:r w:rsidR="006656B8" w:rsidRPr="001B4929">
        <w:rPr>
          <w:i/>
          <w:iCs/>
        </w:rPr>
        <w:t>I</w:t>
      </w:r>
      <w:r w:rsidR="006656B8" w:rsidRPr="001B4929">
        <w:rPr>
          <w:i/>
          <w:iCs/>
          <w:vertAlign w:val="subscript"/>
        </w:rPr>
        <w:t>d</w:t>
      </w:r>
      <w:r w:rsidR="006656B8">
        <w:rPr>
          <w:i/>
          <w:iCs/>
          <w:vertAlign w:val="subscript"/>
        </w:rPr>
        <w:t>,GN</w:t>
      </w:r>
      <w:r w:rsidR="006656B8" w:rsidRPr="001B4929">
        <w:t xml:space="preserve">) </w:t>
      </w:r>
      <w:r w:rsidR="006656B8">
        <w:rPr>
          <w:bCs/>
          <w:lang w:val="en-US"/>
        </w:rPr>
        <w:t xml:space="preserve">is: </w:t>
      </w:r>
    </w:p>
    <w:p w14:paraId="274B5500" w14:textId="7BF8FE8E" w:rsidR="006656B8" w:rsidRPr="006656B8" w:rsidRDefault="0015233E" w:rsidP="006656B8">
      <w:pPr>
        <w:pStyle w:val="Default"/>
        <w:numPr>
          <w:ilvl w:val="0"/>
          <w:numId w:val="13"/>
        </w:numPr>
        <w:spacing w:before="120" w:after="120"/>
        <w:ind w:left="2160" w:firstLine="0"/>
        <w:rPr>
          <w:rFonts w:ascii="Cambria Math" w:hAnsi="Cambria Math" w:cstheme="minorHAnsi"/>
          <w:i/>
          <w:iCs/>
          <w:sz w:val="22"/>
          <w:szCs w:val="22"/>
        </w:rPr>
      </w:pPr>
      <m:oMath>
        <m:sSub>
          <m:sSubPr>
            <m:ctrlPr>
              <w:rPr>
                <w:rFonts w:ascii="Cambria Math" w:hAnsi="Cambria Math" w:cstheme="minorHAnsi"/>
                <w:i/>
                <w:iCs/>
                <w:sz w:val="22"/>
                <w:szCs w:val="22"/>
              </w:rPr>
            </m:ctrlPr>
          </m:sSubPr>
          <m:e>
            <m:r>
              <w:rPr>
                <w:rFonts w:ascii="Cambria Math" w:hAnsi="Cambria Math" w:cstheme="minorHAnsi"/>
                <w:sz w:val="22"/>
                <w:szCs w:val="22"/>
              </w:rPr>
              <m:t>I</m:t>
            </m:r>
          </m:e>
          <m:sub>
            <m:r>
              <w:rPr>
                <w:rFonts w:ascii="Cambria Math" w:hAnsi="Cambria Math" w:cstheme="minorHAnsi"/>
                <w:sz w:val="22"/>
                <w:szCs w:val="22"/>
              </w:rPr>
              <m:t>d,GN</m:t>
            </m:r>
          </m:sub>
        </m:sSub>
        <m:r>
          <w:rPr>
            <w:rFonts w:ascii="Cambria Math" w:hAnsi="Cambria Math" w:cstheme="minorHAnsi"/>
            <w:sz w:val="22"/>
            <w:szCs w:val="22"/>
          </w:rPr>
          <m:t>=</m:t>
        </m:r>
        <m:sSub>
          <m:sSubPr>
            <m:ctrlPr>
              <w:rPr>
                <w:rFonts w:ascii="Cambria Math" w:hAnsi="Cambria Math" w:cstheme="minorHAnsi"/>
                <w:i/>
                <w:iCs/>
                <w:sz w:val="22"/>
                <w:szCs w:val="22"/>
              </w:rPr>
            </m:ctrlPr>
          </m:sSubPr>
          <m:e>
            <m:r>
              <w:rPr>
                <w:rFonts w:ascii="Cambria Math" w:hAnsi="Cambria Math" w:cstheme="minorHAnsi"/>
                <w:sz w:val="22"/>
                <w:szCs w:val="22"/>
              </w:rPr>
              <m:t>q</m:t>
            </m:r>
          </m:e>
          <m:sub>
            <m:r>
              <w:rPr>
                <w:rFonts w:ascii="Cambria Math" w:hAnsi="Cambria Math" w:cstheme="minorHAnsi"/>
                <w:sz w:val="22"/>
                <w:szCs w:val="22"/>
              </w:rPr>
              <m:t>d,GN</m:t>
            </m:r>
          </m:sub>
        </m:sSub>
        <m:r>
          <w:rPr>
            <w:rFonts w:ascii="Cambria Math" w:hAnsi="Cambria Math" w:cstheme="minorHAnsi"/>
            <w:sz w:val="22"/>
            <w:szCs w:val="22"/>
          </w:rPr>
          <m:t>∙</m:t>
        </m:r>
        <m:d>
          <m:dPr>
            <m:ctrlPr>
              <w:rPr>
                <w:rFonts w:ascii="Cambria Math" w:hAnsi="Cambria Math" w:cstheme="minorHAnsi"/>
                <w:i/>
                <w:iCs/>
                <w:sz w:val="22"/>
                <w:szCs w:val="22"/>
              </w:rPr>
            </m:ctrlPr>
          </m:dPr>
          <m:e>
            <m:sSub>
              <m:sSubPr>
                <m:ctrlPr>
                  <w:rPr>
                    <w:rFonts w:ascii="Cambria Math" w:hAnsi="Cambria Math" w:cstheme="minorHAnsi"/>
                    <w:i/>
                    <w:iCs/>
                    <w:sz w:val="22"/>
                    <w:szCs w:val="22"/>
                  </w:rPr>
                </m:ctrlPr>
              </m:sSubPr>
              <m:e>
                <m:r>
                  <w:rPr>
                    <w:rFonts w:ascii="Cambria Math" w:hAnsi="Cambria Math" w:cstheme="minorHAnsi"/>
                    <w:sz w:val="22"/>
                    <w:szCs w:val="22"/>
                  </w:rPr>
                  <m:t>N</m:t>
                </m:r>
              </m:e>
              <m:sub>
                <m:r>
                  <w:rPr>
                    <w:rFonts w:ascii="Cambria Math" w:hAnsi="Cambria Math" w:cstheme="minorHAnsi"/>
                    <w:sz w:val="22"/>
                    <w:szCs w:val="22"/>
                  </w:rPr>
                  <m:t>d,A12</m:t>
                </m:r>
              </m:sub>
            </m:sSub>
            <m:r>
              <w:rPr>
                <w:rFonts w:ascii="Cambria Math" w:hAnsi="Cambria Math" w:cstheme="minorHAnsi"/>
                <w:sz w:val="22"/>
                <w:szCs w:val="22"/>
              </w:rPr>
              <m:t>+</m:t>
            </m:r>
            <m:sSub>
              <m:sSubPr>
                <m:ctrlPr>
                  <w:rPr>
                    <w:rFonts w:ascii="Cambria Math" w:hAnsi="Cambria Math" w:cstheme="minorHAnsi"/>
                    <w:i/>
                    <w:iCs/>
                    <w:sz w:val="22"/>
                    <w:szCs w:val="22"/>
                  </w:rPr>
                </m:ctrlPr>
              </m:sSubPr>
              <m:e>
                <m:r>
                  <w:rPr>
                    <w:rFonts w:ascii="Cambria Math" w:hAnsi="Cambria Math" w:cstheme="minorHAnsi"/>
                    <w:sz w:val="22"/>
                    <w:szCs w:val="22"/>
                  </w:rPr>
                  <m:t>N</m:t>
                </m:r>
              </m:e>
              <m:sub>
                <m:r>
                  <w:rPr>
                    <w:rFonts w:ascii="Cambria Math" w:hAnsi="Cambria Math" w:cstheme="minorHAnsi"/>
                    <w:sz w:val="22"/>
                    <w:szCs w:val="22"/>
                  </w:rPr>
                  <m:t>d,A20</m:t>
                </m:r>
              </m:sub>
            </m:sSub>
          </m:e>
        </m:d>
      </m:oMath>
      <w:r w:rsidR="006656B8">
        <w:rPr>
          <w:rFonts w:ascii="Cambria Math" w:eastAsiaTheme="minorEastAsia" w:hAnsi="Cambria Math" w:cstheme="minorHAnsi"/>
          <w:sz w:val="22"/>
          <w:szCs w:val="22"/>
        </w:rPr>
        <w:t>.</w:t>
      </w:r>
    </w:p>
    <w:p w14:paraId="12C05368" w14:textId="5228DB26" w:rsidR="0093439A" w:rsidRDefault="00052B67" w:rsidP="0093439A">
      <w:pPr>
        <w:pStyle w:val="Body"/>
      </w:pPr>
      <w:r>
        <w:rPr>
          <w:bCs/>
          <w:lang w:val="en-US"/>
        </w:rPr>
        <w:lastRenderedPageBreak/>
        <w:t>For purse seine test fisheries</w:t>
      </w:r>
      <w:r w:rsidR="00C74D31">
        <w:rPr>
          <w:bCs/>
          <w:lang w:val="en-US"/>
        </w:rPr>
        <w:t>,</w:t>
      </w:r>
      <w:r>
        <w:rPr>
          <w:bCs/>
          <w:lang w:val="en-US"/>
        </w:rPr>
        <w:t xml:space="preserve"> it is assumed that the </w:t>
      </w:r>
      <w:r w:rsidR="00C74D31">
        <w:rPr>
          <w:bCs/>
          <w:lang w:val="en-US"/>
        </w:rPr>
        <w:t xml:space="preserve">catchability depends on the relative width of the area swept or sampled, i.e., the width of the migratory channel at the test fishing site in relation to the size of the fishing net. Because the relative width of the area swept in </w:t>
      </w:r>
      <w:r w:rsidR="00CC6BF9">
        <w:rPr>
          <w:bCs/>
          <w:lang w:val="en-US"/>
        </w:rPr>
        <w:t>Juan de Fuca Strait</w:t>
      </w:r>
      <w:r w:rsidR="00C74D31">
        <w:rPr>
          <w:bCs/>
          <w:lang w:val="en-US"/>
        </w:rPr>
        <w:t xml:space="preserve"> is 2.2 times larger than in </w:t>
      </w:r>
      <w:r w:rsidR="00CC6BF9">
        <w:rPr>
          <w:bCs/>
          <w:lang w:val="en-US"/>
        </w:rPr>
        <w:t>Johnstone</w:t>
      </w:r>
      <w:r w:rsidR="00C74D31">
        <w:rPr>
          <w:bCs/>
          <w:lang w:val="en-US"/>
        </w:rPr>
        <w:t xml:space="preserve"> Strait, it is assumed that the sockeye catchability of the purse seine test fishery in Area 12 is 2.2 times greater than in Area 20. Similarly, the catchability in Area 13 is assumed to be 1.5 times greater than in Area 12</w:t>
      </w:r>
      <w:r w:rsidR="001D7F90">
        <w:rPr>
          <w:bCs/>
          <w:lang w:val="en-US"/>
        </w:rPr>
        <w:t>, or 3.3 times greater than in Area 20</w:t>
      </w:r>
      <w:r w:rsidR="00C74D31">
        <w:rPr>
          <w:bCs/>
          <w:lang w:val="en-US"/>
        </w:rPr>
        <w:t>.</w:t>
      </w:r>
      <w:r w:rsidR="0093439A" w:rsidRPr="0093439A">
        <w:t xml:space="preserve"> </w:t>
      </w:r>
      <w:r w:rsidR="0093439A">
        <w:t xml:space="preserve">The purse seine CPUE on a given day in the Area 12, 20 and </w:t>
      </w:r>
      <w:r w:rsidR="001D7F90">
        <w:t xml:space="preserve">13 </w:t>
      </w:r>
      <w:r w:rsidR="006656B8">
        <w:t>(</w:t>
      </w:r>
      <w:r w:rsidR="006656B8" w:rsidRPr="006656B8">
        <w:rPr>
          <w:i/>
          <w:iCs/>
        </w:rPr>
        <w:t>I</w:t>
      </w:r>
      <w:r w:rsidR="006656B8" w:rsidRPr="006656B8">
        <w:rPr>
          <w:i/>
          <w:iCs/>
          <w:vertAlign w:val="subscript"/>
        </w:rPr>
        <w:t>d,PS,a</w:t>
      </w:r>
      <w:r w:rsidR="006656B8">
        <w:t xml:space="preserve">) </w:t>
      </w:r>
      <w:r w:rsidR="001D7F90">
        <w:t xml:space="preserve">is </w:t>
      </w:r>
      <w:r w:rsidR="0053154D">
        <w:t xml:space="preserve">therefore </w:t>
      </w:r>
      <w:r w:rsidR="001D7F90">
        <w:t>respectively:</w:t>
      </w:r>
    </w:p>
    <w:p w14:paraId="2AD67CC0" w14:textId="3A2B44C0" w:rsidR="001D7F90" w:rsidRPr="006656B8" w:rsidRDefault="0015233E" w:rsidP="006656B8">
      <w:pPr>
        <w:pStyle w:val="Default"/>
        <w:numPr>
          <w:ilvl w:val="0"/>
          <w:numId w:val="13"/>
        </w:numPr>
        <w:spacing w:before="120" w:after="120"/>
        <w:ind w:left="2160" w:firstLine="0"/>
        <w:rPr>
          <w:rFonts w:ascii="Cambria Math" w:hAnsi="Cambria Math" w:cstheme="minorHAnsi"/>
          <w:i/>
          <w:iCs/>
          <w:sz w:val="22"/>
          <w:szCs w:val="22"/>
        </w:rPr>
      </w:pPr>
      <m:oMath>
        <m:sSub>
          <m:sSubPr>
            <m:ctrlPr>
              <w:rPr>
                <w:rFonts w:ascii="Cambria Math" w:hAnsi="Cambria Math" w:cstheme="minorHAnsi"/>
                <w:i/>
                <w:iCs/>
                <w:sz w:val="22"/>
                <w:szCs w:val="22"/>
              </w:rPr>
            </m:ctrlPr>
          </m:sSubPr>
          <m:e>
            <m:r>
              <w:rPr>
                <w:rFonts w:ascii="Cambria Math" w:hAnsi="Cambria Math" w:cstheme="minorHAnsi"/>
                <w:sz w:val="22"/>
                <w:szCs w:val="22"/>
              </w:rPr>
              <m:t>I</m:t>
            </m:r>
          </m:e>
          <m:sub>
            <m:r>
              <w:rPr>
                <w:rFonts w:ascii="Cambria Math" w:hAnsi="Cambria Math" w:cstheme="minorHAnsi"/>
                <w:sz w:val="22"/>
                <w:szCs w:val="22"/>
              </w:rPr>
              <m:t>d,PS, A20</m:t>
            </m:r>
          </m:sub>
        </m:sSub>
        <m:r>
          <w:rPr>
            <w:rFonts w:ascii="Cambria Math" w:hAnsi="Cambria Math" w:cstheme="minorHAnsi"/>
            <w:sz w:val="22"/>
            <w:szCs w:val="22"/>
          </w:rPr>
          <m:t>=</m:t>
        </m:r>
        <m:sSub>
          <m:sSubPr>
            <m:ctrlPr>
              <w:rPr>
                <w:rFonts w:ascii="Cambria Math" w:hAnsi="Cambria Math" w:cstheme="minorHAnsi"/>
                <w:i/>
                <w:iCs/>
                <w:sz w:val="22"/>
                <w:szCs w:val="22"/>
              </w:rPr>
            </m:ctrlPr>
          </m:sSubPr>
          <m:e>
            <m:r>
              <w:rPr>
                <w:rFonts w:ascii="Cambria Math" w:hAnsi="Cambria Math" w:cstheme="minorHAnsi"/>
                <w:sz w:val="22"/>
                <w:szCs w:val="22"/>
              </w:rPr>
              <m:t>q</m:t>
            </m:r>
          </m:e>
          <m:sub>
            <m:r>
              <w:rPr>
                <w:rFonts w:ascii="Cambria Math" w:hAnsi="Cambria Math" w:cstheme="minorHAnsi"/>
                <w:sz w:val="22"/>
                <w:szCs w:val="22"/>
              </w:rPr>
              <m:t>d,PS, A20</m:t>
            </m:r>
          </m:sub>
        </m:sSub>
        <m:r>
          <w:rPr>
            <w:rFonts w:ascii="Cambria Math" w:hAnsi="Cambria Math" w:cstheme="minorHAnsi"/>
            <w:sz w:val="22"/>
            <w:szCs w:val="22"/>
          </w:rPr>
          <m:t>∙</m:t>
        </m:r>
        <m:sSub>
          <m:sSubPr>
            <m:ctrlPr>
              <w:rPr>
                <w:rFonts w:ascii="Cambria Math" w:hAnsi="Cambria Math" w:cstheme="minorHAnsi"/>
                <w:i/>
                <w:iCs/>
                <w:sz w:val="22"/>
                <w:szCs w:val="22"/>
              </w:rPr>
            </m:ctrlPr>
          </m:sSubPr>
          <m:e>
            <m:r>
              <w:rPr>
                <w:rFonts w:ascii="Cambria Math" w:hAnsi="Cambria Math" w:cstheme="minorHAnsi"/>
                <w:sz w:val="22"/>
                <w:szCs w:val="22"/>
              </w:rPr>
              <m:t>N</m:t>
            </m:r>
          </m:e>
          <m:sub>
            <m:r>
              <w:rPr>
                <w:rFonts w:ascii="Cambria Math" w:hAnsi="Cambria Math" w:cstheme="minorHAnsi"/>
                <w:sz w:val="22"/>
                <w:szCs w:val="22"/>
              </w:rPr>
              <m:t>d,A20</m:t>
            </m:r>
          </m:sub>
        </m:sSub>
      </m:oMath>
      <w:r w:rsidR="001D7F90" w:rsidRPr="006656B8">
        <w:rPr>
          <w:rFonts w:ascii="Cambria Math" w:hAnsi="Cambria Math" w:cstheme="minorHAnsi"/>
          <w:i/>
          <w:iCs/>
          <w:sz w:val="22"/>
          <w:szCs w:val="22"/>
        </w:rPr>
        <w:t>,</w:t>
      </w:r>
    </w:p>
    <w:p w14:paraId="21D15815" w14:textId="7E67CC47" w:rsidR="001D7F90" w:rsidRPr="006656B8" w:rsidRDefault="0015233E" w:rsidP="006656B8">
      <w:pPr>
        <w:pStyle w:val="Default"/>
        <w:numPr>
          <w:ilvl w:val="0"/>
          <w:numId w:val="13"/>
        </w:numPr>
        <w:spacing w:before="120" w:after="120"/>
        <w:ind w:left="2160" w:firstLine="0"/>
        <w:rPr>
          <w:rFonts w:ascii="Cambria Math" w:hAnsi="Cambria Math" w:cstheme="minorHAnsi"/>
          <w:i/>
          <w:iCs/>
          <w:sz w:val="22"/>
          <w:szCs w:val="22"/>
        </w:rPr>
      </w:pPr>
      <m:oMath>
        <m:sSub>
          <m:sSubPr>
            <m:ctrlPr>
              <w:rPr>
                <w:rFonts w:ascii="Cambria Math" w:hAnsi="Cambria Math" w:cstheme="minorHAnsi"/>
                <w:i/>
                <w:iCs/>
                <w:sz w:val="22"/>
                <w:szCs w:val="22"/>
              </w:rPr>
            </m:ctrlPr>
          </m:sSubPr>
          <m:e>
            <m:r>
              <w:rPr>
                <w:rFonts w:ascii="Cambria Math" w:hAnsi="Cambria Math" w:cstheme="minorHAnsi"/>
                <w:sz w:val="22"/>
                <w:szCs w:val="22"/>
              </w:rPr>
              <m:t>I</m:t>
            </m:r>
          </m:e>
          <m:sub>
            <m:r>
              <w:rPr>
                <w:rFonts w:ascii="Cambria Math" w:hAnsi="Cambria Math" w:cstheme="minorHAnsi"/>
                <w:sz w:val="22"/>
                <w:szCs w:val="22"/>
              </w:rPr>
              <m:t>d,PS, A12</m:t>
            </m:r>
          </m:sub>
        </m:sSub>
        <m:r>
          <w:rPr>
            <w:rFonts w:ascii="Cambria Math" w:hAnsi="Cambria Math" w:cstheme="minorHAnsi"/>
            <w:sz w:val="22"/>
            <w:szCs w:val="22"/>
          </w:rPr>
          <m:t>=</m:t>
        </m:r>
        <m:sSub>
          <m:sSubPr>
            <m:ctrlPr>
              <w:rPr>
                <w:rFonts w:ascii="Cambria Math" w:hAnsi="Cambria Math" w:cstheme="minorHAnsi"/>
                <w:i/>
                <w:iCs/>
                <w:sz w:val="22"/>
                <w:szCs w:val="22"/>
              </w:rPr>
            </m:ctrlPr>
          </m:sSubPr>
          <m:e>
            <m:r>
              <w:rPr>
                <w:rFonts w:ascii="Cambria Math" w:hAnsi="Cambria Math" w:cstheme="minorHAnsi"/>
                <w:sz w:val="22"/>
                <w:szCs w:val="22"/>
              </w:rPr>
              <m:t>2.2∙q</m:t>
            </m:r>
          </m:e>
          <m:sub>
            <m:r>
              <w:rPr>
                <w:rFonts w:ascii="Cambria Math" w:hAnsi="Cambria Math" w:cstheme="minorHAnsi"/>
                <w:sz w:val="22"/>
                <w:szCs w:val="22"/>
              </w:rPr>
              <m:t>d,PS, A20</m:t>
            </m:r>
          </m:sub>
        </m:sSub>
        <m:r>
          <w:rPr>
            <w:rFonts w:ascii="Cambria Math" w:hAnsi="Cambria Math" w:cstheme="minorHAnsi"/>
            <w:sz w:val="22"/>
            <w:szCs w:val="22"/>
          </w:rPr>
          <m:t>∙</m:t>
        </m:r>
        <m:sSub>
          <m:sSubPr>
            <m:ctrlPr>
              <w:rPr>
                <w:rFonts w:ascii="Cambria Math" w:hAnsi="Cambria Math" w:cstheme="minorHAnsi"/>
                <w:i/>
                <w:iCs/>
                <w:sz w:val="22"/>
                <w:szCs w:val="22"/>
              </w:rPr>
            </m:ctrlPr>
          </m:sSubPr>
          <m:e>
            <m:r>
              <w:rPr>
                <w:rFonts w:ascii="Cambria Math" w:hAnsi="Cambria Math" w:cstheme="minorHAnsi"/>
                <w:sz w:val="22"/>
                <w:szCs w:val="22"/>
              </w:rPr>
              <m:t>N</m:t>
            </m:r>
          </m:e>
          <m:sub>
            <m:r>
              <w:rPr>
                <w:rFonts w:ascii="Cambria Math" w:hAnsi="Cambria Math" w:cstheme="minorHAnsi"/>
                <w:sz w:val="22"/>
                <w:szCs w:val="22"/>
              </w:rPr>
              <m:t>d,A12</m:t>
            </m:r>
          </m:sub>
        </m:sSub>
      </m:oMath>
      <w:r w:rsidR="001D7F90" w:rsidRPr="006656B8">
        <w:rPr>
          <w:rFonts w:ascii="Cambria Math" w:hAnsi="Cambria Math" w:cstheme="minorHAnsi"/>
          <w:i/>
          <w:iCs/>
          <w:sz w:val="22"/>
          <w:szCs w:val="22"/>
        </w:rPr>
        <w:t>, and</w:t>
      </w:r>
    </w:p>
    <w:p w14:paraId="0CD5D3AA" w14:textId="1904DD46" w:rsidR="001D7F90" w:rsidRPr="001B4929" w:rsidRDefault="0015233E" w:rsidP="001D7F90">
      <w:pPr>
        <w:pStyle w:val="Default"/>
        <w:numPr>
          <w:ilvl w:val="0"/>
          <w:numId w:val="13"/>
        </w:numPr>
        <w:spacing w:before="120" w:after="120"/>
        <w:rPr>
          <w:rFonts w:ascii="Cambria Math" w:hAnsi="Cambria Math" w:cstheme="minorHAnsi"/>
          <w:sz w:val="22"/>
          <w:szCs w:val="22"/>
        </w:rPr>
      </w:pPr>
      <m:oMath>
        <m:sSub>
          <m:sSubPr>
            <m:ctrlPr>
              <w:rPr>
                <w:rFonts w:ascii="Cambria Math" w:hAnsi="Cambria Math" w:cstheme="minorHAnsi"/>
                <w:i/>
                <w:iCs/>
                <w:sz w:val="22"/>
                <w:szCs w:val="22"/>
              </w:rPr>
            </m:ctrlPr>
          </m:sSubPr>
          <m:e>
            <m:r>
              <w:rPr>
                <w:rFonts w:ascii="Cambria Math" w:hAnsi="Cambria Math" w:cstheme="minorHAnsi"/>
                <w:sz w:val="22"/>
                <w:szCs w:val="22"/>
              </w:rPr>
              <m:t>I</m:t>
            </m:r>
          </m:e>
          <m:sub>
            <m:r>
              <w:rPr>
                <w:rFonts w:ascii="Cambria Math" w:hAnsi="Cambria Math" w:cstheme="minorHAnsi"/>
                <w:sz w:val="22"/>
                <w:szCs w:val="22"/>
              </w:rPr>
              <m:t>d,PS, A13</m:t>
            </m:r>
          </m:sub>
        </m:sSub>
        <m:r>
          <w:rPr>
            <w:rFonts w:ascii="Cambria Math" w:hAnsi="Cambria Math" w:cstheme="minorHAnsi"/>
            <w:sz w:val="22"/>
            <w:szCs w:val="22"/>
          </w:rPr>
          <m:t>=3.3∙</m:t>
        </m:r>
        <m:sSub>
          <m:sSubPr>
            <m:ctrlPr>
              <w:rPr>
                <w:rFonts w:ascii="Cambria Math" w:hAnsi="Cambria Math" w:cstheme="minorHAnsi"/>
                <w:i/>
                <w:iCs/>
                <w:sz w:val="22"/>
                <w:szCs w:val="22"/>
              </w:rPr>
            </m:ctrlPr>
          </m:sSubPr>
          <m:e>
            <m:r>
              <w:rPr>
                <w:rFonts w:ascii="Cambria Math" w:hAnsi="Cambria Math" w:cstheme="minorHAnsi"/>
                <w:sz w:val="22"/>
                <w:szCs w:val="22"/>
              </w:rPr>
              <m:t>q</m:t>
            </m:r>
          </m:e>
          <m:sub>
            <m:r>
              <w:rPr>
                <w:rFonts w:ascii="Cambria Math" w:hAnsi="Cambria Math" w:cstheme="minorHAnsi"/>
                <w:sz w:val="22"/>
                <w:szCs w:val="22"/>
              </w:rPr>
              <m:t>d,PS, A20</m:t>
            </m:r>
          </m:sub>
        </m:sSub>
        <m:r>
          <w:rPr>
            <w:rFonts w:ascii="Cambria Math" w:hAnsi="Cambria Math" w:cstheme="minorHAnsi"/>
            <w:sz w:val="22"/>
            <w:szCs w:val="22"/>
          </w:rPr>
          <m:t>∙</m:t>
        </m:r>
        <m:d>
          <m:dPr>
            <m:ctrlPr>
              <w:rPr>
                <w:rFonts w:ascii="Cambria Math" w:hAnsi="Cambria Math" w:cstheme="minorHAnsi"/>
                <w:i/>
                <w:iCs/>
                <w:sz w:val="22"/>
                <w:szCs w:val="22"/>
              </w:rPr>
            </m:ctrlPr>
          </m:dPr>
          <m:e>
            <m:sSub>
              <m:sSubPr>
                <m:ctrlPr>
                  <w:rPr>
                    <w:rFonts w:ascii="Cambria Math" w:hAnsi="Cambria Math" w:cstheme="minorHAnsi"/>
                    <w:i/>
                    <w:iCs/>
                    <w:sz w:val="22"/>
                    <w:szCs w:val="22"/>
                  </w:rPr>
                </m:ctrlPr>
              </m:sSubPr>
              <m:e>
                <m:r>
                  <w:rPr>
                    <w:rFonts w:ascii="Cambria Math" w:hAnsi="Cambria Math" w:cstheme="minorHAnsi"/>
                    <w:sz w:val="22"/>
                    <w:szCs w:val="22"/>
                  </w:rPr>
                  <m:t>N</m:t>
                </m:r>
              </m:e>
              <m:sub>
                <m:r>
                  <w:rPr>
                    <w:rFonts w:ascii="Cambria Math" w:hAnsi="Cambria Math" w:cstheme="minorHAnsi"/>
                    <w:sz w:val="22"/>
                    <w:szCs w:val="22"/>
                  </w:rPr>
                  <m:t>d,A12</m:t>
                </m:r>
              </m:sub>
            </m:sSub>
            <m:r>
              <w:rPr>
                <w:rFonts w:ascii="Cambria Math" w:hAnsi="Cambria Math" w:cstheme="minorHAnsi"/>
                <w:sz w:val="22"/>
                <w:szCs w:val="22"/>
              </w:rPr>
              <m:t>-</m:t>
            </m:r>
            <m:sSub>
              <m:sSubPr>
                <m:ctrlPr>
                  <w:rPr>
                    <w:rFonts w:ascii="Cambria Math" w:hAnsi="Cambria Math" w:cstheme="minorHAnsi"/>
                    <w:i/>
                    <w:iCs/>
                    <w:sz w:val="22"/>
                    <w:szCs w:val="22"/>
                  </w:rPr>
                </m:ctrlPr>
              </m:sSubPr>
              <m:e>
                <m:r>
                  <w:rPr>
                    <w:rFonts w:ascii="Cambria Math" w:hAnsi="Cambria Math" w:cstheme="minorHAnsi"/>
                    <w:sz w:val="22"/>
                    <w:szCs w:val="22"/>
                  </w:rPr>
                  <m:t>C</m:t>
                </m:r>
              </m:e>
              <m:sub>
                <m:r>
                  <w:rPr>
                    <w:rFonts w:ascii="Cambria Math" w:hAnsi="Cambria Math" w:cstheme="minorHAnsi"/>
                    <w:sz w:val="22"/>
                    <w:szCs w:val="22"/>
                  </w:rPr>
                  <m:t>d,A12</m:t>
                </m:r>
              </m:sub>
            </m:sSub>
          </m:e>
        </m:d>
      </m:oMath>
    </w:p>
    <w:p w14:paraId="2D9D1A4B" w14:textId="046C10C2" w:rsidR="006656B8" w:rsidRPr="002E54D9" w:rsidRDefault="00CC6BF9" w:rsidP="006656B8">
      <w:pPr>
        <w:pStyle w:val="Body"/>
      </w:pPr>
      <w:r>
        <w:t>w</w:t>
      </w:r>
      <w:r w:rsidR="001D7F90">
        <w:t xml:space="preserve">here </w:t>
      </w:r>
      <w:r w:rsidR="006656B8" w:rsidRPr="006656B8">
        <w:rPr>
          <w:i/>
          <w:iCs/>
        </w:rPr>
        <w:t>C</w:t>
      </w:r>
      <w:r w:rsidR="006656B8" w:rsidRPr="006656B8">
        <w:rPr>
          <w:i/>
          <w:iCs/>
          <w:vertAlign w:val="subscript"/>
        </w:rPr>
        <w:t>d,A12</w:t>
      </w:r>
      <w:r w:rsidR="006656B8">
        <w:t xml:space="preserve"> is the total catch taken between Area 12 and 13 on a given day. </w:t>
      </w:r>
      <w:r w:rsidR="006656B8" w:rsidRPr="002E54D9">
        <w:t xml:space="preserve">The observed CPUE data </w:t>
      </w:r>
      <w:r w:rsidR="006656B8">
        <w:t>for the different test fisheries (</w:t>
      </w:r>
      <w:r w:rsidR="006656B8" w:rsidRPr="006656B8">
        <w:rPr>
          <w:i/>
          <w:iCs/>
        </w:rPr>
        <w:t>f</w:t>
      </w:r>
      <w:r w:rsidR="006656B8">
        <w:t xml:space="preserve">) </w:t>
      </w:r>
      <w:r w:rsidR="006656B8" w:rsidRPr="002E54D9">
        <w:t>differ from the model predictions assuming lognormal residual errors:</w:t>
      </w:r>
    </w:p>
    <w:p w14:paraId="7F066DA8" w14:textId="02B753E0" w:rsidR="006656B8" w:rsidRPr="00664B08" w:rsidRDefault="0015233E" w:rsidP="006656B8">
      <w:pPr>
        <w:pStyle w:val="Default"/>
        <w:numPr>
          <w:ilvl w:val="0"/>
          <w:numId w:val="13"/>
        </w:numPr>
        <w:spacing w:before="120" w:after="120"/>
        <w:rPr>
          <w:rFonts w:ascii="Cambria Math" w:hAnsi="Cambria Math" w:cstheme="minorHAnsi"/>
          <w:i/>
          <w:iCs/>
          <w:sz w:val="22"/>
          <w:szCs w:val="22"/>
        </w:rPr>
      </w:pPr>
      <m:oMath>
        <m:sSubSup>
          <m:sSubSupPr>
            <m:ctrlPr>
              <w:rPr>
                <w:rFonts w:ascii="Cambria Math" w:hAnsi="Cambria Math" w:cstheme="minorHAnsi"/>
                <w:i/>
                <w:iCs/>
                <w:sz w:val="22"/>
                <w:szCs w:val="22"/>
              </w:rPr>
            </m:ctrlPr>
          </m:sSubSupPr>
          <m:e>
            <m:r>
              <w:rPr>
                <w:rFonts w:ascii="Cambria Math" w:hAnsi="Cambria Math" w:cstheme="minorHAnsi"/>
                <w:sz w:val="22"/>
                <w:szCs w:val="22"/>
              </w:rPr>
              <m:t>I</m:t>
            </m:r>
          </m:e>
          <m:sub>
            <m:r>
              <w:rPr>
                <w:rFonts w:ascii="Cambria Math" w:hAnsi="Cambria Math" w:cstheme="minorHAnsi"/>
                <w:sz w:val="22"/>
                <w:szCs w:val="22"/>
              </w:rPr>
              <m:t>d,f</m:t>
            </m:r>
          </m:sub>
          <m:sup>
            <m:r>
              <w:rPr>
                <w:rFonts w:ascii="Cambria Math" w:hAnsi="Cambria Math" w:cstheme="minorHAnsi"/>
                <w:sz w:val="22"/>
                <w:szCs w:val="22"/>
              </w:rPr>
              <m:t>obs</m:t>
            </m:r>
          </m:sup>
        </m:sSubSup>
        <m:r>
          <w:rPr>
            <w:rFonts w:ascii="Cambria Math" w:hAnsi="Cambria Math" w:cstheme="minorHAnsi"/>
            <w:sz w:val="22"/>
            <w:szCs w:val="22"/>
          </w:rPr>
          <m:t>=</m:t>
        </m:r>
        <m:sSub>
          <m:sSubPr>
            <m:ctrlPr>
              <w:rPr>
                <w:rFonts w:ascii="Cambria Math" w:hAnsi="Cambria Math" w:cstheme="minorHAnsi"/>
                <w:i/>
                <w:iCs/>
                <w:sz w:val="22"/>
                <w:szCs w:val="22"/>
              </w:rPr>
            </m:ctrlPr>
          </m:sSubPr>
          <m:e>
            <m:r>
              <w:rPr>
                <w:rFonts w:ascii="Cambria Math" w:hAnsi="Cambria Math" w:cstheme="minorHAnsi"/>
                <w:sz w:val="22"/>
                <w:szCs w:val="22"/>
              </w:rPr>
              <m:t>I</m:t>
            </m:r>
          </m:e>
          <m:sub>
            <m:r>
              <w:rPr>
                <w:rFonts w:ascii="Cambria Math" w:hAnsi="Cambria Math" w:cstheme="minorHAnsi"/>
                <w:sz w:val="22"/>
                <w:szCs w:val="22"/>
              </w:rPr>
              <m:t>d,f</m:t>
            </m:r>
          </m:sub>
        </m:sSub>
        <m:r>
          <w:rPr>
            <w:rFonts w:ascii="Cambria Math" w:hAnsi="Cambria Math" w:cstheme="minorHAnsi"/>
            <w:sz w:val="22"/>
            <w:szCs w:val="22"/>
          </w:rPr>
          <m:t>∙exp</m:t>
        </m:r>
        <m:d>
          <m:dPr>
            <m:ctrlPr>
              <w:rPr>
                <w:rFonts w:ascii="Cambria Math" w:hAnsi="Cambria Math" w:cstheme="minorHAnsi"/>
                <w:i/>
                <w:iCs/>
                <w:sz w:val="22"/>
                <w:szCs w:val="22"/>
              </w:rPr>
            </m:ctrlPr>
          </m:dPr>
          <m:e>
            <m:sSub>
              <m:sSubPr>
                <m:ctrlPr>
                  <w:rPr>
                    <w:rFonts w:ascii="Cambria Math" w:hAnsi="Cambria Math" w:cstheme="minorHAnsi"/>
                    <w:i/>
                    <w:iCs/>
                    <w:sz w:val="22"/>
                    <w:szCs w:val="22"/>
                  </w:rPr>
                </m:ctrlPr>
              </m:sSubPr>
              <m:e>
                <m:r>
                  <w:rPr>
                    <w:rFonts w:ascii="Cambria Math" w:hAnsi="Cambria Math" w:cstheme="minorHAnsi"/>
                    <w:sz w:val="22"/>
                    <w:szCs w:val="22"/>
                  </w:rPr>
                  <m:t>w</m:t>
                </m:r>
              </m:e>
              <m:sub>
                <m:r>
                  <w:rPr>
                    <w:rFonts w:ascii="Cambria Math" w:hAnsi="Cambria Math" w:cstheme="minorHAnsi"/>
                    <w:sz w:val="22"/>
                    <w:szCs w:val="22"/>
                  </w:rPr>
                  <m:t>d,f</m:t>
                </m:r>
              </m:sub>
            </m:sSub>
          </m:e>
        </m:d>
      </m:oMath>
    </w:p>
    <w:p w14:paraId="2ECB2A80" w14:textId="50A19CB3" w:rsidR="00770A54" w:rsidRDefault="006656B8" w:rsidP="00770A54">
      <w:pPr>
        <w:pStyle w:val="Body"/>
      </w:pPr>
      <w:r w:rsidRPr="002E54D9">
        <w:rPr>
          <w:rFonts w:ascii="Calibri" w:hAnsi="Calibri" w:cs="Calibri"/>
        </w:rPr>
        <w:t xml:space="preserve">with </w:t>
      </w:r>
      <m:oMath>
        <m:sSub>
          <m:sSubPr>
            <m:ctrlPr>
              <w:rPr>
                <w:rFonts w:ascii="Cambria Math" w:hAnsi="Cambria Math"/>
              </w:rPr>
            </m:ctrlPr>
          </m:sSubPr>
          <m:e>
            <m:r>
              <w:rPr>
                <w:rFonts w:ascii="Cambria Math" w:hAnsi="Cambria Math"/>
              </w:rPr>
              <m:t>w</m:t>
            </m:r>
          </m:e>
          <m:sub>
            <m:r>
              <w:rPr>
                <w:rFonts w:ascii="Cambria Math" w:hAnsi="Cambria Math"/>
              </w:rPr>
              <m:t>d,f</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0,</m:t>
            </m:r>
            <m:sSubSup>
              <m:sSubSupPr>
                <m:ctrlPr>
                  <w:rPr>
                    <w:rFonts w:ascii="Cambria Math" w:hAnsi="Cambria Math"/>
                  </w:rPr>
                </m:ctrlPr>
              </m:sSubSupPr>
              <m:e>
                <m:r>
                  <w:rPr>
                    <w:rFonts w:ascii="Cambria Math" w:hAnsi="Cambria Math"/>
                  </w:rPr>
                  <m:t>σ</m:t>
                </m:r>
              </m:e>
              <m:sub>
                <m:r>
                  <w:rPr>
                    <w:rFonts w:ascii="Cambria Math" w:hAnsi="Cambria Math"/>
                  </w:rPr>
                  <m:t>w,f</m:t>
                </m:r>
              </m:sub>
              <m:sup>
                <m:r>
                  <m:rPr>
                    <m:sty m:val="p"/>
                  </m:rPr>
                  <w:rPr>
                    <w:rFonts w:ascii="Cambria Math" w:hAnsi="Cambria Math"/>
                  </w:rPr>
                  <m:t>2</m:t>
                </m:r>
              </m:sup>
            </m:sSubSup>
          </m:e>
        </m:d>
      </m:oMath>
      <w:r w:rsidRPr="002E54D9">
        <w:rPr>
          <w:rFonts w:ascii="Calibri" w:hAnsi="Calibri" w:cs="Calibri"/>
        </w:rPr>
        <w:t>.</w:t>
      </w:r>
      <w:r w:rsidR="00770A54" w:rsidRPr="00770A54">
        <w:t xml:space="preserve"> </w:t>
      </w:r>
      <w:r w:rsidR="00770A54" w:rsidRPr="001B4929">
        <w:t>Reconstructed daily marine abundances (</w:t>
      </w:r>
      <m:oMath>
        <m:sSubSup>
          <m:sSubSupPr>
            <m:ctrlPr>
              <w:rPr>
                <w:rFonts w:ascii="Cambria Math" w:eastAsia="Calibri" w:hAnsi="Cambria Math"/>
                <w:i/>
                <w:lang w:val="en-US"/>
              </w:rPr>
            </m:ctrlPr>
          </m:sSubSupPr>
          <m:e>
            <m:r>
              <w:rPr>
                <w:rFonts w:ascii="Cambria Math" w:hAnsi="Cambria Math"/>
              </w:rPr>
              <m:t>N</m:t>
            </m:r>
          </m:e>
          <m:sub>
            <m:r>
              <w:rPr>
                <w:rFonts w:ascii="Cambria Math" w:hAnsi="Cambria Math"/>
              </w:rPr>
              <m:t>d</m:t>
            </m:r>
          </m:sub>
          <m:sup>
            <m:r>
              <w:rPr>
                <w:rFonts w:ascii="Cambria Math" w:hAnsi="Cambria Math"/>
              </w:rPr>
              <m:t>obs</m:t>
            </m:r>
          </m:sup>
        </m:sSubSup>
      </m:oMath>
      <w:r w:rsidR="00770A54" w:rsidRPr="001B4929">
        <w:t xml:space="preserve">) deviate from the daily abundances </w:t>
      </w:r>
      <w:r w:rsidR="006B38DC" w:rsidRPr="001B4929">
        <w:t>(</w:t>
      </w:r>
      <w:r w:rsidR="006B38DC" w:rsidRPr="001B4929">
        <w:rPr>
          <w:i/>
          <w:iCs/>
        </w:rPr>
        <w:t>N</w:t>
      </w:r>
      <w:r w:rsidR="006B38DC" w:rsidRPr="001B4929">
        <w:rPr>
          <w:i/>
          <w:iCs/>
          <w:vertAlign w:val="subscript"/>
        </w:rPr>
        <w:t>d</w:t>
      </w:r>
      <w:r w:rsidR="006B38DC" w:rsidRPr="001B4929">
        <w:t>)</w:t>
      </w:r>
      <w:r w:rsidR="006B38DC">
        <w:t xml:space="preserve"> </w:t>
      </w:r>
      <w:r w:rsidR="00770A54" w:rsidRPr="001B4929">
        <w:t>predicted by the time-density model:</w:t>
      </w:r>
    </w:p>
    <w:p w14:paraId="432A2E2B" w14:textId="03A51107" w:rsidR="00770A54" w:rsidRPr="00770A54" w:rsidRDefault="0015233E" w:rsidP="00770A54">
      <w:pPr>
        <w:pStyle w:val="Default"/>
        <w:numPr>
          <w:ilvl w:val="0"/>
          <w:numId w:val="13"/>
        </w:numPr>
        <w:spacing w:before="120" w:after="120"/>
        <w:rPr>
          <w:rFonts w:ascii="Cambria Math" w:hAnsi="Cambria Math" w:cstheme="minorHAnsi"/>
          <w:i/>
          <w:iCs/>
          <w:sz w:val="22"/>
          <w:szCs w:val="22"/>
        </w:rPr>
      </w:pPr>
      <m:oMath>
        <m:sSubSup>
          <m:sSubSupPr>
            <m:ctrlPr>
              <w:rPr>
                <w:rFonts w:ascii="Cambria Math" w:hAnsi="Cambria Math" w:cstheme="minorHAnsi"/>
                <w:i/>
                <w:iCs/>
                <w:sz w:val="22"/>
                <w:szCs w:val="22"/>
              </w:rPr>
            </m:ctrlPr>
          </m:sSubSupPr>
          <m:e>
            <m:r>
              <w:rPr>
                <w:rFonts w:ascii="Cambria Math" w:hAnsi="Cambria Math" w:cstheme="minorHAnsi"/>
                <w:sz w:val="22"/>
                <w:szCs w:val="22"/>
              </w:rPr>
              <m:t>N</m:t>
            </m:r>
          </m:e>
          <m:sub>
            <m:r>
              <w:rPr>
                <w:rFonts w:ascii="Cambria Math" w:hAnsi="Cambria Math" w:cstheme="minorHAnsi"/>
                <w:sz w:val="22"/>
                <w:szCs w:val="22"/>
              </w:rPr>
              <m:t>d</m:t>
            </m:r>
          </m:sub>
          <m:sup>
            <m:r>
              <w:rPr>
                <w:rFonts w:ascii="Cambria Math" w:hAnsi="Cambria Math" w:cstheme="minorHAnsi"/>
                <w:sz w:val="22"/>
                <w:szCs w:val="22"/>
              </w:rPr>
              <m:t>obs</m:t>
            </m:r>
          </m:sup>
        </m:sSubSup>
        <m:r>
          <w:rPr>
            <w:rFonts w:ascii="Cambria Math" w:hAnsi="Cambria Math" w:cstheme="minorHAnsi"/>
            <w:sz w:val="22"/>
            <w:szCs w:val="22"/>
          </w:rPr>
          <m:t>=</m:t>
        </m:r>
        <m:sSub>
          <m:sSubPr>
            <m:ctrlPr>
              <w:rPr>
                <w:rFonts w:ascii="Cambria Math" w:hAnsi="Cambria Math" w:cstheme="minorHAnsi"/>
                <w:i/>
                <w:iCs/>
                <w:sz w:val="22"/>
                <w:szCs w:val="22"/>
              </w:rPr>
            </m:ctrlPr>
          </m:sSubPr>
          <m:e>
            <m:r>
              <w:rPr>
                <w:rFonts w:ascii="Cambria Math" w:hAnsi="Cambria Math" w:cstheme="minorHAnsi"/>
                <w:sz w:val="22"/>
                <w:szCs w:val="22"/>
              </w:rPr>
              <m:t>N</m:t>
            </m:r>
          </m:e>
          <m:sub>
            <m:r>
              <w:rPr>
                <w:rFonts w:ascii="Cambria Math" w:hAnsi="Cambria Math" w:cstheme="minorHAnsi"/>
                <w:sz w:val="22"/>
                <w:szCs w:val="22"/>
              </w:rPr>
              <m:t>d,A12</m:t>
            </m:r>
          </m:sub>
        </m:sSub>
        <m:r>
          <w:rPr>
            <w:rFonts w:ascii="Cambria Math" w:hAnsi="Cambria Math" w:cstheme="minorHAnsi"/>
            <w:sz w:val="22"/>
            <w:szCs w:val="22"/>
          </w:rPr>
          <m:t>+</m:t>
        </m:r>
        <m:sSub>
          <m:sSubPr>
            <m:ctrlPr>
              <w:rPr>
                <w:rFonts w:ascii="Cambria Math" w:hAnsi="Cambria Math" w:cstheme="minorHAnsi"/>
                <w:i/>
                <w:iCs/>
                <w:sz w:val="22"/>
                <w:szCs w:val="22"/>
              </w:rPr>
            </m:ctrlPr>
          </m:sSubPr>
          <m:e>
            <m:r>
              <w:rPr>
                <w:rFonts w:ascii="Cambria Math" w:hAnsi="Cambria Math" w:cstheme="minorHAnsi"/>
                <w:sz w:val="22"/>
                <w:szCs w:val="22"/>
              </w:rPr>
              <m:t>N</m:t>
            </m:r>
          </m:e>
          <m:sub>
            <m:r>
              <w:rPr>
                <w:rFonts w:ascii="Cambria Math" w:hAnsi="Cambria Math" w:cstheme="minorHAnsi"/>
                <w:sz w:val="22"/>
                <w:szCs w:val="22"/>
              </w:rPr>
              <m:t>d,A20</m:t>
            </m:r>
          </m:sub>
        </m:sSub>
        <m:r>
          <w:rPr>
            <w:rFonts w:ascii="Cambria Math" w:hAnsi="Cambria Math" w:cstheme="minorHAnsi"/>
            <w:sz w:val="22"/>
            <w:szCs w:val="22"/>
          </w:rPr>
          <m:t>+</m:t>
        </m:r>
        <m:sSub>
          <m:sSubPr>
            <m:ctrlPr>
              <w:rPr>
                <w:rFonts w:ascii="Cambria Math" w:hAnsi="Cambria Math" w:cstheme="minorHAnsi"/>
                <w:i/>
                <w:iCs/>
                <w:sz w:val="22"/>
                <w:szCs w:val="22"/>
              </w:rPr>
            </m:ctrlPr>
          </m:sSubPr>
          <m:e>
            <m:r>
              <w:rPr>
                <w:rFonts w:ascii="Cambria Math" w:hAnsi="Cambria Math" w:cstheme="minorHAnsi"/>
                <w:sz w:val="22"/>
                <w:szCs w:val="22"/>
              </w:rPr>
              <m:t>v</m:t>
            </m:r>
          </m:e>
          <m:sub>
            <m:r>
              <w:rPr>
                <w:rFonts w:ascii="Cambria Math" w:hAnsi="Cambria Math" w:cstheme="minorHAnsi"/>
                <w:sz w:val="22"/>
                <w:szCs w:val="22"/>
              </w:rPr>
              <m:t>d</m:t>
            </m:r>
          </m:sub>
        </m:sSub>
      </m:oMath>
    </w:p>
    <w:p w14:paraId="3F698EDC" w14:textId="214CABFD" w:rsidR="00630E02" w:rsidRDefault="00CC6BF9" w:rsidP="006656B8">
      <w:pPr>
        <w:pStyle w:val="Body"/>
      </w:pPr>
      <w:r>
        <w:t>w</w:t>
      </w:r>
      <w:r w:rsidRPr="002E54D9">
        <w:t>ith</w:t>
      </w:r>
      <w:r>
        <w:t xml:space="preserve"> </w:t>
      </w:r>
      <w:r w:rsidRPr="002E54D9">
        <w:t xml:space="preserve"> </w:t>
      </w:r>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v</m:t>
                </m:r>
              </m:sub>
              <m:sup>
                <m:r>
                  <w:rPr>
                    <w:rFonts w:ascii="Cambria Math" w:hAnsi="Cambria Math"/>
                  </w:rPr>
                  <m:t>2</m:t>
                </m:r>
              </m:sup>
            </m:sSubSup>
          </m:e>
        </m:d>
      </m:oMath>
      <w:r w:rsidRPr="002E54D9">
        <w:t xml:space="preserve"> reflecting the deviation.</w:t>
      </w:r>
      <w:r w:rsidR="00630E02">
        <w:t xml:space="preserve"> </w:t>
      </w:r>
      <w:r w:rsidR="004C3D9F">
        <w:t>For</w:t>
      </w:r>
      <w:r w:rsidR="00630E02">
        <w:t xml:space="preserve"> stocks that delay their upstream migration, reconstructed daily abundance</w:t>
      </w:r>
      <w:r w:rsidR="004C3D9F">
        <w:t xml:space="preserve"> estimates </w:t>
      </w:r>
      <w:r w:rsidR="007E33C8">
        <w:t xml:space="preserve">will </w:t>
      </w:r>
      <w:r w:rsidR="004C3D9F">
        <w:t xml:space="preserve">not </w:t>
      </w:r>
      <w:r w:rsidR="007E33C8">
        <w:t xml:space="preserve">be </w:t>
      </w:r>
      <w:r w:rsidR="004C3D9F">
        <w:t>available</w:t>
      </w:r>
      <w:r w:rsidR="00630E02">
        <w:t>.</w:t>
      </w:r>
    </w:p>
    <w:p w14:paraId="74CADDB4" w14:textId="27E67CB7" w:rsidR="00713C57" w:rsidRPr="00DE365F" w:rsidRDefault="008527B2" w:rsidP="001773C5">
      <w:pPr>
        <w:pStyle w:val="Heading3"/>
        <w:keepNext w:val="0"/>
        <w:keepLines w:val="0"/>
        <w:widowControl w:val="0"/>
      </w:pPr>
      <w:r>
        <w:t>Bayesian implementation incorporating prior knowledge</w:t>
      </w:r>
    </w:p>
    <w:p w14:paraId="20A59F1D" w14:textId="0E3CCABF" w:rsidR="00DB38B5" w:rsidRDefault="008527B2" w:rsidP="004C3D9F">
      <w:pPr>
        <w:pStyle w:val="Body"/>
      </w:pPr>
      <w:r w:rsidRPr="008527B2">
        <w:t>The time-density model described above requires the simultaneous estimation of total run size (</w:t>
      </w:r>
      <w:r w:rsidR="00CC6BF9" w:rsidRPr="00CC6BF9">
        <w:rPr>
          <w:i/>
          <w:iCs/>
        </w:rPr>
        <w:t>N</w:t>
      </w:r>
      <w:r w:rsidRPr="008527B2">
        <w:t>), timing of the migration (</w:t>
      </w:r>
      <w:r w:rsidRPr="00CC6BF9">
        <w:rPr>
          <w:i/>
          <w:iCs/>
        </w:rPr>
        <w:t>T</w:t>
      </w:r>
      <w:r w:rsidRPr="008527B2">
        <w:t>),</w:t>
      </w:r>
      <w:r w:rsidR="00630E02">
        <w:t xml:space="preserve"> the diversion rate (D), </w:t>
      </w:r>
      <w:r w:rsidR="004D2D1D">
        <w:t>and</w:t>
      </w:r>
      <w:r w:rsidRPr="008527B2">
        <w:t xml:space="preserve"> the variances of the residual error terms (</w:t>
      </w:r>
      <m:oMath>
        <m:sSubSup>
          <m:sSubSupPr>
            <m:ctrlPr>
              <w:rPr>
                <w:rFonts w:ascii="Cambria Math" w:hAnsi="Cambria Math"/>
              </w:rPr>
            </m:ctrlPr>
          </m:sSubSupPr>
          <m:e>
            <m:r>
              <w:rPr>
                <w:rFonts w:ascii="Cambria Math" w:hAnsi="Cambria Math"/>
              </w:rPr>
              <m:t>σ</m:t>
            </m:r>
          </m:e>
          <m:sub>
            <m:r>
              <w:rPr>
                <w:rFonts w:ascii="Cambria Math" w:hAnsi="Cambria Math"/>
              </w:rPr>
              <m:t>v</m:t>
            </m:r>
          </m:sub>
          <m:sup>
            <m:r>
              <w:rPr>
                <w:rFonts w:ascii="Cambria Math" w:hAnsi="Cambria Math"/>
              </w:rPr>
              <m:t>2</m:t>
            </m:r>
          </m:sup>
        </m:sSubSup>
      </m:oMath>
      <w:r w:rsidR="00E10E8C" w:rsidRPr="002C4D95">
        <w:t xml:space="preserve"> and </w:t>
      </w:r>
      <m:oMath>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m:t>
            </m:r>
          </m:sup>
        </m:sSubSup>
      </m:oMath>
      <w:r w:rsidRPr="008527B2">
        <w:t xml:space="preserve">). For </w:t>
      </w:r>
      <w:r w:rsidR="00630E02">
        <w:t>several of the model parameters</w:t>
      </w:r>
      <w:r w:rsidRPr="008527B2">
        <w:t xml:space="preserve">, additional information is available to formulate informative prior probability distributions which can be incorporated using a Bayesian estimation approach (Gelman et al. 1995). </w:t>
      </w:r>
      <w:r w:rsidR="00EB16FF">
        <w:t>The prior pro</w:t>
      </w:r>
      <w:r w:rsidR="00630E02">
        <w:t>bability distributions for run size, timing and diversion rate are based on the pre</w:t>
      </w:r>
      <w:r w:rsidR="00BD23A9">
        <w:t>-</w:t>
      </w:r>
      <w:r w:rsidR="00630E02">
        <w:t>season forecasts (</w:t>
      </w:r>
      <w:r w:rsidR="00D531C3">
        <w:t>Chapters A1 and A2</w:t>
      </w:r>
      <w:r w:rsidR="00630E02">
        <w:t>).</w:t>
      </w:r>
      <w:r w:rsidR="004C3D9F">
        <w:t xml:space="preserve"> The assumed distributions for run size, timing and diversion rates are respectively a lognormal, normal and beta distribution</w:t>
      </w:r>
      <w:r w:rsidR="00653009">
        <w:t xml:space="preserve"> (Table 1)</w:t>
      </w:r>
      <w:r w:rsidRPr="008527B2">
        <w:t xml:space="preserve">. </w:t>
      </w:r>
      <w:r w:rsidR="004C3D9F">
        <w:t xml:space="preserve">The normal prior probability distribution for the standard deviation of the migration </w:t>
      </w:r>
      <w:r w:rsidR="004D2D1D">
        <w:t>(</w:t>
      </w:r>
      <w:r w:rsidR="004D2D1D" w:rsidRPr="004D2D1D">
        <w:rPr>
          <w:i/>
          <w:iCs/>
        </w:rPr>
        <w:t>S</w:t>
      </w:r>
      <w:r w:rsidR="004D2D1D">
        <w:t xml:space="preserve">) </w:t>
      </w:r>
      <w:r w:rsidR="004C3D9F">
        <w:t>is based on historical data</w:t>
      </w:r>
      <w:r w:rsidR="00B10ED5">
        <w:t>.</w:t>
      </w:r>
      <w:r w:rsidR="004C3D9F">
        <w:t xml:space="preserve"> </w:t>
      </w:r>
      <w:r w:rsidR="007E33C8">
        <w:rPr>
          <w:lang w:val="en-US"/>
        </w:rPr>
        <w:t>Because early in-season, the model tends to underestimate the</w:t>
      </w:r>
      <w:r w:rsidR="007425F8">
        <w:rPr>
          <w:lang w:val="en-US"/>
        </w:rPr>
        <w:t xml:space="preserve"> spread of the migration (i.e. the</w:t>
      </w:r>
      <w:r w:rsidR="007E33C8">
        <w:rPr>
          <w:lang w:val="en-US"/>
        </w:rPr>
        <w:t xml:space="preserve"> number of days it takes for the </w:t>
      </w:r>
      <w:r w:rsidR="007425F8">
        <w:rPr>
          <w:lang w:val="en-US"/>
        </w:rPr>
        <w:t xml:space="preserve">95% of the </w:t>
      </w:r>
      <w:r w:rsidR="00AF009B">
        <w:rPr>
          <w:lang w:val="en-US"/>
        </w:rPr>
        <w:t xml:space="preserve">run </w:t>
      </w:r>
      <w:r w:rsidR="007E33C8">
        <w:rPr>
          <w:lang w:val="en-US"/>
        </w:rPr>
        <w:t>to pass through the marine test fishing areas</w:t>
      </w:r>
      <w:r w:rsidR="007425F8">
        <w:rPr>
          <w:lang w:val="en-US"/>
        </w:rPr>
        <w:t>)</w:t>
      </w:r>
      <w:r w:rsidR="007E33C8">
        <w:rPr>
          <w:lang w:val="en-US"/>
        </w:rPr>
        <w:t>, this model parameter is considered fixed but uncertain</w:t>
      </w:r>
      <w:r w:rsidR="00BD23A9">
        <w:rPr>
          <w:lang w:val="en-US"/>
        </w:rPr>
        <w:t xml:space="preserve"> by default</w:t>
      </w:r>
      <w:r w:rsidR="007E33C8">
        <w:rPr>
          <w:lang w:val="en-US"/>
        </w:rPr>
        <w:t>.</w:t>
      </w:r>
      <w:r w:rsidR="00BD23A9">
        <w:rPr>
          <w:lang w:val="en-US"/>
        </w:rPr>
        <w:t xml:space="preserve"> However, </w:t>
      </w:r>
      <w:r w:rsidR="009565BF">
        <w:rPr>
          <w:lang w:val="en-US"/>
        </w:rPr>
        <w:t>this model parameter can be estimated</w:t>
      </w:r>
      <w:r w:rsidR="00BD23A9">
        <w:rPr>
          <w:lang w:val="en-US"/>
        </w:rPr>
        <w:t xml:space="preserve"> if </w:t>
      </w:r>
      <w:r w:rsidR="00DB38B5">
        <w:rPr>
          <w:lang w:val="en-US"/>
        </w:rPr>
        <w:t>in-season data clearly indicates a strong deviation from historical standard deviations.</w:t>
      </w:r>
      <w:r w:rsidR="007E33C8">
        <w:t xml:space="preserve"> </w:t>
      </w:r>
    </w:p>
    <w:p w14:paraId="3D0C035D" w14:textId="29B93B66" w:rsidR="008527B2" w:rsidRPr="008527B2" w:rsidRDefault="00B10ED5" w:rsidP="004C3D9F">
      <w:pPr>
        <w:pStyle w:val="Body"/>
      </w:pPr>
      <w:r>
        <w:t>F</w:t>
      </w:r>
      <w:r w:rsidR="004C3D9F">
        <w:t>or the catchability coefficient</w:t>
      </w:r>
      <w:r w:rsidR="004D2D1D">
        <w:t xml:space="preserve"> (</w:t>
      </w:r>
      <w:r w:rsidR="004D2D1D" w:rsidRPr="004D2D1D">
        <w:rPr>
          <w:i/>
          <w:iCs/>
        </w:rPr>
        <w:t>q</w:t>
      </w:r>
      <w:r w:rsidR="004D2D1D">
        <w:t>)</w:t>
      </w:r>
      <w:r w:rsidR="004C3D9F">
        <w:t xml:space="preserve">, a normal prior probability distribution </w:t>
      </w:r>
      <w:r w:rsidR="0084409A">
        <w:t xml:space="preserve">is assumed for </w:t>
      </w:r>
      <w:r w:rsidR="004C3D9F">
        <w:t xml:space="preserve">the </w:t>
      </w:r>
      <w:r w:rsidR="004C3D9F" w:rsidRPr="008527B2">
        <w:t>inverse of the catchability coefficient (</w:t>
      </w:r>
      <w:r w:rsidR="004C3D9F" w:rsidRPr="00E10E8C">
        <w:rPr>
          <w:i/>
          <w:iCs/>
        </w:rPr>
        <w:t>q</w:t>
      </w:r>
      <w:r w:rsidR="004C3D9F" w:rsidRPr="00E10E8C">
        <w:rPr>
          <w:i/>
          <w:iCs/>
          <w:vertAlign w:val="superscript"/>
        </w:rPr>
        <w:t>-1</w:t>
      </w:r>
      <w:r w:rsidR="004C3D9F" w:rsidRPr="008527B2">
        <w:t>)</w:t>
      </w:r>
      <w:r>
        <w:t>, i.e., the expansion line</w:t>
      </w:r>
      <w:r w:rsidR="004C3D9F">
        <w:t>.</w:t>
      </w:r>
      <w:r w:rsidR="008527B2" w:rsidRPr="008527B2">
        <w:t xml:space="preserve"> </w:t>
      </w:r>
      <w:r>
        <w:t xml:space="preserve">At the start of the season, the prior probability distributions for the </w:t>
      </w:r>
      <w:r w:rsidR="001F4FA2">
        <w:t>gill net</w:t>
      </w:r>
      <w:r>
        <w:t xml:space="preserve"> and purse seine expansion lines are based on historical data, but later in the season, the</w:t>
      </w:r>
      <w:r w:rsidR="007E33C8">
        <w:t xml:space="preserve">se distributions </w:t>
      </w:r>
      <w:r>
        <w:t>are based on in-season observations (</w:t>
      </w:r>
      <w:r w:rsidR="00D531C3">
        <w:t>Chapter B4</w:t>
      </w:r>
      <w:r>
        <w:t xml:space="preserve">). </w:t>
      </w:r>
      <w:r w:rsidR="00500930">
        <w:t xml:space="preserve">Unlike other prior probability distributions, these distributions </w:t>
      </w:r>
      <w:r w:rsidR="005F487D">
        <w:t xml:space="preserve">for expansion lines </w:t>
      </w:r>
      <w:r w:rsidR="00500930">
        <w:t xml:space="preserve">are not further updated by the model. </w:t>
      </w:r>
      <w:r w:rsidR="008527B2" w:rsidRPr="008527B2">
        <w:t xml:space="preserve">Uninformative gamma distributions </w:t>
      </w:r>
      <w:r w:rsidR="005F487D">
        <w:t>a</w:t>
      </w:r>
      <w:r w:rsidR="008527B2" w:rsidRPr="008527B2">
        <w:t>re used as prior</w:t>
      </w:r>
      <w:r w:rsidR="007E33C8">
        <w:t>s</w:t>
      </w:r>
      <w:r w:rsidR="008527B2" w:rsidRPr="008527B2">
        <w:t xml:space="preserve"> for the residual error terms (</w:t>
      </w:r>
      <m:oMath>
        <m:sSubSup>
          <m:sSubSupPr>
            <m:ctrlPr>
              <w:rPr>
                <w:rFonts w:ascii="Cambria Math" w:hAnsi="Cambria Math"/>
              </w:rPr>
            </m:ctrlPr>
          </m:sSubSupPr>
          <m:e>
            <m:r>
              <w:rPr>
                <w:rFonts w:ascii="Cambria Math" w:hAnsi="Cambria Math"/>
              </w:rPr>
              <m:t>σ</m:t>
            </m:r>
          </m:e>
          <m:sub>
            <m:r>
              <w:rPr>
                <w:rFonts w:ascii="Cambria Math" w:hAnsi="Cambria Math"/>
              </w:rPr>
              <m:t>v</m:t>
            </m:r>
          </m:sub>
          <m:sup>
            <m:r>
              <w:rPr>
                <w:rFonts w:ascii="Cambria Math" w:hAnsi="Cambria Math"/>
              </w:rPr>
              <m:t>2</m:t>
            </m:r>
          </m:sup>
        </m:sSubSup>
      </m:oMath>
      <w:r w:rsidR="00E10E8C" w:rsidRPr="002C4D95">
        <w:t xml:space="preserve"> and </w:t>
      </w:r>
      <m:oMath>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m:t>
            </m:r>
          </m:sup>
        </m:sSubSup>
      </m:oMath>
      <w:r w:rsidR="008527B2" w:rsidRPr="008527B2">
        <w:t xml:space="preserve">). </w:t>
      </w:r>
    </w:p>
    <w:p w14:paraId="4CF5B266" w14:textId="2B3CB6A2" w:rsidR="00656B08" w:rsidRDefault="00A633B8" w:rsidP="0046741B">
      <w:pPr>
        <w:pStyle w:val="Body"/>
      </w:pPr>
      <w:r>
        <w:t>Figure 1 provides a</w:t>
      </w:r>
      <w:r w:rsidR="003149A8">
        <w:t xml:space="preserve"> graphical overview of the Bayesian time-density model as described above. This model</w:t>
      </w:r>
      <w:r w:rsidR="008527B2" w:rsidRPr="008527B2">
        <w:t xml:space="preserve"> was developed and </w:t>
      </w:r>
      <w:r w:rsidR="00653009">
        <w:t xml:space="preserve">is </w:t>
      </w:r>
      <w:r w:rsidR="008527B2" w:rsidRPr="008527B2">
        <w:t>run in WinBUGS 1.4 (Spiegelhalter et al. 2003)</w:t>
      </w:r>
      <w:r w:rsidR="003149A8">
        <w:t xml:space="preserve"> and</w:t>
      </w:r>
      <w:r w:rsidR="00CD13FE">
        <w:t xml:space="preserve"> called from the statistical software package R (R Core Team 2013)</w:t>
      </w:r>
      <w:r w:rsidR="008527B2" w:rsidRPr="008527B2">
        <w:t xml:space="preserve">. All the model results undergo diagnostics to remove the impact of initial MCMC samples, to eliminate the negative impact of autocorrelation within the </w:t>
      </w:r>
      <w:r w:rsidR="008527B2" w:rsidRPr="008527B2">
        <w:lastRenderedPageBreak/>
        <w:t>MCMC chains and to ensure convergence (Best et al. 1995). We assume the reported statistics of the posterior probability distributions represent the true underlying distributions.</w:t>
      </w:r>
    </w:p>
    <w:p w14:paraId="533741FD" w14:textId="275282DC" w:rsidR="00C57042" w:rsidRDefault="00C57042" w:rsidP="00C57042">
      <w:pPr>
        <w:pStyle w:val="Body"/>
        <w:jc w:val="center"/>
      </w:pPr>
      <w:r w:rsidRPr="00C57042">
        <w:rPr>
          <w:noProof/>
        </w:rPr>
        <w:drawing>
          <wp:inline distT="0" distB="0" distL="0" distR="0" wp14:anchorId="2373076B" wp14:editId="209491BD">
            <wp:extent cx="6524248" cy="5800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6548483" cy="5822272"/>
                    </a:xfrm>
                    <a:prstGeom prst="rect">
                      <a:avLst/>
                    </a:prstGeom>
                  </pic:spPr>
                </pic:pic>
              </a:graphicData>
            </a:graphic>
          </wp:inline>
        </w:drawing>
      </w:r>
    </w:p>
    <w:p w14:paraId="35DFC442" w14:textId="6CB715D4" w:rsidR="003149A8" w:rsidRPr="0046741B" w:rsidRDefault="003149A8" w:rsidP="003149A8">
      <w:pPr>
        <w:pStyle w:val="Figurecaption"/>
      </w:pPr>
      <w:r w:rsidRPr="0046741B">
        <w:rPr>
          <w:b/>
          <w:bCs/>
        </w:rPr>
        <w:t xml:space="preserve">Figure </w:t>
      </w:r>
      <w:r>
        <w:rPr>
          <w:b/>
          <w:bCs/>
        </w:rPr>
        <w:t>1</w:t>
      </w:r>
      <w:r w:rsidRPr="0046741B">
        <w:rPr>
          <w:b/>
          <w:bCs/>
        </w:rPr>
        <w:t>.</w:t>
      </w:r>
      <w:r>
        <w:t xml:space="preserve"> Graphical overview of the Bayesian time-density model when applied for the in-season assessment of Fraser River sockeye. Prior probability distributions (A) based on preseason forecasts of run size, migration timing and standard deviation of the migration allow </w:t>
      </w:r>
      <w:r w:rsidR="00AF009B">
        <w:t>the prediction of</w:t>
      </w:r>
      <w:r>
        <w:t xml:space="preserve"> the daily abundance of salmon assuming a normal distribution of migrating salmon over time (B). Reconstructed daily marine abundance estimates and marine test fishery CPUE data are collected and updated continuously throughout the salmon migration (C) and the model predicted daily abundance estimates are fitted to these data. Relative abundance estimates such as CPUE data however require an additional model parameter, in this case a catchability estimate. The uncertainty in daily abundance estimates derived from CPUE data is therefore represented using boxplots. Comparing the model predictions against the data allows the model to derive the posterior probability distributions of the model parameters (A). To simplify this </w:t>
      </w:r>
      <w:r>
        <w:lastRenderedPageBreak/>
        <w:t xml:space="preserve">figure, the probability distribution for the diversion rate and the variance parameters have been omitted. </w:t>
      </w:r>
    </w:p>
    <w:p w14:paraId="4C45B19E" w14:textId="77777777" w:rsidR="009565BF" w:rsidRPr="004C3D9F" w:rsidRDefault="009565BF" w:rsidP="009565BF">
      <w:pPr>
        <w:pStyle w:val="Figurecaption"/>
      </w:pPr>
      <w:r w:rsidRPr="004C3D9F">
        <w:rPr>
          <w:b/>
          <w:bCs/>
        </w:rPr>
        <w:t>Table 1.</w:t>
      </w:r>
      <w:r w:rsidRPr="004C3D9F">
        <w:t xml:space="preserve"> Probability density functions (pdfs) of the Bayesian time-density model and the parameter values of the prior pdfs used to assess Fraser River sockeye</w:t>
      </w:r>
      <w:r>
        <w:t xml:space="preserve"> salmon</w:t>
      </w:r>
      <w:r w:rsidRPr="004C3D9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806"/>
      </w:tblGrid>
      <w:tr w:rsidR="009565BF" w14:paraId="644D47C3" w14:textId="77777777" w:rsidTr="00AF6B1A">
        <w:tc>
          <w:tcPr>
            <w:tcW w:w="3544" w:type="dxa"/>
            <w:tcBorders>
              <w:top w:val="single" w:sz="4" w:space="0" w:color="auto"/>
              <w:bottom w:val="single" w:sz="4" w:space="0" w:color="auto"/>
            </w:tcBorders>
          </w:tcPr>
          <w:p w14:paraId="28BBCAA6" w14:textId="77777777" w:rsidR="009565BF" w:rsidRPr="00D64D1D" w:rsidRDefault="009565BF" w:rsidP="00AF6B1A">
            <w:pPr>
              <w:rPr>
                <w:rFonts w:asciiTheme="minorHAnsi" w:hAnsiTheme="minorHAnsi" w:cstheme="minorHAnsi"/>
                <w:sz w:val="22"/>
              </w:rPr>
            </w:pPr>
            <w:r w:rsidRPr="00D64D1D">
              <w:rPr>
                <w:rFonts w:asciiTheme="minorHAnsi" w:hAnsiTheme="minorHAnsi" w:cstheme="minorHAnsi"/>
                <w:sz w:val="22"/>
              </w:rPr>
              <w:t>Prior probability density function</w:t>
            </w:r>
          </w:p>
        </w:tc>
        <w:tc>
          <w:tcPr>
            <w:tcW w:w="5806" w:type="dxa"/>
            <w:tcBorders>
              <w:top w:val="single" w:sz="4" w:space="0" w:color="auto"/>
              <w:bottom w:val="single" w:sz="4" w:space="0" w:color="auto"/>
            </w:tcBorders>
          </w:tcPr>
          <w:p w14:paraId="475A0A63" w14:textId="77777777" w:rsidR="009565BF" w:rsidRPr="00D64D1D" w:rsidRDefault="009565BF" w:rsidP="00AF6B1A">
            <w:pPr>
              <w:rPr>
                <w:rFonts w:asciiTheme="minorHAnsi" w:hAnsiTheme="minorHAnsi" w:cstheme="minorHAnsi"/>
                <w:sz w:val="22"/>
              </w:rPr>
            </w:pPr>
            <w:r w:rsidRPr="00D64D1D">
              <w:rPr>
                <w:rFonts w:asciiTheme="minorHAnsi" w:hAnsiTheme="minorHAnsi" w:cstheme="minorHAnsi"/>
                <w:color w:val="000000" w:themeColor="text1"/>
                <w:sz w:val="22"/>
              </w:rPr>
              <w:t xml:space="preserve">Parameter values </w:t>
            </w:r>
            <w:r w:rsidRPr="00D64D1D">
              <w:rPr>
                <w:rFonts w:asciiTheme="minorHAnsi" w:hAnsiTheme="minorHAnsi" w:cstheme="minorHAnsi"/>
                <w:sz w:val="22"/>
              </w:rPr>
              <w:t xml:space="preserve">for Fraser River sockeye </w:t>
            </w:r>
          </w:p>
        </w:tc>
      </w:tr>
      <w:tr w:rsidR="009565BF" w14:paraId="0E70C975" w14:textId="77777777" w:rsidTr="00AF6B1A">
        <w:tc>
          <w:tcPr>
            <w:tcW w:w="3544" w:type="dxa"/>
            <w:tcBorders>
              <w:top w:val="single" w:sz="4" w:space="0" w:color="auto"/>
            </w:tcBorders>
          </w:tcPr>
          <w:p w14:paraId="03C6EED7" w14:textId="77777777" w:rsidR="009565BF" w:rsidRPr="00F86D27" w:rsidRDefault="009565BF" w:rsidP="00AF6B1A">
            <w:pPr>
              <w:rPr>
                <w:rFonts w:asciiTheme="minorHAnsi" w:hAnsiTheme="minorHAnsi" w:cstheme="minorHAnsi"/>
                <w:sz w:val="22"/>
                <w:lang w:val="fr-FR"/>
              </w:rPr>
            </w:pPr>
            <w:r w:rsidRPr="00F86D27">
              <w:rPr>
                <w:rFonts w:asciiTheme="minorHAnsi" w:hAnsiTheme="minorHAnsi" w:cstheme="minorHAnsi"/>
                <w:sz w:val="22"/>
                <w:lang w:val="fr-FR"/>
              </w:rPr>
              <w:t>R ~ Lognormal(ln(m), 1 / ln(1 + CV</w:t>
            </w:r>
            <w:r w:rsidRPr="00F86D27">
              <w:rPr>
                <w:rFonts w:asciiTheme="minorHAnsi" w:hAnsiTheme="minorHAnsi" w:cstheme="minorHAnsi"/>
                <w:sz w:val="22"/>
                <w:vertAlign w:val="superscript"/>
                <w:lang w:val="fr-FR"/>
              </w:rPr>
              <w:t>2</w:t>
            </w:r>
            <w:r w:rsidRPr="00F86D27">
              <w:rPr>
                <w:rFonts w:asciiTheme="minorHAnsi" w:hAnsiTheme="minorHAnsi" w:cstheme="minorHAnsi"/>
                <w:sz w:val="22"/>
                <w:lang w:val="fr-FR"/>
              </w:rPr>
              <w:t>))</w:t>
            </w:r>
          </w:p>
        </w:tc>
        <w:tc>
          <w:tcPr>
            <w:tcW w:w="5806" w:type="dxa"/>
            <w:tcBorders>
              <w:top w:val="single" w:sz="4" w:space="0" w:color="auto"/>
            </w:tcBorders>
          </w:tcPr>
          <w:p w14:paraId="01C57045" w14:textId="77777777" w:rsidR="009565BF" w:rsidRPr="00D64D1D" w:rsidRDefault="009565BF" w:rsidP="00AF6B1A">
            <w:pPr>
              <w:rPr>
                <w:rFonts w:asciiTheme="minorHAnsi" w:hAnsiTheme="minorHAnsi" w:cstheme="minorHAnsi"/>
                <w:sz w:val="22"/>
              </w:rPr>
            </w:pPr>
            <w:r w:rsidRPr="00D64D1D">
              <w:rPr>
                <w:rFonts w:asciiTheme="minorHAnsi" w:hAnsiTheme="minorHAnsi" w:cstheme="minorHAnsi"/>
                <w:sz w:val="22"/>
              </w:rPr>
              <w:t xml:space="preserve">Median and CV </w:t>
            </w:r>
            <w:r>
              <w:rPr>
                <w:rFonts w:asciiTheme="minorHAnsi" w:hAnsiTheme="minorHAnsi" w:cstheme="minorHAnsi"/>
                <w:sz w:val="22"/>
              </w:rPr>
              <w:t>derived from the run size forecast</w:t>
            </w:r>
          </w:p>
        </w:tc>
      </w:tr>
      <w:tr w:rsidR="009565BF" w14:paraId="087348F7" w14:textId="77777777" w:rsidTr="00AF6B1A">
        <w:tc>
          <w:tcPr>
            <w:tcW w:w="3544" w:type="dxa"/>
          </w:tcPr>
          <w:p w14:paraId="17ED3E70" w14:textId="77777777" w:rsidR="009565BF" w:rsidRPr="00F86D27" w:rsidRDefault="009565BF" w:rsidP="00AF6B1A">
            <w:pPr>
              <w:rPr>
                <w:rFonts w:asciiTheme="minorHAnsi" w:hAnsiTheme="minorHAnsi" w:cstheme="minorHAnsi"/>
                <w:sz w:val="22"/>
                <w:lang w:val="fr-FR"/>
              </w:rPr>
            </w:pPr>
            <w:r w:rsidRPr="00F86D27">
              <w:rPr>
                <w:rFonts w:asciiTheme="minorHAnsi" w:hAnsiTheme="minorHAnsi" w:cstheme="minorHAnsi"/>
                <w:sz w:val="22"/>
                <w:lang w:val="fr-FR"/>
              </w:rPr>
              <w:t>T ~ Normal(µ, 1 / (µ * CV)</w:t>
            </w:r>
            <w:r w:rsidRPr="00F86D27">
              <w:rPr>
                <w:rFonts w:asciiTheme="minorHAnsi" w:hAnsiTheme="minorHAnsi" w:cstheme="minorHAnsi"/>
                <w:sz w:val="22"/>
                <w:vertAlign w:val="superscript"/>
                <w:lang w:val="fr-FR"/>
              </w:rPr>
              <w:t>2</w:t>
            </w:r>
            <w:r w:rsidRPr="00F86D27">
              <w:rPr>
                <w:rFonts w:asciiTheme="minorHAnsi" w:hAnsiTheme="minorHAnsi" w:cstheme="minorHAnsi"/>
                <w:sz w:val="22"/>
                <w:lang w:val="fr-FR"/>
              </w:rPr>
              <w:t>)</w:t>
            </w:r>
          </w:p>
        </w:tc>
        <w:tc>
          <w:tcPr>
            <w:tcW w:w="5806" w:type="dxa"/>
          </w:tcPr>
          <w:p w14:paraId="03810A42" w14:textId="77777777" w:rsidR="009565BF" w:rsidRPr="00D64D1D" w:rsidRDefault="009565BF" w:rsidP="00AF6B1A">
            <w:pPr>
              <w:rPr>
                <w:rFonts w:asciiTheme="minorHAnsi" w:hAnsiTheme="minorHAnsi" w:cstheme="minorHAnsi"/>
                <w:sz w:val="22"/>
              </w:rPr>
            </w:pPr>
            <w:r w:rsidRPr="00D64D1D">
              <w:rPr>
                <w:rFonts w:asciiTheme="minorHAnsi" w:hAnsiTheme="minorHAnsi" w:cstheme="minorHAnsi"/>
                <w:sz w:val="22"/>
              </w:rPr>
              <w:t xml:space="preserve">Mean and CV </w:t>
            </w:r>
            <w:r>
              <w:rPr>
                <w:rFonts w:asciiTheme="minorHAnsi" w:hAnsiTheme="minorHAnsi" w:cstheme="minorHAnsi"/>
                <w:sz w:val="22"/>
              </w:rPr>
              <w:t>derived from the timing forecast</w:t>
            </w:r>
          </w:p>
        </w:tc>
      </w:tr>
      <w:tr w:rsidR="009565BF" w14:paraId="7AA0D4D6" w14:textId="77777777" w:rsidTr="00AF6B1A">
        <w:tc>
          <w:tcPr>
            <w:tcW w:w="3544" w:type="dxa"/>
          </w:tcPr>
          <w:p w14:paraId="49C2EE0B" w14:textId="77777777" w:rsidR="009565BF" w:rsidRPr="00D64D1D" w:rsidRDefault="009565BF" w:rsidP="00AF6B1A">
            <w:pPr>
              <w:rPr>
                <w:rFonts w:asciiTheme="minorHAnsi" w:hAnsiTheme="minorHAnsi" w:cstheme="minorHAnsi"/>
                <w:sz w:val="22"/>
              </w:rPr>
            </w:pPr>
            <w:r w:rsidRPr="00D64D1D">
              <w:rPr>
                <w:rFonts w:asciiTheme="minorHAnsi" w:hAnsiTheme="minorHAnsi" w:cstheme="minorHAnsi"/>
                <w:sz w:val="22"/>
              </w:rPr>
              <w:t>S ~ Normal(µ, 1 / (µ * CV)</w:t>
            </w:r>
            <w:r w:rsidRPr="00D64D1D">
              <w:rPr>
                <w:rFonts w:asciiTheme="minorHAnsi" w:hAnsiTheme="minorHAnsi" w:cstheme="minorHAnsi"/>
                <w:sz w:val="22"/>
                <w:vertAlign w:val="superscript"/>
              </w:rPr>
              <w:t>2</w:t>
            </w:r>
            <w:r w:rsidRPr="00D64D1D">
              <w:rPr>
                <w:rFonts w:asciiTheme="minorHAnsi" w:hAnsiTheme="minorHAnsi" w:cstheme="minorHAnsi"/>
                <w:sz w:val="22"/>
              </w:rPr>
              <w:t>)</w:t>
            </w:r>
          </w:p>
        </w:tc>
        <w:tc>
          <w:tcPr>
            <w:tcW w:w="5806" w:type="dxa"/>
          </w:tcPr>
          <w:p w14:paraId="5632EC51" w14:textId="77777777" w:rsidR="009565BF" w:rsidRPr="00D64D1D" w:rsidRDefault="009565BF" w:rsidP="00AF6B1A">
            <w:pPr>
              <w:rPr>
                <w:rFonts w:asciiTheme="minorHAnsi" w:hAnsiTheme="minorHAnsi" w:cstheme="minorHAnsi"/>
                <w:sz w:val="22"/>
              </w:rPr>
            </w:pPr>
            <w:r w:rsidRPr="00D64D1D">
              <w:rPr>
                <w:rFonts w:asciiTheme="minorHAnsi" w:hAnsiTheme="minorHAnsi" w:cstheme="minorHAnsi"/>
                <w:sz w:val="22"/>
              </w:rPr>
              <w:t xml:space="preserve">Mean and CV </w:t>
            </w:r>
            <w:r>
              <w:rPr>
                <w:rFonts w:asciiTheme="minorHAnsi" w:hAnsiTheme="minorHAnsi" w:cstheme="minorHAnsi"/>
                <w:sz w:val="22"/>
              </w:rPr>
              <w:t>derived from historical data</w:t>
            </w:r>
          </w:p>
        </w:tc>
      </w:tr>
      <w:tr w:rsidR="009565BF" w14:paraId="6CD30449" w14:textId="77777777" w:rsidTr="00AF6B1A">
        <w:tc>
          <w:tcPr>
            <w:tcW w:w="3544" w:type="dxa"/>
          </w:tcPr>
          <w:p w14:paraId="071207C9" w14:textId="77777777" w:rsidR="009565BF" w:rsidRPr="00D64D1D" w:rsidRDefault="009565BF" w:rsidP="00AF6B1A">
            <w:pPr>
              <w:rPr>
                <w:rFonts w:asciiTheme="minorHAnsi" w:hAnsiTheme="minorHAnsi" w:cstheme="minorHAnsi"/>
                <w:sz w:val="22"/>
              </w:rPr>
            </w:pPr>
            <w:r>
              <w:rPr>
                <w:rFonts w:asciiTheme="minorHAnsi" w:hAnsiTheme="minorHAnsi" w:cstheme="minorHAnsi"/>
                <w:sz w:val="22"/>
              </w:rPr>
              <w:t xml:space="preserve">D </w:t>
            </w:r>
            <w:r w:rsidRPr="00D64D1D">
              <w:rPr>
                <w:rFonts w:asciiTheme="minorHAnsi" w:hAnsiTheme="minorHAnsi" w:cstheme="minorHAnsi"/>
                <w:sz w:val="22"/>
              </w:rPr>
              <w:t xml:space="preserve">~ </w:t>
            </w:r>
            <w:r>
              <w:rPr>
                <w:rFonts w:asciiTheme="minorHAnsi" w:hAnsiTheme="minorHAnsi" w:cstheme="minorHAnsi"/>
                <w:sz w:val="22"/>
              </w:rPr>
              <w:t>Beta</w:t>
            </w:r>
            <w:r w:rsidRPr="00D64D1D">
              <w:rPr>
                <w:rFonts w:asciiTheme="minorHAnsi" w:hAnsiTheme="minorHAnsi" w:cstheme="minorHAnsi"/>
                <w:sz w:val="22"/>
              </w:rPr>
              <w:t>(µ</w:t>
            </w:r>
            <w:r>
              <w:rPr>
                <w:rFonts w:asciiTheme="minorHAnsi" w:hAnsiTheme="minorHAnsi" w:cstheme="minorHAnsi"/>
                <w:sz w:val="22"/>
              </w:rPr>
              <w:t xml:space="preserve"> * η</w:t>
            </w:r>
            <w:r w:rsidRPr="00D64D1D">
              <w:rPr>
                <w:rFonts w:asciiTheme="minorHAnsi" w:hAnsiTheme="minorHAnsi" w:cstheme="minorHAnsi"/>
                <w:sz w:val="22"/>
              </w:rPr>
              <w:t xml:space="preserve">, </w:t>
            </w:r>
            <w:r>
              <w:rPr>
                <w:rFonts w:asciiTheme="minorHAnsi" w:hAnsiTheme="minorHAnsi" w:cstheme="minorHAnsi"/>
                <w:sz w:val="22"/>
              </w:rPr>
              <w:t>(</w:t>
            </w:r>
            <w:r w:rsidRPr="00D64D1D">
              <w:rPr>
                <w:rFonts w:asciiTheme="minorHAnsi" w:hAnsiTheme="minorHAnsi" w:cstheme="minorHAnsi"/>
                <w:sz w:val="22"/>
              </w:rPr>
              <w:t xml:space="preserve">1 </w:t>
            </w:r>
            <w:r>
              <w:rPr>
                <w:rFonts w:asciiTheme="minorHAnsi" w:hAnsiTheme="minorHAnsi" w:cstheme="minorHAnsi"/>
                <w:sz w:val="22"/>
              </w:rPr>
              <w:t xml:space="preserve">- </w:t>
            </w:r>
            <w:r w:rsidRPr="00D64D1D">
              <w:rPr>
                <w:rFonts w:asciiTheme="minorHAnsi" w:hAnsiTheme="minorHAnsi" w:cstheme="minorHAnsi"/>
                <w:sz w:val="22"/>
              </w:rPr>
              <w:t>µ</w:t>
            </w:r>
            <w:r>
              <w:rPr>
                <w:rFonts w:asciiTheme="minorHAnsi" w:hAnsiTheme="minorHAnsi" w:cstheme="minorHAnsi"/>
                <w:sz w:val="22"/>
              </w:rPr>
              <w:t>)</w:t>
            </w:r>
            <w:r w:rsidRPr="00D64D1D">
              <w:rPr>
                <w:rFonts w:asciiTheme="minorHAnsi" w:hAnsiTheme="minorHAnsi" w:cstheme="minorHAnsi"/>
                <w:sz w:val="22"/>
              </w:rPr>
              <w:t xml:space="preserve"> * </w:t>
            </w:r>
            <w:r>
              <w:rPr>
                <w:rFonts w:asciiTheme="minorHAnsi" w:hAnsiTheme="minorHAnsi" w:cstheme="minorHAnsi"/>
                <w:sz w:val="22"/>
              </w:rPr>
              <w:t>η</w:t>
            </w:r>
            <w:r w:rsidRPr="00D64D1D">
              <w:rPr>
                <w:rFonts w:asciiTheme="minorHAnsi" w:hAnsiTheme="minorHAnsi" w:cstheme="minorHAnsi"/>
                <w:sz w:val="22"/>
              </w:rPr>
              <w:t>)</w:t>
            </w:r>
          </w:p>
        </w:tc>
        <w:tc>
          <w:tcPr>
            <w:tcW w:w="5806" w:type="dxa"/>
          </w:tcPr>
          <w:p w14:paraId="59C16F2D" w14:textId="77777777" w:rsidR="009565BF" w:rsidRPr="00D64D1D" w:rsidRDefault="009565BF" w:rsidP="00AF6B1A">
            <w:pPr>
              <w:rPr>
                <w:rFonts w:asciiTheme="minorHAnsi" w:hAnsiTheme="minorHAnsi" w:cstheme="minorHAnsi"/>
                <w:sz w:val="22"/>
              </w:rPr>
            </w:pPr>
            <w:r>
              <w:rPr>
                <w:rFonts w:asciiTheme="minorHAnsi" w:hAnsiTheme="minorHAnsi" w:cstheme="minorHAnsi"/>
                <w:sz w:val="22"/>
              </w:rPr>
              <w:t>Mean derived from the diversion rate forecast, η = 20</w:t>
            </w:r>
          </w:p>
        </w:tc>
      </w:tr>
      <w:tr w:rsidR="009565BF" w14:paraId="27792769" w14:textId="77777777" w:rsidTr="00AF6B1A">
        <w:tc>
          <w:tcPr>
            <w:tcW w:w="3544" w:type="dxa"/>
          </w:tcPr>
          <w:p w14:paraId="765856C8" w14:textId="77777777" w:rsidR="009565BF" w:rsidRPr="00F86D27" w:rsidRDefault="009565BF" w:rsidP="00AF6B1A">
            <w:pPr>
              <w:rPr>
                <w:rFonts w:asciiTheme="minorHAnsi" w:hAnsiTheme="minorHAnsi" w:cstheme="minorHAnsi"/>
                <w:sz w:val="22"/>
                <w:lang w:val="fr-FR"/>
              </w:rPr>
            </w:pPr>
            <w:r w:rsidRPr="00F86D27">
              <w:rPr>
                <w:rFonts w:asciiTheme="minorHAnsi" w:hAnsiTheme="minorHAnsi" w:cstheme="minorHAnsi"/>
                <w:sz w:val="22"/>
                <w:lang w:val="fr-FR"/>
              </w:rPr>
              <w:t>q</w:t>
            </w:r>
            <w:r w:rsidRPr="00F86D27">
              <w:rPr>
                <w:rFonts w:asciiTheme="minorHAnsi" w:hAnsiTheme="minorHAnsi" w:cstheme="minorHAnsi"/>
                <w:sz w:val="22"/>
                <w:vertAlign w:val="superscript"/>
                <w:lang w:val="fr-FR"/>
              </w:rPr>
              <w:t>-1</w:t>
            </w:r>
            <w:r w:rsidRPr="00F86D27">
              <w:rPr>
                <w:rFonts w:asciiTheme="minorHAnsi" w:hAnsiTheme="minorHAnsi" w:cstheme="minorHAnsi"/>
                <w:sz w:val="22"/>
                <w:lang w:val="fr-FR"/>
              </w:rPr>
              <w:t xml:space="preserve"> ~ Normal(µ, 1 / (µ * CV)</w:t>
            </w:r>
            <w:r w:rsidRPr="00F86D27">
              <w:rPr>
                <w:rFonts w:asciiTheme="minorHAnsi" w:hAnsiTheme="minorHAnsi" w:cstheme="minorHAnsi"/>
                <w:sz w:val="22"/>
                <w:vertAlign w:val="superscript"/>
                <w:lang w:val="fr-FR"/>
              </w:rPr>
              <w:t>2</w:t>
            </w:r>
            <w:r w:rsidRPr="00F86D27">
              <w:rPr>
                <w:rFonts w:asciiTheme="minorHAnsi" w:hAnsiTheme="minorHAnsi" w:cstheme="minorHAnsi"/>
                <w:sz w:val="22"/>
                <w:lang w:val="fr-FR"/>
              </w:rPr>
              <w:t xml:space="preserve">) </w:t>
            </w:r>
          </w:p>
        </w:tc>
        <w:tc>
          <w:tcPr>
            <w:tcW w:w="5806" w:type="dxa"/>
          </w:tcPr>
          <w:p w14:paraId="36063702" w14:textId="77777777" w:rsidR="009565BF" w:rsidRPr="00D64D1D" w:rsidRDefault="009565BF" w:rsidP="00AF6B1A">
            <w:pPr>
              <w:rPr>
                <w:rFonts w:asciiTheme="minorHAnsi" w:hAnsiTheme="minorHAnsi" w:cstheme="minorHAnsi"/>
                <w:sz w:val="22"/>
              </w:rPr>
            </w:pPr>
            <w:r w:rsidRPr="00D64D1D">
              <w:rPr>
                <w:rFonts w:asciiTheme="minorHAnsi" w:hAnsiTheme="minorHAnsi" w:cstheme="minorHAnsi"/>
                <w:sz w:val="22"/>
              </w:rPr>
              <w:t xml:space="preserve">Mean and CV </w:t>
            </w:r>
            <w:r>
              <w:rPr>
                <w:rFonts w:asciiTheme="minorHAnsi" w:hAnsiTheme="minorHAnsi" w:cstheme="minorHAnsi"/>
                <w:sz w:val="22"/>
              </w:rPr>
              <w:t xml:space="preserve">based on historical data, later on in-season data </w:t>
            </w:r>
          </w:p>
        </w:tc>
      </w:tr>
      <w:tr w:rsidR="009565BF" w14:paraId="35879B53" w14:textId="77777777" w:rsidTr="00AF6B1A">
        <w:tc>
          <w:tcPr>
            <w:tcW w:w="3544" w:type="dxa"/>
          </w:tcPr>
          <w:p w14:paraId="6DE9BF42" w14:textId="77777777" w:rsidR="009565BF" w:rsidRPr="00D64D1D" w:rsidRDefault="009565BF" w:rsidP="00AF6B1A">
            <w:pPr>
              <w:rPr>
                <w:rFonts w:asciiTheme="minorHAnsi" w:hAnsiTheme="minorHAnsi" w:cstheme="minorHAnsi"/>
                <w:sz w:val="22"/>
              </w:rPr>
            </w:pPr>
            <w:r w:rsidRPr="00D64D1D">
              <w:rPr>
                <w:rFonts w:asciiTheme="minorHAnsi" w:eastAsiaTheme="minorEastAsia" w:hAnsiTheme="minorHAnsi" w:cstheme="minorHAnsi"/>
                <w:sz w:val="22"/>
              </w:rPr>
              <w:t xml:space="preserve">1 / </w:t>
            </w:r>
            <m:oMath>
              <m:sSubSup>
                <m:sSubSupPr>
                  <m:ctrlPr>
                    <w:rPr>
                      <w:rFonts w:ascii="Cambria Math" w:hAnsi="Cambria Math" w:cstheme="minorHAnsi"/>
                      <w:sz w:val="22"/>
                    </w:rPr>
                  </m:ctrlPr>
                </m:sSubSupPr>
                <m:e>
                  <m:r>
                    <w:rPr>
                      <w:rFonts w:ascii="Cambria Math" w:hAnsi="Cambria Math" w:cstheme="minorHAnsi"/>
                      <w:sz w:val="22"/>
                    </w:rPr>
                    <m:t>σ</m:t>
                  </m:r>
                </m:e>
                <m:sub>
                  <m:r>
                    <w:rPr>
                      <w:rFonts w:ascii="Cambria Math" w:hAnsi="Cambria Math" w:cstheme="minorHAnsi"/>
                      <w:sz w:val="22"/>
                    </w:rPr>
                    <m:t>v</m:t>
                  </m:r>
                </m:sub>
                <m:sup>
                  <m:r>
                    <w:rPr>
                      <w:rFonts w:ascii="Cambria Math" w:hAnsi="Cambria Math" w:cstheme="minorHAnsi"/>
                      <w:sz w:val="22"/>
                    </w:rPr>
                    <m:t>2</m:t>
                  </m:r>
                </m:sup>
              </m:sSubSup>
            </m:oMath>
            <w:r w:rsidRPr="00D64D1D">
              <w:rPr>
                <w:rFonts w:asciiTheme="minorHAnsi" w:eastAsiaTheme="minorEastAsia" w:hAnsiTheme="minorHAnsi" w:cstheme="minorHAnsi"/>
                <w:sz w:val="22"/>
              </w:rPr>
              <w:t xml:space="preserve"> = </w:t>
            </w:r>
            <w:r w:rsidRPr="00D64D1D">
              <w:rPr>
                <w:rFonts w:asciiTheme="minorHAnsi" w:hAnsiTheme="minorHAnsi" w:cstheme="minorHAnsi"/>
                <w:sz w:val="22"/>
              </w:rPr>
              <w:t>τ</w:t>
            </w:r>
            <w:r w:rsidRPr="00D64D1D">
              <w:rPr>
                <w:rFonts w:asciiTheme="minorHAnsi" w:hAnsiTheme="minorHAnsi" w:cstheme="minorHAnsi"/>
                <w:sz w:val="22"/>
                <w:vertAlign w:val="subscript"/>
              </w:rPr>
              <w:t>N</w:t>
            </w:r>
            <w:r w:rsidRPr="00D64D1D">
              <w:rPr>
                <w:rFonts w:asciiTheme="minorHAnsi" w:hAnsiTheme="minorHAnsi" w:cstheme="minorHAnsi"/>
                <w:sz w:val="22"/>
              </w:rPr>
              <w:t xml:space="preserve"> ~ Gamma(0.001,0.001)</w:t>
            </w:r>
          </w:p>
        </w:tc>
        <w:tc>
          <w:tcPr>
            <w:tcW w:w="5806" w:type="dxa"/>
          </w:tcPr>
          <w:p w14:paraId="3B5B3832" w14:textId="77777777" w:rsidR="009565BF" w:rsidRPr="00D64D1D" w:rsidRDefault="009565BF" w:rsidP="00AF6B1A">
            <w:pPr>
              <w:rPr>
                <w:rFonts w:asciiTheme="minorHAnsi" w:hAnsiTheme="minorHAnsi" w:cstheme="minorHAnsi"/>
                <w:sz w:val="22"/>
              </w:rPr>
            </w:pPr>
            <w:r w:rsidRPr="00D64D1D">
              <w:rPr>
                <w:rFonts w:asciiTheme="minorHAnsi" w:eastAsiaTheme="minorEastAsia" w:hAnsiTheme="minorHAnsi" w:cstheme="minorHAnsi"/>
                <w:sz w:val="22"/>
              </w:rPr>
              <w:t xml:space="preserve">Mean = 1, variance = 1000 </w:t>
            </w:r>
          </w:p>
        </w:tc>
      </w:tr>
      <w:tr w:rsidR="009565BF" w14:paraId="71E0FBA7" w14:textId="77777777" w:rsidTr="00AF6B1A">
        <w:tc>
          <w:tcPr>
            <w:tcW w:w="3544" w:type="dxa"/>
            <w:tcBorders>
              <w:bottom w:val="single" w:sz="4" w:space="0" w:color="auto"/>
            </w:tcBorders>
          </w:tcPr>
          <w:p w14:paraId="2E5E8BBB" w14:textId="77777777" w:rsidR="009565BF" w:rsidRPr="00D64D1D" w:rsidRDefault="009565BF" w:rsidP="00AF6B1A">
            <w:pPr>
              <w:rPr>
                <w:rFonts w:asciiTheme="minorHAnsi" w:hAnsiTheme="minorHAnsi" w:cstheme="minorHAnsi"/>
                <w:sz w:val="22"/>
              </w:rPr>
            </w:pPr>
            <w:r w:rsidRPr="00D64D1D">
              <w:rPr>
                <w:rFonts w:asciiTheme="minorHAnsi" w:eastAsiaTheme="minorEastAsia" w:hAnsiTheme="minorHAnsi" w:cstheme="minorHAnsi"/>
                <w:sz w:val="22"/>
              </w:rPr>
              <w:t xml:space="preserve">1 / </w:t>
            </w:r>
            <m:oMath>
              <m:sSubSup>
                <m:sSubSupPr>
                  <m:ctrlPr>
                    <w:rPr>
                      <w:rFonts w:ascii="Cambria Math" w:hAnsi="Cambria Math" w:cstheme="minorHAnsi"/>
                      <w:sz w:val="22"/>
                    </w:rPr>
                  </m:ctrlPr>
                </m:sSubSupPr>
                <m:e>
                  <m:r>
                    <w:rPr>
                      <w:rFonts w:ascii="Cambria Math" w:hAnsi="Cambria Math" w:cstheme="minorHAnsi"/>
                      <w:sz w:val="22"/>
                    </w:rPr>
                    <m:t>σ</m:t>
                  </m:r>
                </m:e>
                <m:sub>
                  <m:r>
                    <w:rPr>
                      <w:rFonts w:ascii="Cambria Math" w:hAnsi="Cambria Math" w:cstheme="minorHAnsi"/>
                      <w:sz w:val="22"/>
                    </w:rPr>
                    <m:t>w</m:t>
                  </m:r>
                </m:sub>
                <m:sup>
                  <m:r>
                    <w:rPr>
                      <w:rFonts w:ascii="Cambria Math" w:hAnsi="Cambria Math" w:cstheme="minorHAnsi"/>
                      <w:sz w:val="22"/>
                    </w:rPr>
                    <m:t>2</m:t>
                  </m:r>
                </m:sup>
              </m:sSubSup>
            </m:oMath>
            <w:r w:rsidRPr="00D64D1D">
              <w:rPr>
                <w:rFonts w:asciiTheme="minorHAnsi" w:eastAsiaTheme="minorEastAsia" w:hAnsiTheme="minorHAnsi" w:cstheme="minorHAnsi"/>
                <w:sz w:val="22"/>
              </w:rPr>
              <w:t xml:space="preserve"> = </w:t>
            </w:r>
            <w:r w:rsidRPr="00D64D1D">
              <w:rPr>
                <w:rFonts w:asciiTheme="minorHAnsi" w:hAnsiTheme="minorHAnsi" w:cstheme="minorHAnsi"/>
                <w:sz w:val="22"/>
              </w:rPr>
              <w:t>τ</w:t>
            </w:r>
            <w:r w:rsidRPr="00D64D1D">
              <w:rPr>
                <w:rFonts w:asciiTheme="minorHAnsi" w:hAnsiTheme="minorHAnsi" w:cstheme="minorHAnsi"/>
                <w:sz w:val="22"/>
                <w:vertAlign w:val="subscript"/>
              </w:rPr>
              <w:t>I</w:t>
            </w:r>
            <w:r w:rsidRPr="00D64D1D">
              <w:rPr>
                <w:rFonts w:asciiTheme="minorHAnsi" w:hAnsiTheme="minorHAnsi" w:cstheme="minorHAnsi"/>
                <w:sz w:val="22"/>
              </w:rPr>
              <w:t xml:space="preserve"> ~ Gamma(0.001,0.001) </w:t>
            </w:r>
          </w:p>
        </w:tc>
        <w:tc>
          <w:tcPr>
            <w:tcW w:w="5806" w:type="dxa"/>
            <w:tcBorders>
              <w:bottom w:val="single" w:sz="4" w:space="0" w:color="auto"/>
            </w:tcBorders>
          </w:tcPr>
          <w:p w14:paraId="7C2350D5" w14:textId="77777777" w:rsidR="009565BF" w:rsidRPr="00D64D1D" w:rsidRDefault="009565BF" w:rsidP="00AF6B1A">
            <w:pPr>
              <w:rPr>
                <w:rFonts w:asciiTheme="minorHAnsi" w:hAnsiTheme="minorHAnsi" w:cstheme="minorHAnsi"/>
                <w:sz w:val="22"/>
              </w:rPr>
            </w:pPr>
            <w:r w:rsidRPr="00D64D1D">
              <w:rPr>
                <w:rFonts w:asciiTheme="minorHAnsi" w:eastAsiaTheme="minorEastAsia" w:hAnsiTheme="minorHAnsi" w:cstheme="minorHAnsi"/>
                <w:sz w:val="22"/>
              </w:rPr>
              <w:t>Mean = 1, variance = 1000</w:t>
            </w:r>
          </w:p>
        </w:tc>
      </w:tr>
    </w:tbl>
    <w:p w14:paraId="5F2334AB" w14:textId="77777777" w:rsidR="009565BF" w:rsidRDefault="009565BF" w:rsidP="009565BF">
      <w:pPr>
        <w:pStyle w:val="Body"/>
      </w:pPr>
    </w:p>
    <w:p w14:paraId="3CB4B95C" w14:textId="5A10E185" w:rsidR="0049371A" w:rsidRPr="00035B31" w:rsidRDefault="0049371A" w:rsidP="00035B31">
      <w:pPr>
        <w:pStyle w:val="Heading2"/>
      </w:pPr>
      <w:r w:rsidRPr="00035B31">
        <w:t>References</w:t>
      </w:r>
    </w:p>
    <w:p w14:paraId="7F93E4B7" w14:textId="77777777" w:rsidR="00895400" w:rsidRPr="002C4D95" w:rsidRDefault="00895400" w:rsidP="000E1D49">
      <w:pPr>
        <w:pStyle w:val="Body"/>
      </w:pPr>
      <w:r w:rsidRPr="002C4D95">
        <w:t>Adkinson, M.D. and C. J Cunningham. 2015. The effects of salmon abundance and run timing on the performance of management by emergency order. Can. J. Fish. Aquat. Sci. 72: 1518-1526.</w:t>
      </w:r>
    </w:p>
    <w:p w14:paraId="7BAD23E2" w14:textId="77777777" w:rsidR="00D352C5" w:rsidRPr="002C4D95" w:rsidRDefault="00D352C5" w:rsidP="000E1D49">
      <w:pPr>
        <w:pStyle w:val="Body"/>
      </w:pPr>
      <w:r w:rsidRPr="002C4D95">
        <w:t>Best N., Cowles M.K. and Vines K. 1995. CODA manual. Version 0.30. MRC Biostatistics Unit, Cambridge, UK.</w:t>
      </w:r>
    </w:p>
    <w:p w14:paraId="7B3B575C" w14:textId="77777777" w:rsidR="00D9089A" w:rsidRPr="002C4D95" w:rsidRDefault="00D9089A" w:rsidP="000E1D49">
      <w:pPr>
        <w:pStyle w:val="Body"/>
      </w:pPr>
      <w:r w:rsidRPr="002C4D95">
        <w:t>Cave, J.D. and W.J. Gazey. 1994. A preseason simulation model for fisheries on Fraser River sockeye salmon (</w:t>
      </w:r>
      <w:r w:rsidRPr="00D9089A">
        <w:t>Oncorhynchus nerka</w:t>
      </w:r>
      <w:r w:rsidRPr="002C4D95">
        <w:t>). Can. J. Fish. Aquat. Sci. 51 :1535-1549.</w:t>
      </w:r>
    </w:p>
    <w:p w14:paraId="124B73CC" w14:textId="77777777" w:rsidR="00895400" w:rsidRPr="002C4D95" w:rsidRDefault="00895400" w:rsidP="000E1D49">
      <w:pPr>
        <w:pStyle w:val="Body"/>
      </w:pPr>
      <w:r w:rsidRPr="002C4D95">
        <w:t>Fried, S.M., and Hilborn, R. 1988. In-season forecasting of Bristol Bay, Alaska, sockeye salmon (</w:t>
      </w:r>
      <w:r w:rsidRPr="002C4D95">
        <w:rPr>
          <w:i/>
        </w:rPr>
        <w:t>Oncorhynchus nerka</w:t>
      </w:r>
      <w:r w:rsidRPr="002C4D95">
        <w:t>) abundance using Bayesian probability theory. Can. J. Fish. Aquat. Sci. 45: 850</w:t>
      </w:r>
      <w:r w:rsidRPr="002C4D95">
        <w:rPr>
          <w:rFonts w:ascii="Calibri" w:hAnsi="Calibri" w:cs="Calibri"/>
        </w:rPr>
        <w:t>–</w:t>
      </w:r>
      <w:r w:rsidRPr="002C4D95">
        <w:t>855.</w:t>
      </w:r>
    </w:p>
    <w:p w14:paraId="73DD38A6" w14:textId="77777777" w:rsidR="00E10E8C" w:rsidRPr="002C4D95" w:rsidRDefault="00E10E8C" w:rsidP="000E1D49">
      <w:pPr>
        <w:pStyle w:val="Body"/>
      </w:pPr>
      <w:r w:rsidRPr="002C4D95">
        <w:t>Gelman A., Carlin J.B., Stern H.S. and Rubin R.B. 1995. Bayesian data analysis. Chapman and Hall, London, UK.</w:t>
      </w:r>
    </w:p>
    <w:p w14:paraId="6DD17A75" w14:textId="77777777" w:rsidR="00D9089A" w:rsidRPr="002C4D95" w:rsidRDefault="00D9089A" w:rsidP="000E1D49">
      <w:pPr>
        <w:pStyle w:val="Body"/>
      </w:pPr>
      <w:r w:rsidRPr="002C4D95">
        <w:t>Gilhousen, P. 1960. Migratory behaviour of adult Fraser River sockeye. Int. Pac. Salmon Fish. Comm., Prog. Rep. 78 p.</w:t>
      </w:r>
    </w:p>
    <w:p w14:paraId="0DE68221" w14:textId="77777777" w:rsidR="00895400" w:rsidRPr="002C4D95" w:rsidRDefault="00895400" w:rsidP="000E1D49">
      <w:pPr>
        <w:pStyle w:val="Body"/>
      </w:pPr>
      <w:r w:rsidRPr="002C4D95">
        <w:t>Hyun, S-Y, R. Hilborn, J.J. Anderson and B. Ernst. 2005. A statistical model for in-season forecasts of sockeye salmon (</w:t>
      </w:r>
      <w:r w:rsidRPr="002C4D95">
        <w:rPr>
          <w:i/>
        </w:rPr>
        <w:t>Oncorhynchus nerka</w:t>
      </w:r>
      <w:r w:rsidRPr="002C4D95">
        <w:t>) returns to the Bristol Bay districts of Alaska. Can. J. Fish. Aquat. Sci. 62: 1665-1680.</w:t>
      </w:r>
    </w:p>
    <w:p w14:paraId="171DB0EE" w14:textId="77777777" w:rsidR="003149A8" w:rsidRDefault="003149A8" w:rsidP="000E1D49">
      <w:pPr>
        <w:pStyle w:val="Body"/>
      </w:pPr>
      <w:r>
        <w:t xml:space="preserve">Michielsens, C.G.J. and Cave, J.D. 2019. In-season assessment and management of salmon stocks using a Bayesian time-density model. Can. J. Fish. Aquat. Sci. 76: 1073-1085.  </w:t>
      </w:r>
    </w:p>
    <w:p w14:paraId="72EDA77E" w14:textId="77777777" w:rsidR="00D9089A" w:rsidRPr="002C4D95" w:rsidRDefault="00D9089A" w:rsidP="000E1D49">
      <w:pPr>
        <w:pStyle w:val="Body"/>
      </w:pPr>
      <w:r w:rsidRPr="002C4D95">
        <w:t>Mundy, P.R. 1979. A quantitative measure of migratory timing illustrated by application to the management of commercial salmon fisheries. Ph.D. Dissertation. Univ. of Washington, Seattle, 85 p.</w:t>
      </w:r>
    </w:p>
    <w:p w14:paraId="6EAF6C19" w14:textId="77777777" w:rsidR="00895400" w:rsidRPr="002C4D95" w:rsidRDefault="00895400" w:rsidP="000E1D49">
      <w:pPr>
        <w:pStyle w:val="Body"/>
      </w:pPr>
      <w:r w:rsidRPr="002C4D95">
        <w:t>PSC. 1995. Pacific Salmon Commission run-size estimation procedures: An analysis of the 1994 shortfall in escapement of late-run Fraser River sockeye salmon. Pacific Salmon Commission Tech. Rep. 6: 179 p.</w:t>
      </w:r>
    </w:p>
    <w:p w14:paraId="6C498592" w14:textId="68A73CD8" w:rsidR="001F1E58" w:rsidRDefault="001F1E58" w:rsidP="000E1D49">
      <w:pPr>
        <w:pStyle w:val="Body"/>
      </w:pPr>
      <w:r>
        <w:t>PSC</w:t>
      </w:r>
      <w:r w:rsidRPr="00915D7C">
        <w:t>. 2019. Treaty between the government of Canada and the government of the United States of America concerning Pacific salmon. Pacific Salmon Commission.</w:t>
      </w:r>
    </w:p>
    <w:p w14:paraId="7F02A136" w14:textId="77777777" w:rsidR="00CD13FE" w:rsidRPr="00CD13FE" w:rsidRDefault="00CD13FE" w:rsidP="000E1D49">
      <w:pPr>
        <w:pStyle w:val="Body"/>
      </w:pPr>
      <w:r>
        <w:t xml:space="preserve">R Core Team (2013). R: A language and environment for statistical computing. R Foundation for Statistical Computing, Vienna, Austria. </w:t>
      </w:r>
    </w:p>
    <w:p w14:paraId="56FD6C87" w14:textId="77777777" w:rsidR="000E1D49" w:rsidRPr="002C4D95" w:rsidRDefault="000E1D49" w:rsidP="000E1D49">
      <w:pPr>
        <w:pStyle w:val="Body"/>
      </w:pPr>
      <w:r w:rsidRPr="002C4D95">
        <w:lastRenderedPageBreak/>
        <w:t>Ryall, P. 1998. Evaluation of the reliability of in-season run-size estimation techniques used for Southern British Columbia Chum salmon (</w:t>
      </w:r>
      <w:r w:rsidRPr="002C4D95">
        <w:rPr>
          <w:i/>
        </w:rPr>
        <w:t>Oncorhynchus keta</w:t>
      </w:r>
      <w:r w:rsidRPr="002C4D95">
        <w:t>) runs. N. Pac. Anadr. Fish Comm. Bull. 1: 380-387.</w:t>
      </w:r>
    </w:p>
    <w:p w14:paraId="3CB39B1A" w14:textId="77777777" w:rsidR="00D352C5" w:rsidRPr="002C4D95" w:rsidRDefault="00D352C5" w:rsidP="000E1D49">
      <w:pPr>
        <w:pStyle w:val="Body"/>
      </w:pPr>
      <w:r w:rsidRPr="002C4D95">
        <w:t>Spiegelhalter D., Thomas A., Best N. and Lunn D. 2003. WinBUGS. Version 1.4 user manual. MRC Biostatistics Unit, Cambridge, UK.</w:t>
      </w:r>
    </w:p>
    <w:p w14:paraId="61A62935" w14:textId="4CB453A5" w:rsidR="00D9089A" w:rsidRPr="002C4D95" w:rsidRDefault="00D9089A" w:rsidP="000E1D49">
      <w:pPr>
        <w:pStyle w:val="Body"/>
      </w:pPr>
      <w:r w:rsidRPr="002C4D95">
        <w:t xml:space="preserve">Springborn, R.R., Lampsakis, N.D. and Gallucci, V.F. 1998. A </w:t>
      </w:r>
      <w:r w:rsidR="00B97210">
        <w:t>time-density</w:t>
      </w:r>
      <w:r w:rsidRPr="002C4D95">
        <w:t xml:space="preserve"> model to estimate run-size and entry timing in a salmon fishery. N. Am. J. Fish. Man., 18: 391-405.</w:t>
      </w:r>
    </w:p>
    <w:p w14:paraId="40087D10" w14:textId="77777777" w:rsidR="002B5F7A" w:rsidRPr="002C4D95" w:rsidRDefault="002B5F7A" w:rsidP="000E1D49">
      <w:pPr>
        <w:pStyle w:val="Body"/>
      </w:pPr>
      <w:r w:rsidRPr="002C4D95">
        <w:t>Starr, P, and R. Hilborn. 1988. Reconstruction of harvest rates and stock contribution in gauntlet salmon fisheries: application to British Columbia and Washington sockeye (</w:t>
      </w:r>
      <w:r w:rsidRPr="002C4D95">
        <w:rPr>
          <w:i/>
        </w:rPr>
        <w:t>Oncorhynchus nerka</w:t>
      </w:r>
      <w:r w:rsidRPr="002C4D95">
        <w:t>). Can. J. Fish Aquat Sci 45: 2216-2229.</w:t>
      </w:r>
    </w:p>
    <w:p w14:paraId="10628C05" w14:textId="77777777" w:rsidR="000E1D49" w:rsidRPr="002C4D95" w:rsidRDefault="000E1D49" w:rsidP="000E1D49">
      <w:pPr>
        <w:pStyle w:val="Body"/>
      </w:pPr>
      <w:r w:rsidRPr="002C4D95">
        <w:t>Walters, C.J. and Buckingham, S. 1975. A control system for intraseason salmon management. IIASA working paper. IIASA, Laxenburg, Austria, 19 p.</w:t>
      </w:r>
    </w:p>
    <w:p w14:paraId="2A927D23" w14:textId="4C200D8D" w:rsidR="002B5F7A" w:rsidRDefault="002B5F7A" w:rsidP="000E1D49">
      <w:pPr>
        <w:pStyle w:val="Body"/>
      </w:pPr>
      <w:r w:rsidRPr="002C4D95">
        <w:t>Woodey, J.C. 1987. In-season management of Fraser River sockeye salmon (</w:t>
      </w:r>
      <w:r w:rsidRPr="002C4D95">
        <w:rPr>
          <w:i/>
        </w:rPr>
        <w:t>Oncorhynchus nerka</w:t>
      </w:r>
      <w:r w:rsidRPr="002C4D95">
        <w:t>): meeting multiple objectives, p. 367-374. In H.D. Smith, L. Margolis, and C.C. Wood [ed.] Sockeye salmon (</w:t>
      </w:r>
      <w:r w:rsidRPr="002C4D95">
        <w:rPr>
          <w:i/>
        </w:rPr>
        <w:t>Oncorhynchus nerka</w:t>
      </w:r>
      <w:r w:rsidRPr="002C4D95">
        <w:t>) population biology and future management. Can. Spec. Publ. Fish. Aquat. Sci. 96.</w:t>
      </w:r>
    </w:p>
    <w:sectPr w:rsidR="002B5F7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9C6A4" w14:textId="77777777" w:rsidR="0015233E" w:rsidRDefault="0015233E" w:rsidP="001F5CC9">
      <w:r>
        <w:separator/>
      </w:r>
    </w:p>
  </w:endnote>
  <w:endnote w:type="continuationSeparator" w:id="0">
    <w:p w14:paraId="7576BAD0" w14:textId="77777777" w:rsidR="0015233E" w:rsidRDefault="0015233E" w:rsidP="001F5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125BB" w14:textId="77777777" w:rsidR="003A6FE6" w:rsidRDefault="003A6F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2674563"/>
      <w:docPartObj>
        <w:docPartGallery w:val="Page Numbers (Bottom of Page)"/>
        <w:docPartUnique/>
      </w:docPartObj>
    </w:sdtPr>
    <w:sdtEndPr>
      <w:rPr>
        <w:noProof/>
      </w:rPr>
    </w:sdtEndPr>
    <w:sdtContent>
      <w:p w14:paraId="1D7BC6E4" w14:textId="2E6435AC" w:rsidR="000F627E" w:rsidRDefault="000F627E">
        <w:pPr>
          <w:pStyle w:val="Footer"/>
          <w:jc w:val="right"/>
        </w:pPr>
        <w:r>
          <w:fldChar w:fldCharType="begin"/>
        </w:r>
        <w:r>
          <w:instrText xml:space="preserve"> PAGE   \* MERGEFORMAT </w:instrText>
        </w:r>
        <w:r>
          <w:fldChar w:fldCharType="separate"/>
        </w:r>
        <w:r w:rsidR="00890300">
          <w:rPr>
            <w:noProof/>
          </w:rPr>
          <w:t>1</w:t>
        </w:r>
        <w:r>
          <w:rPr>
            <w:noProof/>
          </w:rPr>
          <w:fldChar w:fldCharType="end"/>
        </w:r>
      </w:p>
    </w:sdtContent>
  </w:sdt>
  <w:p w14:paraId="3089E3C2" w14:textId="77777777" w:rsidR="000F627E" w:rsidRDefault="000F62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777F8" w14:textId="77777777" w:rsidR="003A6FE6" w:rsidRDefault="003A6F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EF10C" w14:textId="77777777" w:rsidR="0015233E" w:rsidRDefault="0015233E" w:rsidP="001F5CC9">
      <w:r>
        <w:separator/>
      </w:r>
    </w:p>
  </w:footnote>
  <w:footnote w:type="continuationSeparator" w:id="0">
    <w:p w14:paraId="416E1B42" w14:textId="77777777" w:rsidR="0015233E" w:rsidRDefault="0015233E" w:rsidP="001F5C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2D822" w14:textId="77777777" w:rsidR="003A6FE6" w:rsidRDefault="003A6F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1CB91" w14:textId="77777777" w:rsidR="000F627E" w:rsidRDefault="000F627E">
    <w:pPr>
      <w:pStyle w:val="Header"/>
    </w:pPr>
    <w:r>
      <w:rPr>
        <w:noProof/>
        <w:lang w:val="en-US"/>
      </w:rPr>
      <mc:AlternateContent>
        <mc:Choice Requires="wps">
          <w:drawing>
            <wp:anchor distT="0" distB="0" distL="114300" distR="114300" simplePos="0" relativeHeight="251659264" behindDoc="0" locked="0" layoutInCell="1" allowOverlap="1" wp14:anchorId="05133898" wp14:editId="4D6ECEF3">
              <wp:simplePos x="0" y="0"/>
              <wp:positionH relativeFrom="column">
                <wp:posOffset>9524</wp:posOffset>
              </wp:positionH>
              <wp:positionV relativeFrom="paragraph">
                <wp:posOffset>123825</wp:posOffset>
              </wp:positionV>
              <wp:extent cx="59340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D4AC8A"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9.75pt" to="468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" strokecolor="#4472c4 [3204]" strokeweight=".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708E5" w14:textId="77777777" w:rsidR="003A6FE6" w:rsidRDefault="003A6F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83AAE"/>
    <w:multiLevelType w:val="hybridMultilevel"/>
    <w:tmpl w:val="BACE2654"/>
    <w:lvl w:ilvl="0" w:tplc="F26E2F92">
      <w:start w:val="1"/>
      <w:numFmt w:val="decimal"/>
      <w:lvlText w:val="(%1)"/>
      <w:lvlJc w:val="left"/>
      <w:pPr>
        <w:ind w:left="720" w:hanging="360"/>
      </w:pPr>
      <w:rPr>
        <w:rFonts w:hint="default"/>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0D35A0"/>
    <w:multiLevelType w:val="hybridMultilevel"/>
    <w:tmpl w:val="0A04A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9F32C28"/>
    <w:multiLevelType w:val="hybridMultilevel"/>
    <w:tmpl w:val="0316C1F2"/>
    <w:lvl w:ilvl="0" w:tplc="16A86A54">
      <w:start w:val="1"/>
      <w:numFmt w:val="decimal"/>
      <w:lvlText w:val="(%1)"/>
      <w:lvlJc w:val="left"/>
      <w:pPr>
        <w:ind w:left="2520" w:hanging="360"/>
      </w:pPr>
      <w:rPr>
        <w:rFonts w:hint="default"/>
        <w:i w:val="0"/>
        <w:iCs w:val="0"/>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 w15:restartNumberingAfterBreak="0">
    <w:nsid w:val="1C5A56A3"/>
    <w:multiLevelType w:val="hybridMultilevel"/>
    <w:tmpl w:val="F2288B0E"/>
    <w:lvl w:ilvl="0" w:tplc="16A86A54">
      <w:start w:val="1"/>
      <w:numFmt w:val="decimal"/>
      <w:lvlText w:val="(%1)"/>
      <w:lvlJc w:val="left"/>
      <w:pPr>
        <w:ind w:left="2520" w:hanging="360"/>
      </w:pPr>
      <w:rPr>
        <w:rFonts w:hint="default"/>
        <w:i w:val="0"/>
        <w:iCs w:val="0"/>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 w15:restartNumberingAfterBreak="0">
    <w:nsid w:val="1D5C069D"/>
    <w:multiLevelType w:val="hybridMultilevel"/>
    <w:tmpl w:val="0316C1F2"/>
    <w:lvl w:ilvl="0" w:tplc="16A86A54">
      <w:start w:val="1"/>
      <w:numFmt w:val="decimal"/>
      <w:lvlText w:val="(%1)"/>
      <w:lvlJc w:val="left"/>
      <w:pPr>
        <w:ind w:left="2520" w:hanging="360"/>
      </w:pPr>
      <w:rPr>
        <w:rFonts w:hint="default"/>
        <w:i w:val="0"/>
        <w:iCs w:val="0"/>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5" w15:restartNumberingAfterBreak="0">
    <w:nsid w:val="1EDE5FF3"/>
    <w:multiLevelType w:val="hybridMultilevel"/>
    <w:tmpl w:val="967A4C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0BC75CB"/>
    <w:multiLevelType w:val="hybridMultilevel"/>
    <w:tmpl w:val="1318FADC"/>
    <w:lvl w:ilvl="0" w:tplc="534AA1B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15:restartNumberingAfterBreak="0">
    <w:nsid w:val="30B67F15"/>
    <w:multiLevelType w:val="hybridMultilevel"/>
    <w:tmpl w:val="270689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3A3C3C"/>
    <w:multiLevelType w:val="hybridMultilevel"/>
    <w:tmpl w:val="31DC43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99D03DB"/>
    <w:multiLevelType w:val="hybridMultilevel"/>
    <w:tmpl w:val="64ACA236"/>
    <w:lvl w:ilvl="0" w:tplc="16A86A54">
      <w:start w:val="1"/>
      <w:numFmt w:val="decimal"/>
      <w:lvlText w:val="(%1)"/>
      <w:lvlJc w:val="left"/>
      <w:pPr>
        <w:ind w:left="2520" w:hanging="360"/>
      </w:pPr>
      <w:rPr>
        <w:rFonts w:hint="default"/>
        <w:i w:val="0"/>
        <w:iCs w:val="0"/>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0" w15:restartNumberingAfterBreak="0">
    <w:nsid w:val="3C985296"/>
    <w:multiLevelType w:val="hybridMultilevel"/>
    <w:tmpl w:val="105021EC"/>
    <w:lvl w:ilvl="0" w:tplc="16A86A54">
      <w:start w:val="1"/>
      <w:numFmt w:val="decimal"/>
      <w:lvlText w:val="(%1)"/>
      <w:lvlJc w:val="left"/>
      <w:pPr>
        <w:ind w:left="2520" w:hanging="360"/>
      </w:pPr>
      <w:rPr>
        <w:rFonts w:hint="default"/>
        <w:i w:val="0"/>
        <w:iCs w:val="0"/>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1" w15:restartNumberingAfterBreak="0">
    <w:nsid w:val="3E3B14DE"/>
    <w:multiLevelType w:val="hybridMultilevel"/>
    <w:tmpl w:val="C4515E5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38C2589"/>
    <w:multiLevelType w:val="hybridMultilevel"/>
    <w:tmpl w:val="1BA85080"/>
    <w:lvl w:ilvl="0" w:tplc="3C72637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A2F09C9"/>
    <w:multiLevelType w:val="hybridMultilevel"/>
    <w:tmpl w:val="B65095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2094413"/>
    <w:multiLevelType w:val="hybridMultilevel"/>
    <w:tmpl w:val="105021EC"/>
    <w:lvl w:ilvl="0" w:tplc="16A86A54">
      <w:start w:val="1"/>
      <w:numFmt w:val="decimal"/>
      <w:lvlText w:val="(%1)"/>
      <w:lvlJc w:val="left"/>
      <w:pPr>
        <w:ind w:left="2520" w:hanging="360"/>
      </w:pPr>
      <w:rPr>
        <w:rFonts w:hint="default"/>
        <w:i w:val="0"/>
        <w:iCs w:val="0"/>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5" w15:restartNumberingAfterBreak="0">
    <w:nsid w:val="73808A62"/>
    <w:multiLevelType w:val="hybridMultilevel"/>
    <w:tmpl w:val="4715206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760E5691"/>
    <w:multiLevelType w:val="hybridMultilevel"/>
    <w:tmpl w:val="942E0FC6"/>
    <w:lvl w:ilvl="0" w:tplc="17E03D14">
      <w:numFmt w:val="bullet"/>
      <w:lvlText w:val="-"/>
      <w:lvlJc w:val="left"/>
      <w:pPr>
        <w:ind w:left="1080" w:hanging="360"/>
      </w:pPr>
      <w:rPr>
        <w:rFonts w:ascii="Times New Roman" w:eastAsiaTheme="minorHAnsi" w:hAnsi="Times New Roman" w:cs="Times New Roman"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7971459A"/>
    <w:multiLevelType w:val="hybridMultilevel"/>
    <w:tmpl w:val="0316C1F2"/>
    <w:lvl w:ilvl="0" w:tplc="16A86A54">
      <w:start w:val="1"/>
      <w:numFmt w:val="decimal"/>
      <w:lvlText w:val="(%1)"/>
      <w:lvlJc w:val="left"/>
      <w:pPr>
        <w:ind w:left="2520" w:hanging="360"/>
      </w:pPr>
      <w:rPr>
        <w:rFonts w:hint="default"/>
        <w:i w:val="0"/>
        <w:iCs w:val="0"/>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8" w15:restartNumberingAfterBreak="0">
    <w:nsid w:val="7A991288"/>
    <w:multiLevelType w:val="hybridMultilevel"/>
    <w:tmpl w:val="B65095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EE61A8C"/>
    <w:multiLevelType w:val="hybridMultilevel"/>
    <w:tmpl w:val="47B45B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11"/>
  </w:num>
  <w:num w:numId="4">
    <w:abstractNumId w:val="15"/>
  </w:num>
  <w:num w:numId="5">
    <w:abstractNumId w:val="18"/>
  </w:num>
  <w:num w:numId="6">
    <w:abstractNumId w:val="13"/>
  </w:num>
  <w:num w:numId="7">
    <w:abstractNumId w:val="7"/>
  </w:num>
  <w:num w:numId="8">
    <w:abstractNumId w:val="1"/>
  </w:num>
  <w:num w:numId="9">
    <w:abstractNumId w:val="8"/>
  </w:num>
  <w:num w:numId="10">
    <w:abstractNumId w:val="5"/>
  </w:num>
  <w:num w:numId="11">
    <w:abstractNumId w:val="19"/>
  </w:num>
  <w:num w:numId="12">
    <w:abstractNumId w:val="0"/>
  </w:num>
  <w:num w:numId="13">
    <w:abstractNumId w:val="10"/>
  </w:num>
  <w:num w:numId="14">
    <w:abstractNumId w:val="3"/>
  </w:num>
  <w:num w:numId="15">
    <w:abstractNumId w:val="17"/>
  </w:num>
  <w:num w:numId="16">
    <w:abstractNumId w:val="4"/>
  </w:num>
  <w:num w:numId="17">
    <w:abstractNumId w:val="2"/>
  </w:num>
  <w:num w:numId="18">
    <w:abstractNumId w:val="9"/>
  </w:num>
  <w:num w:numId="19">
    <w:abstractNumId w:val="1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2NTUysLQwMDYwNTJS0lEKTi0uzszPAykwqwUAknQk5SwAAAA="/>
  </w:docVars>
  <w:rsids>
    <w:rsidRoot w:val="00DD4C43"/>
    <w:rsid w:val="00011FBF"/>
    <w:rsid w:val="00035B31"/>
    <w:rsid w:val="00040216"/>
    <w:rsid w:val="0004442C"/>
    <w:rsid w:val="000476CE"/>
    <w:rsid w:val="0005261A"/>
    <w:rsid w:val="00052B67"/>
    <w:rsid w:val="000533A8"/>
    <w:rsid w:val="000545F9"/>
    <w:rsid w:val="000603ED"/>
    <w:rsid w:val="00063C2B"/>
    <w:rsid w:val="000660D2"/>
    <w:rsid w:val="00066619"/>
    <w:rsid w:val="00070A71"/>
    <w:rsid w:val="00071FF1"/>
    <w:rsid w:val="00073105"/>
    <w:rsid w:val="000816EC"/>
    <w:rsid w:val="000851FE"/>
    <w:rsid w:val="00086CF6"/>
    <w:rsid w:val="00090671"/>
    <w:rsid w:val="00092134"/>
    <w:rsid w:val="000A0E78"/>
    <w:rsid w:val="000C3C00"/>
    <w:rsid w:val="000C5F1C"/>
    <w:rsid w:val="000D64DA"/>
    <w:rsid w:val="000E1752"/>
    <w:rsid w:val="000E1D49"/>
    <w:rsid w:val="000E3684"/>
    <w:rsid w:val="000E65FE"/>
    <w:rsid w:val="000E6B04"/>
    <w:rsid w:val="000F09B4"/>
    <w:rsid w:val="000F2C08"/>
    <w:rsid w:val="000F4BF0"/>
    <w:rsid w:val="000F54A4"/>
    <w:rsid w:val="000F627E"/>
    <w:rsid w:val="00100BB2"/>
    <w:rsid w:val="001057E4"/>
    <w:rsid w:val="00105FFA"/>
    <w:rsid w:val="00111DD3"/>
    <w:rsid w:val="00113BC1"/>
    <w:rsid w:val="00114D57"/>
    <w:rsid w:val="00115ED7"/>
    <w:rsid w:val="0012337E"/>
    <w:rsid w:val="001235F8"/>
    <w:rsid w:val="0012651C"/>
    <w:rsid w:val="001269AA"/>
    <w:rsid w:val="00131341"/>
    <w:rsid w:val="00131CB3"/>
    <w:rsid w:val="00136527"/>
    <w:rsid w:val="00150FE7"/>
    <w:rsid w:val="0015233E"/>
    <w:rsid w:val="00153121"/>
    <w:rsid w:val="001534FA"/>
    <w:rsid w:val="0016172E"/>
    <w:rsid w:val="001621D0"/>
    <w:rsid w:val="001656ED"/>
    <w:rsid w:val="001713AF"/>
    <w:rsid w:val="00173E17"/>
    <w:rsid w:val="00174419"/>
    <w:rsid w:val="001773C5"/>
    <w:rsid w:val="00181115"/>
    <w:rsid w:val="00183AAF"/>
    <w:rsid w:val="001865E4"/>
    <w:rsid w:val="00187225"/>
    <w:rsid w:val="00190DBE"/>
    <w:rsid w:val="001949B6"/>
    <w:rsid w:val="001A43D2"/>
    <w:rsid w:val="001A760E"/>
    <w:rsid w:val="001B4929"/>
    <w:rsid w:val="001B7C47"/>
    <w:rsid w:val="001C16A6"/>
    <w:rsid w:val="001C6A28"/>
    <w:rsid w:val="001D7F90"/>
    <w:rsid w:val="001E0704"/>
    <w:rsid w:val="001E1EF2"/>
    <w:rsid w:val="001F08C3"/>
    <w:rsid w:val="001F1E58"/>
    <w:rsid w:val="001F4FA2"/>
    <w:rsid w:val="001F5536"/>
    <w:rsid w:val="001F5CC9"/>
    <w:rsid w:val="001F6456"/>
    <w:rsid w:val="00200B21"/>
    <w:rsid w:val="00207F8D"/>
    <w:rsid w:val="00213ED1"/>
    <w:rsid w:val="00215086"/>
    <w:rsid w:val="00225E3B"/>
    <w:rsid w:val="00233971"/>
    <w:rsid w:val="00233B82"/>
    <w:rsid w:val="00234A9B"/>
    <w:rsid w:val="00240D04"/>
    <w:rsid w:val="00241746"/>
    <w:rsid w:val="002478DF"/>
    <w:rsid w:val="002512FF"/>
    <w:rsid w:val="00252586"/>
    <w:rsid w:val="002546C6"/>
    <w:rsid w:val="00255A8E"/>
    <w:rsid w:val="00256A88"/>
    <w:rsid w:val="00263046"/>
    <w:rsid w:val="00264E86"/>
    <w:rsid w:val="00271A2E"/>
    <w:rsid w:val="00280F82"/>
    <w:rsid w:val="00282BCD"/>
    <w:rsid w:val="00284C59"/>
    <w:rsid w:val="00294E0D"/>
    <w:rsid w:val="00295A84"/>
    <w:rsid w:val="002A0010"/>
    <w:rsid w:val="002A5A07"/>
    <w:rsid w:val="002B0453"/>
    <w:rsid w:val="002B21FE"/>
    <w:rsid w:val="002B5F7A"/>
    <w:rsid w:val="002C04E4"/>
    <w:rsid w:val="002C7A26"/>
    <w:rsid w:val="002D076E"/>
    <w:rsid w:val="002D11C1"/>
    <w:rsid w:val="002D3DE4"/>
    <w:rsid w:val="002D5CD1"/>
    <w:rsid w:val="002E54D9"/>
    <w:rsid w:val="002F3F7E"/>
    <w:rsid w:val="002F67FE"/>
    <w:rsid w:val="003149A8"/>
    <w:rsid w:val="00321D2A"/>
    <w:rsid w:val="00326A24"/>
    <w:rsid w:val="003300D2"/>
    <w:rsid w:val="00330599"/>
    <w:rsid w:val="00330978"/>
    <w:rsid w:val="003318BC"/>
    <w:rsid w:val="003336DF"/>
    <w:rsid w:val="00333C2D"/>
    <w:rsid w:val="003430BD"/>
    <w:rsid w:val="0034776D"/>
    <w:rsid w:val="00352F56"/>
    <w:rsid w:val="00354902"/>
    <w:rsid w:val="003574BF"/>
    <w:rsid w:val="003652C4"/>
    <w:rsid w:val="00366FA3"/>
    <w:rsid w:val="003822FA"/>
    <w:rsid w:val="003852DF"/>
    <w:rsid w:val="00391819"/>
    <w:rsid w:val="003A6FE6"/>
    <w:rsid w:val="003B0658"/>
    <w:rsid w:val="003B0C32"/>
    <w:rsid w:val="003B3964"/>
    <w:rsid w:val="003B5861"/>
    <w:rsid w:val="003B5E2B"/>
    <w:rsid w:val="003B7688"/>
    <w:rsid w:val="003C2A36"/>
    <w:rsid w:val="003C34DE"/>
    <w:rsid w:val="003C3610"/>
    <w:rsid w:val="003C6282"/>
    <w:rsid w:val="003C6464"/>
    <w:rsid w:val="003C69F3"/>
    <w:rsid w:val="00401438"/>
    <w:rsid w:val="0041106F"/>
    <w:rsid w:val="00413F50"/>
    <w:rsid w:val="00414297"/>
    <w:rsid w:val="004143DA"/>
    <w:rsid w:val="00415361"/>
    <w:rsid w:val="00416CE7"/>
    <w:rsid w:val="00420E5F"/>
    <w:rsid w:val="00427A49"/>
    <w:rsid w:val="004307A0"/>
    <w:rsid w:val="0043165C"/>
    <w:rsid w:val="00432BCD"/>
    <w:rsid w:val="00434D0A"/>
    <w:rsid w:val="00442495"/>
    <w:rsid w:val="00443F70"/>
    <w:rsid w:val="00445F9E"/>
    <w:rsid w:val="004462FA"/>
    <w:rsid w:val="004658CB"/>
    <w:rsid w:val="0046741B"/>
    <w:rsid w:val="00472DDD"/>
    <w:rsid w:val="004752DA"/>
    <w:rsid w:val="00476115"/>
    <w:rsid w:val="004843A6"/>
    <w:rsid w:val="00485DAD"/>
    <w:rsid w:val="0048678F"/>
    <w:rsid w:val="004902BA"/>
    <w:rsid w:val="004911E5"/>
    <w:rsid w:val="0049371A"/>
    <w:rsid w:val="00495622"/>
    <w:rsid w:val="004A28F9"/>
    <w:rsid w:val="004A4D58"/>
    <w:rsid w:val="004B2ABB"/>
    <w:rsid w:val="004B6361"/>
    <w:rsid w:val="004C3D9F"/>
    <w:rsid w:val="004D2C2E"/>
    <w:rsid w:val="004D2D1D"/>
    <w:rsid w:val="004D6A16"/>
    <w:rsid w:val="004E057D"/>
    <w:rsid w:val="004E7363"/>
    <w:rsid w:val="004E7649"/>
    <w:rsid w:val="004F2744"/>
    <w:rsid w:val="004F2975"/>
    <w:rsid w:val="004F4271"/>
    <w:rsid w:val="004F5A56"/>
    <w:rsid w:val="004F6C39"/>
    <w:rsid w:val="00500930"/>
    <w:rsid w:val="00501A45"/>
    <w:rsid w:val="005021A1"/>
    <w:rsid w:val="00510BEC"/>
    <w:rsid w:val="00521AD4"/>
    <w:rsid w:val="00522021"/>
    <w:rsid w:val="00523BBF"/>
    <w:rsid w:val="00526932"/>
    <w:rsid w:val="00530D3C"/>
    <w:rsid w:val="0053154D"/>
    <w:rsid w:val="0054389C"/>
    <w:rsid w:val="00551F43"/>
    <w:rsid w:val="0055436A"/>
    <w:rsid w:val="00556679"/>
    <w:rsid w:val="00565005"/>
    <w:rsid w:val="005667E0"/>
    <w:rsid w:val="00573052"/>
    <w:rsid w:val="00574D45"/>
    <w:rsid w:val="00576735"/>
    <w:rsid w:val="005828C7"/>
    <w:rsid w:val="00582914"/>
    <w:rsid w:val="00586DEC"/>
    <w:rsid w:val="005927E0"/>
    <w:rsid w:val="005A1A6B"/>
    <w:rsid w:val="005A418A"/>
    <w:rsid w:val="005A7A24"/>
    <w:rsid w:val="005B2985"/>
    <w:rsid w:val="005B39C3"/>
    <w:rsid w:val="005B3FA4"/>
    <w:rsid w:val="005B6E7F"/>
    <w:rsid w:val="005C18F2"/>
    <w:rsid w:val="005C1F4F"/>
    <w:rsid w:val="005C72BA"/>
    <w:rsid w:val="005D132B"/>
    <w:rsid w:val="005D176D"/>
    <w:rsid w:val="005D2B46"/>
    <w:rsid w:val="005D5405"/>
    <w:rsid w:val="005D6F29"/>
    <w:rsid w:val="005E27AD"/>
    <w:rsid w:val="005E3F05"/>
    <w:rsid w:val="005F487D"/>
    <w:rsid w:val="005F6227"/>
    <w:rsid w:val="00603C49"/>
    <w:rsid w:val="00611873"/>
    <w:rsid w:val="00616EF3"/>
    <w:rsid w:val="0061743B"/>
    <w:rsid w:val="00620232"/>
    <w:rsid w:val="00622012"/>
    <w:rsid w:val="006220C7"/>
    <w:rsid w:val="006238A8"/>
    <w:rsid w:val="00630E02"/>
    <w:rsid w:val="006343CE"/>
    <w:rsid w:val="00641B2B"/>
    <w:rsid w:val="00651129"/>
    <w:rsid w:val="00653009"/>
    <w:rsid w:val="00656B08"/>
    <w:rsid w:val="00657954"/>
    <w:rsid w:val="00664B08"/>
    <w:rsid w:val="006656B8"/>
    <w:rsid w:val="00666D7B"/>
    <w:rsid w:val="0066718D"/>
    <w:rsid w:val="00667C51"/>
    <w:rsid w:val="006704DA"/>
    <w:rsid w:val="006728B6"/>
    <w:rsid w:val="0068478D"/>
    <w:rsid w:val="00684950"/>
    <w:rsid w:val="00685226"/>
    <w:rsid w:val="006942F0"/>
    <w:rsid w:val="006A5EC5"/>
    <w:rsid w:val="006B38DC"/>
    <w:rsid w:val="006B64EA"/>
    <w:rsid w:val="006C2B08"/>
    <w:rsid w:val="006C46D4"/>
    <w:rsid w:val="006C4908"/>
    <w:rsid w:val="006C5B19"/>
    <w:rsid w:val="006C62A3"/>
    <w:rsid w:val="006D0AAB"/>
    <w:rsid w:val="006D19ED"/>
    <w:rsid w:val="006D40A6"/>
    <w:rsid w:val="006D4DE8"/>
    <w:rsid w:val="006E28B4"/>
    <w:rsid w:val="006E2CD9"/>
    <w:rsid w:val="006F1852"/>
    <w:rsid w:val="006F5AE8"/>
    <w:rsid w:val="00701C8B"/>
    <w:rsid w:val="00711712"/>
    <w:rsid w:val="00713331"/>
    <w:rsid w:val="00713C57"/>
    <w:rsid w:val="00713D81"/>
    <w:rsid w:val="00715272"/>
    <w:rsid w:val="00715519"/>
    <w:rsid w:val="00722F46"/>
    <w:rsid w:val="00724A89"/>
    <w:rsid w:val="00741A66"/>
    <w:rsid w:val="007425F8"/>
    <w:rsid w:val="00744A14"/>
    <w:rsid w:val="00752131"/>
    <w:rsid w:val="00754E7E"/>
    <w:rsid w:val="0076199E"/>
    <w:rsid w:val="00770A54"/>
    <w:rsid w:val="00782D94"/>
    <w:rsid w:val="00787BF5"/>
    <w:rsid w:val="00792C20"/>
    <w:rsid w:val="007A08ED"/>
    <w:rsid w:val="007A47B0"/>
    <w:rsid w:val="007A697A"/>
    <w:rsid w:val="007A70A5"/>
    <w:rsid w:val="007B0CD0"/>
    <w:rsid w:val="007B54C1"/>
    <w:rsid w:val="007B673A"/>
    <w:rsid w:val="007B6AA3"/>
    <w:rsid w:val="007C0504"/>
    <w:rsid w:val="007C0E95"/>
    <w:rsid w:val="007C16D0"/>
    <w:rsid w:val="007C3249"/>
    <w:rsid w:val="007C345F"/>
    <w:rsid w:val="007C51B0"/>
    <w:rsid w:val="007C5B4E"/>
    <w:rsid w:val="007E33C8"/>
    <w:rsid w:val="007E57EB"/>
    <w:rsid w:val="007E7F75"/>
    <w:rsid w:val="007F1082"/>
    <w:rsid w:val="007F4305"/>
    <w:rsid w:val="007F552D"/>
    <w:rsid w:val="0080283C"/>
    <w:rsid w:val="008044A0"/>
    <w:rsid w:val="00811B07"/>
    <w:rsid w:val="0081220F"/>
    <w:rsid w:val="00812B3C"/>
    <w:rsid w:val="0081519E"/>
    <w:rsid w:val="00817EAF"/>
    <w:rsid w:val="00821579"/>
    <w:rsid w:val="00824C22"/>
    <w:rsid w:val="008269C6"/>
    <w:rsid w:val="0082719A"/>
    <w:rsid w:val="00827416"/>
    <w:rsid w:val="00833E7A"/>
    <w:rsid w:val="0084409A"/>
    <w:rsid w:val="00845395"/>
    <w:rsid w:val="00846D8F"/>
    <w:rsid w:val="00847274"/>
    <w:rsid w:val="0084768D"/>
    <w:rsid w:val="008527B2"/>
    <w:rsid w:val="00853758"/>
    <w:rsid w:val="0085401E"/>
    <w:rsid w:val="0085792C"/>
    <w:rsid w:val="00863D7C"/>
    <w:rsid w:val="00864C67"/>
    <w:rsid w:val="00865E08"/>
    <w:rsid w:val="00866330"/>
    <w:rsid w:val="00870650"/>
    <w:rsid w:val="00874EC8"/>
    <w:rsid w:val="00880600"/>
    <w:rsid w:val="00881FA1"/>
    <w:rsid w:val="0088478F"/>
    <w:rsid w:val="0088657B"/>
    <w:rsid w:val="00890300"/>
    <w:rsid w:val="00892198"/>
    <w:rsid w:val="00892E2E"/>
    <w:rsid w:val="00895400"/>
    <w:rsid w:val="00896CD8"/>
    <w:rsid w:val="008A45C2"/>
    <w:rsid w:val="008A6E28"/>
    <w:rsid w:val="008A74F3"/>
    <w:rsid w:val="008B130E"/>
    <w:rsid w:val="008C2DE2"/>
    <w:rsid w:val="008D0474"/>
    <w:rsid w:val="008D0857"/>
    <w:rsid w:val="008D20EA"/>
    <w:rsid w:val="008E6794"/>
    <w:rsid w:val="008E7E8A"/>
    <w:rsid w:val="008F75B8"/>
    <w:rsid w:val="00907342"/>
    <w:rsid w:val="00926B3D"/>
    <w:rsid w:val="00927A7D"/>
    <w:rsid w:val="00930214"/>
    <w:rsid w:val="009302A7"/>
    <w:rsid w:val="00932D2F"/>
    <w:rsid w:val="0093439A"/>
    <w:rsid w:val="009347E1"/>
    <w:rsid w:val="00942485"/>
    <w:rsid w:val="00950C2A"/>
    <w:rsid w:val="00952403"/>
    <w:rsid w:val="00954E9F"/>
    <w:rsid w:val="009565BF"/>
    <w:rsid w:val="00961CC9"/>
    <w:rsid w:val="009708B0"/>
    <w:rsid w:val="00972FDB"/>
    <w:rsid w:val="00990783"/>
    <w:rsid w:val="009908BC"/>
    <w:rsid w:val="00991B0F"/>
    <w:rsid w:val="00996A77"/>
    <w:rsid w:val="009A4ECE"/>
    <w:rsid w:val="009B7A9A"/>
    <w:rsid w:val="009C2FA5"/>
    <w:rsid w:val="009D05BB"/>
    <w:rsid w:val="009E0F69"/>
    <w:rsid w:val="009E0F99"/>
    <w:rsid w:val="009E3A25"/>
    <w:rsid w:val="009F7AA5"/>
    <w:rsid w:val="00A131C8"/>
    <w:rsid w:val="00A25EDC"/>
    <w:rsid w:val="00A33920"/>
    <w:rsid w:val="00A34A34"/>
    <w:rsid w:val="00A35A56"/>
    <w:rsid w:val="00A4260D"/>
    <w:rsid w:val="00A633B8"/>
    <w:rsid w:val="00A6358C"/>
    <w:rsid w:val="00A75C86"/>
    <w:rsid w:val="00A80FE1"/>
    <w:rsid w:val="00A879A6"/>
    <w:rsid w:val="00A92859"/>
    <w:rsid w:val="00A94B3E"/>
    <w:rsid w:val="00AA11AC"/>
    <w:rsid w:val="00AA13C7"/>
    <w:rsid w:val="00AA2075"/>
    <w:rsid w:val="00AA2BA9"/>
    <w:rsid w:val="00AA5AF3"/>
    <w:rsid w:val="00AB3935"/>
    <w:rsid w:val="00AB427F"/>
    <w:rsid w:val="00AD46E7"/>
    <w:rsid w:val="00AD6616"/>
    <w:rsid w:val="00AE0DC1"/>
    <w:rsid w:val="00AE5178"/>
    <w:rsid w:val="00AF009B"/>
    <w:rsid w:val="00AF5BBF"/>
    <w:rsid w:val="00B026DE"/>
    <w:rsid w:val="00B058C8"/>
    <w:rsid w:val="00B05D3A"/>
    <w:rsid w:val="00B072AD"/>
    <w:rsid w:val="00B10ED5"/>
    <w:rsid w:val="00B12687"/>
    <w:rsid w:val="00B21BC7"/>
    <w:rsid w:val="00B22015"/>
    <w:rsid w:val="00B2768D"/>
    <w:rsid w:val="00B27C46"/>
    <w:rsid w:val="00B3355B"/>
    <w:rsid w:val="00B35C1A"/>
    <w:rsid w:val="00B56EE8"/>
    <w:rsid w:val="00B5724C"/>
    <w:rsid w:val="00B66ED1"/>
    <w:rsid w:val="00B76D5C"/>
    <w:rsid w:val="00B90D0F"/>
    <w:rsid w:val="00B926C9"/>
    <w:rsid w:val="00B97210"/>
    <w:rsid w:val="00BA7088"/>
    <w:rsid w:val="00BB3422"/>
    <w:rsid w:val="00BB355E"/>
    <w:rsid w:val="00BB7F06"/>
    <w:rsid w:val="00BC02F7"/>
    <w:rsid w:val="00BC118F"/>
    <w:rsid w:val="00BC2B06"/>
    <w:rsid w:val="00BD13F2"/>
    <w:rsid w:val="00BD23A9"/>
    <w:rsid w:val="00BD48C9"/>
    <w:rsid w:val="00BD509C"/>
    <w:rsid w:val="00BE0CFA"/>
    <w:rsid w:val="00BE6BFE"/>
    <w:rsid w:val="00BF23D6"/>
    <w:rsid w:val="00BF4281"/>
    <w:rsid w:val="00BF51B0"/>
    <w:rsid w:val="00C027AC"/>
    <w:rsid w:val="00C07978"/>
    <w:rsid w:val="00C14938"/>
    <w:rsid w:val="00C16B2B"/>
    <w:rsid w:val="00C310DC"/>
    <w:rsid w:val="00C3311F"/>
    <w:rsid w:val="00C36613"/>
    <w:rsid w:val="00C3759A"/>
    <w:rsid w:val="00C4006A"/>
    <w:rsid w:val="00C5417C"/>
    <w:rsid w:val="00C55B76"/>
    <w:rsid w:val="00C57042"/>
    <w:rsid w:val="00C57AA8"/>
    <w:rsid w:val="00C60419"/>
    <w:rsid w:val="00C60B5B"/>
    <w:rsid w:val="00C74D31"/>
    <w:rsid w:val="00C76A02"/>
    <w:rsid w:val="00C81948"/>
    <w:rsid w:val="00C822E5"/>
    <w:rsid w:val="00C84BFC"/>
    <w:rsid w:val="00C90D33"/>
    <w:rsid w:val="00C9254B"/>
    <w:rsid w:val="00C958AC"/>
    <w:rsid w:val="00CA4299"/>
    <w:rsid w:val="00CB2661"/>
    <w:rsid w:val="00CB26A1"/>
    <w:rsid w:val="00CB27A6"/>
    <w:rsid w:val="00CB4C90"/>
    <w:rsid w:val="00CC6BF9"/>
    <w:rsid w:val="00CD13FE"/>
    <w:rsid w:val="00CD2840"/>
    <w:rsid w:val="00CF2D8B"/>
    <w:rsid w:val="00CF385B"/>
    <w:rsid w:val="00CF51EC"/>
    <w:rsid w:val="00D03CFA"/>
    <w:rsid w:val="00D0403E"/>
    <w:rsid w:val="00D06ED5"/>
    <w:rsid w:val="00D3160C"/>
    <w:rsid w:val="00D343CE"/>
    <w:rsid w:val="00D344B7"/>
    <w:rsid w:val="00D352C5"/>
    <w:rsid w:val="00D352DB"/>
    <w:rsid w:val="00D36050"/>
    <w:rsid w:val="00D41A20"/>
    <w:rsid w:val="00D46892"/>
    <w:rsid w:val="00D50940"/>
    <w:rsid w:val="00D50B64"/>
    <w:rsid w:val="00D523DA"/>
    <w:rsid w:val="00D531C3"/>
    <w:rsid w:val="00D55FB4"/>
    <w:rsid w:val="00D57303"/>
    <w:rsid w:val="00D6391A"/>
    <w:rsid w:val="00D63EFD"/>
    <w:rsid w:val="00D64D1D"/>
    <w:rsid w:val="00D652C9"/>
    <w:rsid w:val="00D73B4E"/>
    <w:rsid w:val="00D76A8E"/>
    <w:rsid w:val="00D80C01"/>
    <w:rsid w:val="00D81C3A"/>
    <w:rsid w:val="00D834C3"/>
    <w:rsid w:val="00D8357B"/>
    <w:rsid w:val="00D84A0F"/>
    <w:rsid w:val="00D856B1"/>
    <w:rsid w:val="00D9089A"/>
    <w:rsid w:val="00D9324C"/>
    <w:rsid w:val="00DA1C3D"/>
    <w:rsid w:val="00DA49ED"/>
    <w:rsid w:val="00DA672A"/>
    <w:rsid w:val="00DB3533"/>
    <w:rsid w:val="00DB38B5"/>
    <w:rsid w:val="00DB55A0"/>
    <w:rsid w:val="00DB6102"/>
    <w:rsid w:val="00DB65D8"/>
    <w:rsid w:val="00DC307A"/>
    <w:rsid w:val="00DC76CD"/>
    <w:rsid w:val="00DD25A1"/>
    <w:rsid w:val="00DD3F52"/>
    <w:rsid w:val="00DD4C43"/>
    <w:rsid w:val="00DE365F"/>
    <w:rsid w:val="00DF5453"/>
    <w:rsid w:val="00DF6D0A"/>
    <w:rsid w:val="00DF7256"/>
    <w:rsid w:val="00E01653"/>
    <w:rsid w:val="00E10E8C"/>
    <w:rsid w:val="00E132E8"/>
    <w:rsid w:val="00E1796A"/>
    <w:rsid w:val="00E17CA5"/>
    <w:rsid w:val="00E21B7B"/>
    <w:rsid w:val="00E22C44"/>
    <w:rsid w:val="00E248FE"/>
    <w:rsid w:val="00E2545B"/>
    <w:rsid w:val="00E27B59"/>
    <w:rsid w:val="00E311CA"/>
    <w:rsid w:val="00E451F3"/>
    <w:rsid w:val="00E46D52"/>
    <w:rsid w:val="00E50ED6"/>
    <w:rsid w:val="00E5116E"/>
    <w:rsid w:val="00E51A78"/>
    <w:rsid w:val="00E60879"/>
    <w:rsid w:val="00E60907"/>
    <w:rsid w:val="00E61DD4"/>
    <w:rsid w:val="00E66A2A"/>
    <w:rsid w:val="00E707DD"/>
    <w:rsid w:val="00E70E41"/>
    <w:rsid w:val="00E82908"/>
    <w:rsid w:val="00E91217"/>
    <w:rsid w:val="00E94C01"/>
    <w:rsid w:val="00E96F9E"/>
    <w:rsid w:val="00EB16FF"/>
    <w:rsid w:val="00EB37AA"/>
    <w:rsid w:val="00EB5573"/>
    <w:rsid w:val="00ED02F2"/>
    <w:rsid w:val="00ED0A61"/>
    <w:rsid w:val="00ED428C"/>
    <w:rsid w:val="00EE547C"/>
    <w:rsid w:val="00EF27D8"/>
    <w:rsid w:val="00EF4469"/>
    <w:rsid w:val="00EF4BD4"/>
    <w:rsid w:val="00EF6352"/>
    <w:rsid w:val="00F02672"/>
    <w:rsid w:val="00F031CA"/>
    <w:rsid w:val="00F05E05"/>
    <w:rsid w:val="00F10AAF"/>
    <w:rsid w:val="00F21FEA"/>
    <w:rsid w:val="00F22BEF"/>
    <w:rsid w:val="00F25783"/>
    <w:rsid w:val="00F32132"/>
    <w:rsid w:val="00F32559"/>
    <w:rsid w:val="00F37D1C"/>
    <w:rsid w:val="00F426D5"/>
    <w:rsid w:val="00F42C74"/>
    <w:rsid w:val="00F470C6"/>
    <w:rsid w:val="00F477F3"/>
    <w:rsid w:val="00F51C99"/>
    <w:rsid w:val="00F55C1D"/>
    <w:rsid w:val="00F567E8"/>
    <w:rsid w:val="00F57669"/>
    <w:rsid w:val="00F63790"/>
    <w:rsid w:val="00F63E34"/>
    <w:rsid w:val="00F65218"/>
    <w:rsid w:val="00F66405"/>
    <w:rsid w:val="00F73C65"/>
    <w:rsid w:val="00F77999"/>
    <w:rsid w:val="00F77F5A"/>
    <w:rsid w:val="00F81865"/>
    <w:rsid w:val="00F819D1"/>
    <w:rsid w:val="00F869DA"/>
    <w:rsid w:val="00F86D27"/>
    <w:rsid w:val="00F86E09"/>
    <w:rsid w:val="00F91D94"/>
    <w:rsid w:val="00F9675E"/>
    <w:rsid w:val="00F97983"/>
    <w:rsid w:val="00FA2D20"/>
    <w:rsid w:val="00FA5AF5"/>
    <w:rsid w:val="00FB7F99"/>
    <w:rsid w:val="00FC0673"/>
    <w:rsid w:val="00FD0C38"/>
    <w:rsid w:val="00FD1037"/>
    <w:rsid w:val="00FD3907"/>
    <w:rsid w:val="00FD4BFD"/>
    <w:rsid w:val="00FE18AB"/>
    <w:rsid w:val="00FE1E01"/>
    <w:rsid w:val="00FE409E"/>
    <w:rsid w:val="00FF3ED7"/>
    <w:rsid w:val="00FF5540"/>
    <w:rsid w:val="00FF722E"/>
    <w:rsid w:val="00FF7A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87923"/>
  <w15:chartTrackingRefBased/>
  <w15:docId w15:val="{1C4A14E8-E4BC-4CF5-8FDF-510C4C8AF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C43"/>
    <w:rPr>
      <w:szCs w:val="22"/>
    </w:rPr>
  </w:style>
  <w:style w:type="paragraph" w:styleId="Heading1">
    <w:name w:val="heading 1"/>
    <w:basedOn w:val="Normal"/>
    <w:next w:val="Normal"/>
    <w:link w:val="Heading1Char"/>
    <w:uiPriority w:val="9"/>
    <w:qFormat/>
    <w:rsid w:val="008D0857"/>
    <w:pPr>
      <w:keepNext/>
      <w:keepLines/>
      <w:spacing w:after="240"/>
      <w:outlineLvl w:val="0"/>
    </w:pPr>
    <w:rPr>
      <w:rFonts w:ascii="Arial Rounded MT Bold" w:eastAsiaTheme="majorEastAsia" w:hAnsi="Arial Rounded MT Bold" w:cstheme="majorBidi"/>
      <w:b/>
      <w:color w:val="1F3864" w:themeColor="accent1" w:themeShade="80"/>
      <w:sz w:val="36"/>
      <w:szCs w:val="32"/>
    </w:rPr>
  </w:style>
  <w:style w:type="paragraph" w:styleId="Heading2">
    <w:name w:val="heading 2"/>
    <w:basedOn w:val="Normal"/>
    <w:next w:val="Normal"/>
    <w:link w:val="Heading2Char"/>
    <w:uiPriority w:val="9"/>
    <w:unhideWhenUsed/>
    <w:qFormat/>
    <w:rsid w:val="008D0857"/>
    <w:pPr>
      <w:keepNext/>
      <w:keepLines/>
      <w:spacing w:before="240"/>
      <w:outlineLvl w:val="1"/>
    </w:pPr>
    <w:rPr>
      <w:rFonts w:asciiTheme="majorHAnsi" w:eastAsiaTheme="majorEastAsia" w:hAnsiTheme="majorHAnsi" w:cstheme="majorBidi"/>
      <w:b/>
      <w:color w:val="1F3864" w:themeColor="accent1" w:themeShade="80"/>
      <w:sz w:val="32"/>
      <w:szCs w:val="26"/>
    </w:rPr>
  </w:style>
  <w:style w:type="paragraph" w:styleId="Heading3">
    <w:name w:val="heading 3"/>
    <w:basedOn w:val="Normal"/>
    <w:next w:val="Normal"/>
    <w:link w:val="Heading3Char"/>
    <w:uiPriority w:val="9"/>
    <w:unhideWhenUsed/>
    <w:qFormat/>
    <w:rsid w:val="008D0857"/>
    <w:pPr>
      <w:keepNext/>
      <w:keepLines/>
      <w:spacing w:before="120" w:after="160"/>
      <w:outlineLvl w:val="2"/>
    </w:pPr>
    <w:rPr>
      <w:rFonts w:asciiTheme="majorHAnsi" w:eastAsiaTheme="majorEastAsia" w:hAnsiTheme="majorHAnsi" w:cstheme="majorBidi"/>
      <w:b/>
      <w:caps/>
      <w:color w:val="1F3864" w:themeColor="accent1" w:themeShade="80"/>
    </w:rPr>
  </w:style>
  <w:style w:type="paragraph" w:styleId="Heading4">
    <w:name w:val="heading 4"/>
    <w:basedOn w:val="Normal"/>
    <w:next w:val="Normal"/>
    <w:link w:val="Heading4Char"/>
    <w:uiPriority w:val="9"/>
    <w:semiHidden/>
    <w:unhideWhenUsed/>
    <w:qFormat/>
    <w:rsid w:val="008D085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857"/>
    <w:rPr>
      <w:rFonts w:ascii="Arial Rounded MT Bold" w:eastAsiaTheme="majorEastAsia" w:hAnsi="Arial Rounded MT Bold" w:cstheme="majorBidi"/>
      <w:b/>
      <w:color w:val="1F3864" w:themeColor="accent1" w:themeShade="80"/>
      <w:sz w:val="36"/>
      <w:szCs w:val="32"/>
    </w:rPr>
  </w:style>
  <w:style w:type="character" w:customStyle="1" w:styleId="Heading2Char">
    <w:name w:val="Heading 2 Char"/>
    <w:basedOn w:val="DefaultParagraphFont"/>
    <w:link w:val="Heading2"/>
    <w:uiPriority w:val="9"/>
    <w:rsid w:val="008D0857"/>
    <w:rPr>
      <w:rFonts w:asciiTheme="majorHAnsi" w:eastAsiaTheme="majorEastAsia" w:hAnsiTheme="majorHAnsi" w:cstheme="majorBidi"/>
      <w:b/>
      <w:color w:val="1F3864" w:themeColor="accent1" w:themeShade="80"/>
      <w:sz w:val="32"/>
      <w:szCs w:val="26"/>
    </w:rPr>
  </w:style>
  <w:style w:type="character" w:customStyle="1" w:styleId="Heading3Char">
    <w:name w:val="Heading 3 Char"/>
    <w:basedOn w:val="DefaultParagraphFont"/>
    <w:link w:val="Heading3"/>
    <w:uiPriority w:val="9"/>
    <w:rsid w:val="008D0857"/>
    <w:rPr>
      <w:rFonts w:asciiTheme="majorHAnsi" w:eastAsiaTheme="majorEastAsia" w:hAnsiTheme="majorHAnsi" w:cstheme="majorBidi"/>
      <w:b/>
      <w:caps/>
      <w:color w:val="1F3864" w:themeColor="accent1" w:themeShade="80"/>
    </w:rPr>
  </w:style>
  <w:style w:type="paragraph" w:styleId="Header">
    <w:name w:val="header"/>
    <w:basedOn w:val="Normal"/>
    <w:link w:val="HeaderChar"/>
    <w:uiPriority w:val="99"/>
    <w:unhideWhenUsed/>
    <w:rsid w:val="001F5CC9"/>
    <w:pPr>
      <w:tabs>
        <w:tab w:val="center" w:pos="4680"/>
        <w:tab w:val="right" w:pos="9360"/>
      </w:tabs>
    </w:pPr>
  </w:style>
  <w:style w:type="character" w:customStyle="1" w:styleId="HeaderChar">
    <w:name w:val="Header Char"/>
    <w:basedOn w:val="DefaultParagraphFont"/>
    <w:link w:val="Header"/>
    <w:uiPriority w:val="99"/>
    <w:rsid w:val="001F5CC9"/>
  </w:style>
  <w:style w:type="paragraph" w:styleId="Footer">
    <w:name w:val="footer"/>
    <w:basedOn w:val="Normal"/>
    <w:link w:val="FooterChar"/>
    <w:uiPriority w:val="99"/>
    <w:unhideWhenUsed/>
    <w:rsid w:val="001F5CC9"/>
    <w:pPr>
      <w:tabs>
        <w:tab w:val="center" w:pos="4680"/>
        <w:tab w:val="right" w:pos="9360"/>
      </w:tabs>
    </w:pPr>
  </w:style>
  <w:style w:type="character" w:customStyle="1" w:styleId="FooterChar">
    <w:name w:val="Footer Char"/>
    <w:basedOn w:val="DefaultParagraphFont"/>
    <w:link w:val="Footer"/>
    <w:uiPriority w:val="99"/>
    <w:rsid w:val="001F5CC9"/>
  </w:style>
  <w:style w:type="character" w:customStyle="1" w:styleId="Heading4Char">
    <w:name w:val="Heading 4 Char"/>
    <w:basedOn w:val="DefaultParagraphFont"/>
    <w:link w:val="Heading4"/>
    <w:uiPriority w:val="9"/>
    <w:semiHidden/>
    <w:rsid w:val="008D085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D0857"/>
    <w:pPr>
      <w:ind w:left="720"/>
      <w:contextualSpacing/>
    </w:pPr>
  </w:style>
  <w:style w:type="character" w:styleId="CommentReference">
    <w:name w:val="annotation reference"/>
    <w:basedOn w:val="DefaultParagraphFont"/>
    <w:uiPriority w:val="99"/>
    <w:semiHidden/>
    <w:unhideWhenUsed/>
    <w:rsid w:val="005A1A6B"/>
    <w:rPr>
      <w:sz w:val="16"/>
      <w:szCs w:val="16"/>
    </w:rPr>
  </w:style>
  <w:style w:type="paragraph" w:styleId="CommentText">
    <w:name w:val="annotation text"/>
    <w:basedOn w:val="Normal"/>
    <w:link w:val="CommentTextChar"/>
    <w:uiPriority w:val="99"/>
    <w:semiHidden/>
    <w:unhideWhenUsed/>
    <w:rsid w:val="005A1A6B"/>
    <w:rPr>
      <w:sz w:val="20"/>
      <w:szCs w:val="20"/>
    </w:rPr>
  </w:style>
  <w:style w:type="character" w:customStyle="1" w:styleId="CommentTextChar">
    <w:name w:val="Comment Text Char"/>
    <w:basedOn w:val="DefaultParagraphFont"/>
    <w:link w:val="CommentText"/>
    <w:uiPriority w:val="99"/>
    <w:semiHidden/>
    <w:rsid w:val="005A1A6B"/>
    <w:rPr>
      <w:sz w:val="20"/>
      <w:szCs w:val="20"/>
    </w:rPr>
  </w:style>
  <w:style w:type="paragraph" w:styleId="CommentSubject">
    <w:name w:val="annotation subject"/>
    <w:basedOn w:val="CommentText"/>
    <w:next w:val="CommentText"/>
    <w:link w:val="CommentSubjectChar"/>
    <w:uiPriority w:val="99"/>
    <w:semiHidden/>
    <w:unhideWhenUsed/>
    <w:rsid w:val="005A1A6B"/>
    <w:rPr>
      <w:b/>
      <w:bCs/>
    </w:rPr>
  </w:style>
  <w:style w:type="character" w:customStyle="1" w:styleId="CommentSubjectChar">
    <w:name w:val="Comment Subject Char"/>
    <w:basedOn w:val="CommentTextChar"/>
    <w:link w:val="CommentSubject"/>
    <w:uiPriority w:val="99"/>
    <w:semiHidden/>
    <w:rsid w:val="005A1A6B"/>
    <w:rPr>
      <w:b/>
      <w:bCs/>
      <w:sz w:val="20"/>
      <w:szCs w:val="20"/>
    </w:rPr>
  </w:style>
  <w:style w:type="paragraph" w:styleId="BalloonText">
    <w:name w:val="Balloon Text"/>
    <w:basedOn w:val="Normal"/>
    <w:link w:val="BalloonTextChar"/>
    <w:uiPriority w:val="99"/>
    <w:semiHidden/>
    <w:unhideWhenUsed/>
    <w:rsid w:val="005A1A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1A6B"/>
    <w:rPr>
      <w:rFonts w:ascii="Segoe UI" w:hAnsi="Segoe UI" w:cs="Segoe UI"/>
      <w:sz w:val="18"/>
      <w:szCs w:val="18"/>
    </w:rPr>
  </w:style>
  <w:style w:type="character" w:styleId="Hyperlink">
    <w:name w:val="Hyperlink"/>
    <w:basedOn w:val="DefaultParagraphFont"/>
    <w:uiPriority w:val="99"/>
    <w:unhideWhenUsed/>
    <w:rsid w:val="00501A45"/>
    <w:rPr>
      <w:color w:val="0563C1" w:themeColor="hyperlink"/>
      <w:u w:val="single"/>
    </w:rPr>
  </w:style>
  <w:style w:type="character" w:customStyle="1" w:styleId="UnresolvedMention1">
    <w:name w:val="Unresolved Mention1"/>
    <w:basedOn w:val="DefaultParagraphFont"/>
    <w:uiPriority w:val="99"/>
    <w:semiHidden/>
    <w:unhideWhenUsed/>
    <w:rsid w:val="00501A45"/>
    <w:rPr>
      <w:color w:val="808080"/>
      <w:shd w:val="clear" w:color="auto" w:fill="E6E6E6"/>
    </w:rPr>
  </w:style>
  <w:style w:type="character" w:styleId="FollowedHyperlink">
    <w:name w:val="FollowedHyperlink"/>
    <w:basedOn w:val="DefaultParagraphFont"/>
    <w:uiPriority w:val="99"/>
    <w:semiHidden/>
    <w:unhideWhenUsed/>
    <w:rsid w:val="00C60B5B"/>
    <w:rPr>
      <w:color w:val="954F72" w:themeColor="followedHyperlink"/>
      <w:u w:val="single"/>
    </w:rPr>
  </w:style>
  <w:style w:type="paragraph" w:styleId="FootnoteText">
    <w:name w:val="footnote text"/>
    <w:basedOn w:val="Normal"/>
    <w:link w:val="FootnoteTextChar"/>
    <w:uiPriority w:val="99"/>
    <w:unhideWhenUsed/>
    <w:rsid w:val="00F22BEF"/>
    <w:rPr>
      <w:sz w:val="20"/>
      <w:szCs w:val="20"/>
    </w:rPr>
  </w:style>
  <w:style w:type="character" w:customStyle="1" w:styleId="FootnoteTextChar">
    <w:name w:val="Footnote Text Char"/>
    <w:basedOn w:val="DefaultParagraphFont"/>
    <w:link w:val="FootnoteText"/>
    <w:uiPriority w:val="99"/>
    <w:rsid w:val="00F22BEF"/>
    <w:rPr>
      <w:sz w:val="20"/>
      <w:szCs w:val="20"/>
    </w:rPr>
  </w:style>
  <w:style w:type="character" w:styleId="FootnoteReference">
    <w:name w:val="footnote reference"/>
    <w:basedOn w:val="DefaultParagraphFont"/>
    <w:uiPriority w:val="99"/>
    <w:rsid w:val="00F22BEF"/>
    <w:rPr>
      <w:rFonts w:cs="Times New Roman"/>
      <w:vertAlign w:val="superscript"/>
    </w:rPr>
  </w:style>
  <w:style w:type="paragraph" w:styleId="EndnoteText">
    <w:name w:val="endnote text"/>
    <w:basedOn w:val="Normal"/>
    <w:link w:val="EndnoteTextChar"/>
    <w:uiPriority w:val="99"/>
    <w:semiHidden/>
    <w:unhideWhenUsed/>
    <w:rsid w:val="00D834C3"/>
    <w:rPr>
      <w:sz w:val="20"/>
      <w:szCs w:val="20"/>
    </w:rPr>
  </w:style>
  <w:style w:type="character" w:customStyle="1" w:styleId="EndnoteTextChar">
    <w:name w:val="Endnote Text Char"/>
    <w:basedOn w:val="DefaultParagraphFont"/>
    <w:link w:val="EndnoteText"/>
    <w:uiPriority w:val="99"/>
    <w:semiHidden/>
    <w:rsid w:val="00D834C3"/>
    <w:rPr>
      <w:sz w:val="20"/>
      <w:szCs w:val="20"/>
    </w:rPr>
  </w:style>
  <w:style w:type="character" w:styleId="EndnoteReference">
    <w:name w:val="endnote reference"/>
    <w:basedOn w:val="DefaultParagraphFont"/>
    <w:uiPriority w:val="99"/>
    <w:semiHidden/>
    <w:unhideWhenUsed/>
    <w:rsid w:val="00D834C3"/>
    <w:rPr>
      <w:vertAlign w:val="superscript"/>
    </w:rPr>
  </w:style>
  <w:style w:type="paragraph" w:styleId="Revision">
    <w:name w:val="Revision"/>
    <w:hidden/>
    <w:uiPriority w:val="99"/>
    <w:semiHidden/>
    <w:rsid w:val="00865E08"/>
  </w:style>
  <w:style w:type="paragraph" w:customStyle="1" w:styleId="Authorcredit">
    <w:name w:val="Author credit"/>
    <w:qFormat/>
    <w:rsid w:val="008D0857"/>
    <w:pPr>
      <w:spacing w:after="240"/>
    </w:pPr>
    <w:rPr>
      <w:rFonts w:asciiTheme="minorHAnsi" w:hAnsiTheme="minorHAnsi" w:cstheme="minorHAnsi"/>
      <w:i/>
      <w:sz w:val="22"/>
      <w:lang w:val="en-US"/>
    </w:rPr>
  </w:style>
  <w:style w:type="paragraph" w:customStyle="1" w:styleId="Summarystyle">
    <w:name w:val="Summary style"/>
    <w:qFormat/>
    <w:rsid w:val="008D0857"/>
    <w:pPr>
      <w:pBdr>
        <w:top w:val="single" w:sz="4" w:space="1" w:color="auto"/>
        <w:left w:val="single" w:sz="4" w:space="4" w:color="auto"/>
        <w:bottom w:val="single" w:sz="4" w:space="1" w:color="auto"/>
        <w:right w:val="single" w:sz="4" w:space="4" w:color="auto"/>
      </w:pBdr>
      <w:spacing w:after="120"/>
    </w:pPr>
    <w:rPr>
      <w:rFonts w:asciiTheme="minorHAnsi" w:hAnsiTheme="minorHAnsi" w:cstheme="minorHAnsi"/>
      <w:color w:val="000000"/>
      <w:szCs w:val="22"/>
    </w:rPr>
  </w:style>
  <w:style w:type="paragraph" w:customStyle="1" w:styleId="Body">
    <w:name w:val="Body"/>
    <w:basedOn w:val="Normal"/>
    <w:qFormat/>
    <w:rsid w:val="008D0857"/>
    <w:pPr>
      <w:autoSpaceDE w:val="0"/>
      <w:autoSpaceDN w:val="0"/>
      <w:adjustRightInd w:val="0"/>
      <w:spacing w:after="120"/>
    </w:pPr>
    <w:rPr>
      <w:rFonts w:asciiTheme="minorHAnsi" w:hAnsiTheme="minorHAnsi" w:cstheme="minorHAnsi"/>
      <w:color w:val="000000"/>
      <w:sz w:val="22"/>
    </w:rPr>
  </w:style>
  <w:style w:type="paragraph" w:customStyle="1" w:styleId="Figurecaption">
    <w:name w:val="Figure caption"/>
    <w:link w:val="FigurecaptionChar"/>
    <w:qFormat/>
    <w:rsid w:val="008D0857"/>
    <w:pPr>
      <w:spacing w:before="120" w:after="120"/>
      <w:ind w:left="720" w:right="720"/>
    </w:pPr>
    <w:rPr>
      <w:rFonts w:asciiTheme="minorHAnsi" w:hAnsiTheme="minorHAnsi" w:cstheme="minorHAnsi"/>
      <w:i/>
      <w:sz w:val="20"/>
      <w:lang w:val="en-US"/>
    </w:rPr>
  </w:style>
  <w:style w:type="paragraph" w:customStyle="1" w:styleId="FigureImageStyle">
    <w:name w:val="Figure Image Style"/>
    <w:rsid w:val="00F73C65"/>
    <w:pPr>
      <w:keepNext/>
      <w:spacing w:before="240" w:after="120"/>
      <w:jc w:val="center"/>
    </w:pPr>
    <w:rPr>
      <w:noProof/>
      <w:lang w:eastAsia="en-CA"/>
    </w:rPr>
  </w:style>
  <w:style w:type="paragraph" w:customStyle="1" w:styleId="Referencestyle">
    <w:name w:val="Reference style"/>
    <w:qFormat/>
    <w:rsid w:val="008D0857"/>
    <w:pPr>
      <w:spacing w:after="240"/>
    </w:pPr>
    <w:rPr>
      <w:rFonts w:ascii="Calibri" w:hAnsi="Calibri" w:cs="Calibri"/>
      <w:sz w:val="22"/>
      <w:lang w:val="en-US"/>
    </w:rPr>
  </w:style>
  <w:style w:type="paragraph" w:customStyle="1" w:styleId="Tablecaption">
    <w:name w:val="Table caption"/>
    <w:basedOn w:val="Figurecaption"/>
    <w:link w:val="TablecaptionChar"/>
    <w:rsid w:val="00255A8E"/>
    <w:pPr>
      <w:keepNext/>
      <w:widowControl w:val="0"/>
    </w:pPr>
  </w:style>
  <w:style w:type="table" w:styleId="TableGrid">
    <w:name w:val="Table Grid"/>
    <w:basedOn w:val="TableNormal"/>
    <w:uiPriority w:val="39"/>
    <w:rsid w:val="00255A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aptionChar">
    <w:name w:val="Figure caption Char"/>
    <w:basedOn w:val="DefaultParagraphFont"/>
    <w:link w:val="Figurecaption"/>
    <w:rsid w:val="008D0857"/>
    <w:rPr>
      <w:rFonts w:asciiTheme="minorHAnsi" w:hAnsiTheme="minorHAnsi" w:cstheme="minorHAnsi"/>
      <w:i/>
      <w:sz w:val="20"/>
      <w:lang w:val="en-US"/>
    </w:rPr>
  </w:style>
  <w:style w:type="character" w:customStyle="1" w:styleId="TablecaptionChar">
    <w:name w:val="Table caption Char"/>
    <w:basedOn w:val="FigurecaptionChar"/>
    <w:link w:val="Tablecaption"/>
    <w:rsid w:val="00255A8E"/>
    <w:rPr>
      <w:rFonts w:asciiTheme="minorHAnsi" w:hAnsiTheme="minorHAnsi" w:cstheme="minorHAnsi"/>
      <w:b w:val="0"/>
      <w:i/>
      <w:sz w:val="20"/>
      <w:lang w:val="en-US"/>
    </w:rPr>
  </w:style>
  <w:style w:type="paragraph" w:customStyle="1" w:styleId="FigorTableImageStyle">
    <w:name w:val="Fig or Table Image Style"/>
    <w:qFormat/>
    <w:rsid w:val="008D0857"/>
    <w:pPr>
      <w:keepNext/>
      <w:spacing w:before="240" w:after="120"/>
      <w:jc w:val="center"/>
    </w:pPr>
    <w:rPr>
      <w:noProof/>
      <w:lang w:eastAsia="en-CA"/>
    </w:rPr>
  </w:style>
  <w:style w:type="paragraph" w:customStyle="1" w:styleId="FigureNumber">
    <w:name w:val="Figure Number"/>
    <w:basedOn w:val="Figurecaption"/>
    <w:link w:val="FigureNumberChar"/>
    <w:qFormat/>
    <w:rsid w:val="008D0857"/>
    <w:rPr>
      <w:b/>
    </w:rPr>
  </w:style>
  <w:style w:type="character" w:customStyle="1" w:styleId="FigureNumberChar">
    <w:name w:val="Figure Number Char"/>
    <w:basedOn w:val="FigurecaptionChar"/>
    <w:link w:val="FigureNumber"/>
    <w:rsid w:val="008D0857"/>
    <w:rPr>
      <w:rFonts w:asciiTheme="minorHAnsi" w:hAnsiTheme="minorHAnsi" w:cstheme="minorHAnsi"/>
      <w:b/>
      <w:i/>
      <w:sz w:val="20"/>
      <w:lang w:val="en-US"/>
    </w:rPr>
  </w:style>
  <w:style w:type="paragraph" w:customStyle="1" w:styleId="TableNumber">
    <w:name w:val="Table Number"/>
    <w:basedOn w:val="Tablecaption"/>
    <w:link w:val="TableNumberChar"/>
    <w:qFormat/>
    <w:rsid w:val="008D0857"/>
    <w:pPr>
      <w:spacing w:before="0" w:after="0"/>
      <w:ind w:left="0" w:right="0"/>
      <w:jc w:val="center"/>
    </w:pPr>
    <w:rPr>
      <w:b/>
    </w:rPr>
  </w:style>
  <w:style w:type="character" w:customStyle="1" w:styleId="TableNumberChar">
    <w:name w:val="Table Number Char"/>
    <w:basedOn w:val="TablecaptionChar"/>
    <w:link w:val="TableNumber"/>
    <w:rsid w:val="008D0857"/>
    <w:rPr>
      <w:rFonts w:asciiTheme="minorHAnsi" w:hAnsiTheme="minorHAnsi" w:cstheme="minorHAnsi"/>
      <w:b/>
      <w:i/>
      <w:sz w:val="20"/>
      <w:lang w:val="en-US"/>
    </w:rPr>
  </w:style>
  <w:style w:type="paragraph" w:styleId="Caption">
    <w:name w:val="caption"/>
    <w:basedOn w:val="Normal"/>
    <w:next w:val="Normal"/>
    <w:uiPriority w:val="35"/>
    <w:unhideWhenUsed/>
    <w:qFormat/>
    <w:rsid w:val="006704DA"/>
    <w:pPr>
      <w:spacing w:after="200"/>
    </w:pPr>
    <w:rPr>
      <w:i/>
      <w:iCs/>
      <w:color w:val="44546A" w:themeColor="text2"/>
      <w:sz w:val="18"/>
      <w:szCs w:val="18"/>
    </w:rPr>
  </w:style>
  <w:style w:type="paragraph" w:customStyle="1" w:styleId="Default">
    <w:name w:val="Default"/>
    <w:rsid w:val="00F10AAF"/>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35537">
      <w:bodyDiv w:val="1"/>
      <w:marLeft w:val="0"/>
      <w:marRight w:val="0"/>
      <w:marTop w:val="0"/>
      <w:marBottom w:val="0"/>
      <w:divBdr>
        <w:top w:val="none" w:sz="0" w:space="0" w:color="auto"/>
        <w:left w:val="none" w:sz="0" w:space="0" w:color="auto"/>
        <w:bottom w:val="none" w:sz="0" w:space="0" w:color="auto"/>
        <w:right w:val="none" w:sz="0" w:space="0" w:color="auto"/>
      </w:divBdr>
    </w:div>
    <w:div w:id="318391632">
      <w:bodyDiv w:val="1"/>
      <w:marLeft w:val="0"/>
      <w:marRight w:val="0"/>
      <w:marTop w:val="0"/>
      <w:marBottom w:val="0"/>
      <w:divBdr>
        <w:top w:val="none" w:sz="0" w:space="0" w:color="auto"/>
        <w:left w:val="none" w:sz="0" w:space="0" w:color="auto"/>
        <w:bottom w:val="none" w:sz="0" w:space="0" w:color="auto"/>
        <w:right w:val="none" w:sz="0" w:space="0" w:color="auto"/>
      </w:divBdr>
    </w:div>
    <w:div w:id="379062821">
      <w:bodyDiv w:val="1"/>
      <w:marLeft w:val="0"/>
      <w:marRight w:val="0"/>
      <w:marTop w:val="0"/>
      <w:marBottom w:val="0"/>
      <w:divBdr>
        <w:top w:val="none" w:sz="0" w:space="0" w:color="auto"/>
        <w:left w:val="none" w:sz="0" w:space="0" w:color="auto"/>
        <w:bottom w:val="none" w:sz="0" w:space="0" w:color="auto"/>
        <w:right w:val="none" w:sz="0" w:space="0" w:color="auto"/>
      </w:divBdr>
    </w:div>
    <w:div w:id="812336680">
      <w:bodyDiv w:val="1"/>
      <w:marLeft w:val="0"/>
      <w:marRight w:val="0"/>
      <w:marTop w:val="0"/>
      <w:marBottom w:val="0"/>
      <w:divBdr>
        <w:top w:val="none" w:sz="0" w:space="0" w:color="auto"/>
        <w:left w:val="none" w:sz="0" w:space="0" w:color="auto"/>
        <w:bottom w:val="none" w:sz="0" w:space="0" w:color="auto"/>
        <w:right w:val="none" w:sz="0" w:space="0" w:color="auto"/>
      </w:divBdr>
    </w:div>
    <w:div w:id="1125537775">
      <w:bodyDiv w:val="1"/>
      <w:marLeft w:val="0"/>
      <w:marRight w:val="0"/>
      <w:marTop w:val="0"/>
      <w:marBottom w:val="0"/>
      <w:divBdr>
        <w:top w:val="none" w:sz="0" w:space="0" w:color="auto"/>
        <w:left w:val="none" w:sz="0" w:space="0" w:color="auto"/>
        <w:bottom w:val="none" w:sz="0" w:space="0" w:color="auto"/>
        <w:right w:val="none" w:sz="0" w:space="0" w:color="auto"/>
      </w:divBdr>
    </w:div>
    <w:div w:id="1455949633">
      <w:bodyDiv w:val="1"/>
      <w:marLeft w:val="0"/>
      <w:marRight w:val="0"/>
      <w:marTop w:val="0"/>
      <w:marBottom w:val="0"/>
      <w:divBdr>
        <w:top w:val="none" w:sz="0" w:space="0" w:color="auto"/>
        <w:left w:val="none" w:sz="0" w:space="0" w:color="auto"/>
        <w:bottom w:val="none" w:sz="0" w:space="0" w:color="auto"/>
        <w:right w:val="none" w:sz="0" w:space="0" w:color="auto"/>
      </w:divBdr>
    </w:div>
    <w:div w:id="1490440899">
      <w:bodyDiv w:val="1"/>
      <w:marLeft w:val="0"/>
      <w:marRight w:val="0"/>
      <w:marTop w:val="0"/>
      <w:marBottom w:val="0"/>
      <w:divBdr>
        <w:top w:val="none" w:sz="0" w:space="0" w:color="auto"/>
        <w:left w:val="none" w:sz="0" w:space="0" w:color="auto"/>
        <w:bottom w:val="none" w:sz="0" w:space="0" w:color="auto"/>
        <w:right w:val="none" w:sz="0" w:space="0" w:color="auto"/>
      </w:divBdr>
    </w:div>
    <w:div w:id="1870877880">
      <w:bodyDiv w:val="1"/>
      <w:marLeft w:val="0"/>
      <w:marRight w:val="0"/>
      <w:marTop w:val="0"/>
      <w:marBottom w:val="0"/>
      <w:divBdr>
        <w:top w:val="none" w:sz="0" w:space="0" w:color="auto"/>
        <w:left w:val="none" w:sz="0" w:space="0" w:color="auto"/>
        <w:bottom w:val="none" w:sz="0" w:space="0" w:color="auto"/>
        <w:right w:val="none" w:sz="0" w:space="0" w:color="auto"/>
      </w:divBdr>
    </w:div>
    <w:div w:id="209447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O:\Publications\Report%20Template%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459E1-B105-4389-9B19-1AF41BF45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Blank.dotx</Template>
  <TotalTime>47</TotalTime>
  <Pages>7</Pages>
  <Words>2950</Words>
  <Characters>16820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 Jessica</dc:creator>
  <cp:keywords/>
  <dc:description/>
  <cp:lastModifiedBy>Liu, Qi</cp:lastModifiedBy>
  <cp:revision>7</cp:revision>
  <cp:lastPrinted>2022-05-04T18:52:00Z</cp:lastPrinted>
  <dcterms:created xsi:type="dcterms:W3CDTF">2022-03-01T23:03:00Z</dcterms:created>
  <dcterms:modified xsi:type="dcterms:W3CDTF">2022-05-04T23:26:00Z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2022-05-04T18:51:55Z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3d5d05c3-a717-4a4c-b009-7f2ab0ab7d91</vt:lpwstr>
  </property>
  <property fmtid="{D5CDD505-2E9C-101B-9397-08002B2CF9AE}" pid="8" name="MSIP_Label_1bfb733f-faef-464c-9b6d-731b56f94973_ContentBits">
    <vt:lpwstr>0</vt:lpwstr>
  </property>
</Properties>
</file>