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FF5200"/>
          <w:sz w:val="40"/>
        </w:rPr>
        <w:t>BÁO CÁO TƯ VẤN &amp; PHÂN TÍCH EES 2026: THE OUTSTANDING MASTER BLUEPRINT</w:t>
      </w:r>
    </w:p>
    <w:p>
      <w:pPr>
        <w:spacing w:after="480"/>
        <w:jc w:val="center"/>
      </w:pPr>
      <w:r>
        <w:rPr>
          <w:b/>
          <w:color w:val="006FAD"/>
          <w:sz w:val="26"/>
        </w:rPr>
        <w:t>Chiến Lược Phân Tích Chuyên Sâu, Hợp Nhất ML Dữ Liệu Thu Nhập &amp; Kích Hoạt Trải Nghiệm Tiền Phương</w:t>
      </w:r>
    </w:p>
    <w:p>
      <w:r>
        <w:rPr>
          <w:color w:val="2B3540"/>
        </w:rPr>
        <w:t xml:space="preserve">Bản báo cáo định chuẩn (Master Blueprint) này được thiết lập dưới góc độ của một chuyên gia Quản trị Trải nghiệm Nhân viên (EX) và Phân tích Dữ liệu (DA) chuyên sâu trong ngành Logistics/e-Logistics. Nhằm đáp ứng mục tiêu chiến lược của đợt khảo sát EES 2026 (đóng form nhóm cuối vào ngày 20/05), tài liệu không chỉ dừng lại ở các con số thống kê bề nổi mà thực hiện </w:t>
      </w:r>
      <w:r>
        <w:rPr>
          <w:b/>
        </w:rPr>
        <w:t>phản tư toàn diện các đứt gãy của năm 2025</w:t>
      </w:r>
      <w:r>
        <w:t xml:space="preserve">, áp dụng các mô hình đo lường tối tân nhất thế giới (Gallup Q12, Aon Say-Stay-Strive, Maslach Burnout Inventory, Job Demands-Resources), và đưa ra </w:t>
      </w:r>
      <w:r>
        <w:rPr>
          <w:b/>
        </w:rPr>
        <w:t>kế hoạch thực thi chi tiết cùng giải pháp học máy (XGBoost/SHAP)</w:t>
      </w:r>
      <w:r>
        <w:t xml:space="preserve"> để đối chiếu trực tiếp dữ liệu khảo sát với CSDL chi tiết thu nhập cập nhật ngày 28/04 của 2 nhóm nòng cốt: </w:t>
      </w:r>
      <w:r>
        <w:rPr>
          <w:b/>
        </w:rPr>
        <w:t>Nhóm 1A (Shipper) và Nhóm 1B (Tài xế xe tải)</w:t>
      </w:r>
      <w:r>
        <w:t>. Từ đó, kiến tạo các đòn bẩy vận hành thực chất nhằm tối ưu hóa chi phí và giữ chân lực lượng lao động tiền phương.</w:t>
      </w:r>
    </w:p>
    <w:p>
      <w:pPr>
        <w:spacing w:after="240"/>
      </w:pPr>
    </w:p>
    <w:p>
      <w:pPr>
        <w:keepNext/>
        <w:spacing w:before="400" w:after="160"/>
      </w:pPr>
      <w:r>
        <w:rPr>
          <w:rFonts w:ascii="Arial" w:hAnsi="Arial"/>
          <w:b/>
          <w:color w:val="FF5200"/>
          <w:sz w:val="30"/>
        </w:rPr>
        <w:t>PHẦN I. GÓC ĐỘ CHUYÊN GIA EX: PHẢN TƯ BÁO CÁO 2025 VÀ XƯỚNG KIẾN TRÚC FRAMEWORK 2026</w:t>
      </w:r>
    </w:p>
    <w:p>
      <w:pPr>
        <w:keepNext/>
        <w:spacing w:before="280" w:after="120"/>
      </w:pPr>
      <w:r>
        <w:rPr>
          <w:rFonts w:ascii="Arial" w:hAnsi="Arial"/>
          <w:b/>
          <w:color w:val="006FAD"/>
          <w:sz w:val="26"/>
        </w:rPr>
        <w:t>1.1 Phản biện Hạn chế Căn bản của Báo cáo EES 2025 (The Legacy Flaws)</w:t>
      </w:r>
    </w:p>
    <w:p>
      <w:r>
        <w:t>Dưới góc nhìn khắt khe của chuyên gia tư vấn EX và phân tích dữ liệu, việc tiếp tục sao chép phương pháp làm báo cáo của EES 2025 sẽ tước đi cơ hội can thiệp thực chất của tổ chức. Báo cáo 2025 bộc lộ 4 điểm yếu chí mạng:</w:t>
      </w:r>
    </w:p>
    <w:p>
      <w:pPr>
        <w:pStyle w:val="ListBullet"/>
        <w:spacing w:after="80"/>
      </w:pPr>
      <w:r>
        <w:rPr>
          <w:b/>
          <w:color w:val="2B3540"/>
        </w:rPr>
        <w:t xml:space="preserve">• Khảo sát Hiện tượng &amp; Góc nhìn Chủ quan (Phenomenological Trap): </w:t>
      </w:r>
      <w:r>
        <w:rPr>
          <w:color w:val="2B3540"/>
        </w:rPr>
        <w:t>Báo cáo cũ nặng về việc đếm số liệu thô ('bao nhiêu % chọn đồng ý') mà thiếu vắng các khung lý thuyết tâm lý học tổ chức (Organizational Psychology). Việc giải thích nguyên nhân hoàn toàn dựa trên suy đoán cảm tính của người làm báo cáo, dẫn đến các giải pháp đối phó, giải quyết phần ngọn thay vì trị tận gốc.</w:t>
      </w:r>
    </w:p>
    <w:p>
      <w:pPr>
        <w:pStyle w:val="ListBullet"/>
        <w:spacing w:after="80"/>
      </w:pPr>
      <w:r>
        <w:rPr>
          <w:b/>
          <w:color w:val="2B3540"/>
        </w:rPr>
        <w:t xml:space="preserve">• Độ trễ Dữ liệu Vận hành Quá Lớn (High Data Latency): </w:t>
      </w:r>
      <w:r>
        <w:rPr>
          <w:color w:val="2B3540"/>
        </w:rPr>
        <w:t>Thực hiện khảo sát định kỳ mỗi năm một lần tạo ra 'khoảng mù thông tin' khổng lồ kéo dài từ 6 đến 12 tháng. Với tốc độ thay đổi chóng mặt của ngành e-Logistics, khi số liệu được tổng hợp xong thì các vấn đề bức xúc tại bưu cục đã bùng phát thành làn sóng nghỉ việc, hoặc nhân sự giỏi đã kiệt sức và rời đi.</w:t>
      </w:r>
    </w:p>
    <w:p>
      <w:pPr>
        <w:pStyle w:val="ListBullet"/>
        <w:spacing w:after="80"/>
      </w:pPr>
      <w:r>
        <w:rPr>
          <w:b/>
          <w:color w:val="2B3540"/>
        </w:rPr>
        <w:t xml:space="preserve">• Bỏ Rơi Lực Lượng Tiền Phương (Poor Frontline Accessibility): </w:t>
      </w:r>
      <w:r>
        <w:rPr>
          <w:color w:val="2B3540"/>
        </w:rPr>
        <w:t>Việc phát hành khảo sát qua link web truyền thống hoặc email tạo rào cản cực lớn cho lực lượng lao động hiện trường (Deskless workforce: Shipper, Tài xế). Tỷ lệ tham gia thực tế của nhóm này trong năm 2025 rất thấp (chỉ dao động 5% - 30%), khiến tiếng nói của lực lượng trực tiếp tạo ra doanh thu bị lu mờ trước khối Văn phòng (HO).</w:t>
      </w:r>
    </w:p>
    <w:p>
      <w:pPr>
        <w:pStyle w:val="ListBullet"/>
        <w:spacing w:after="80"/>
      </w:pPr>
      <w:r>
        <w:rPr>
          <w:b/>
          <w:color w:val="2B3540"/>
        </w:rPr>
        <w:t xml:space="preserve">• Cô Lập Dữ Liệu Nhân Sự (Siloed HRIS Data): </w:t>
      </w:r>
      <w:r>
        <w:rPr>
          <w:color w:val="2B3540"/>
        </w:rPr>
        <w:t>Kết quả EES 2025 đứng độc lập như một ốc đảo, không được đối chiếu chéo (mapping) với các hệ thống dữ liệu vận hành trọng yếu như: Cơ sở dữ liệu Thu nhập chi tiết, Lịch sử phạt COD, Năng suất giao/lấy hàng, hay Tỷ lệ trượt (Turnover rate) thực tế.</w:t>
      </w:r>
    </w:p>
    <w:p>
      <w:pPr>
        <w:keepNext/>
        <w:spacing w:before="280" w:after="120"/>
      </w:pPr>
      <w:r>
        <w:rPr>
          <w:rFonts w:ascii="Arial" w:hAnsi="Arial"/>
          <w:b/>
          <w:color w:val="006FAD"/>
          <w:sz w:val="26"/>
        </w:rPr>
        <w:t>1.2 Tích Hợp Các Mô Hình Tiên Tiến Nhất Thế Giới (2026 Advanced Frameworks)</w:t>
      </w:r>
    </w:p>
    <w:p>
      <w:r>
        <w:t>Để kiến tạo giải pháp mang tính cách mạng cho EES 2026, kiến trúc phân tích nạp trực tiếp các mô hình lý thuyết hàng đầu thế giới, đảm bảo độ chuẩn xác và chiều sâu thấu cảm:</w:t>
      </w:r>
    </w:p>
    <w:p>
      <w:pPr>
        <w:pStyle w:val="ListBullet"/>
        <w:spacing w:after="80"/>
      </w:pPr>
      <w:r>
        <w:rPr>
          <w:b/>
          <w:color w:val="2B3540"/>
        </w:rPr>
        <w:t xml:space="preserve">• Mô hình Trải nghiệm Nhân viên Toàn diện (Gartner Human Deal 2.0 &amp; Bersin Simply Irresistible): </w:t>
      </w:r>
      <w:r>
        <w:rPr>
          <w:color w:val="2B3540"/>
        </w:rPr>
        <w:t>Chuyển dịch trọng tâm từ 'Giao dịch lao động' sang 'Thấu hiểu con người'. Đánh giá sâu khía cạnh Tự chủ (Autonomy), Sự tôn trọng tại bưu cục, và Cảm giác được bảo vệ an toàn vật lý/tâm lý trên từng cây số.</w:t>
      </w:r>
    </w:p>
    <w:p>
      <w:pPr>
        <w:pStyle w:val="ListBullet"/>
        <w:spacing w:after="80"/>
      </w:pPr>
      <w:r>
        <w:rPr>
          <w:b/>
          <w:color w:val="2B3540"/>
        </w:rPr>
        <w:t xml:space="preserve">• Khung Đo lường Gắn kết (Gallup Q12 &amp; Aon Say-Stay-Strive): </w:t>
      </w:r>
      <w:r>
        <w:rPr>
          <w:color w:val="2B3540"/>
        </w:rPr>
        <w:t>Định lượng rõ ràng 3 trạng thái hành vi cốt lõi: SAY (Tự hào nói tốt về GHN), STAY (Cam kết gắn bó dài hạn trong các câu hỏi dự báo), và STRIVE (Nỗ lực cống hiến vượt mức kỳ vọng cơ bản).</w:t>
      </w:r>
    </w:p>
    <w:p>
      <w:pPr>
        <w:pStyle w:val="ListBullet"/>
        <w:spacing w:after="80"/>
      </w:pPr>
      <w:r>
        <w:rPr>
          <w:b/>
          <w:color w:val="2B3540"/>
        </w:rPr>
        <w:t xml:space="preserve">• Lý thuyết Yêu cầu - Nguồn lực Công việc (JD-R Model - Job Demands-Resources): </w:t>
      </w:r>
      <w:r>
        <w:rPr>
          <w:color w:val="2B3540"/>
        </w:rPr>
        <w:t>Giải thích cơ chế hình thành sự kiệt sức (Burnout) khi Yêu cầu công việc (Áp lực đơn, chế tài COD, thời tiết khắc nghiệt) vượt quá Nguồn lực hỗ trợ (Độ mượt của App Driver, sự công bằng của TBC/AM, công cụ xe cộ). Ngược lại, Nguồn lực dồi dào sẽ kích hoạt Trạng thái Thịnh vượng (Thriving).</w:t>
      </w:r>
    </w:p>
    <w:p>
      <w:pPr>
        <w:pStyle w:val="ListBullet"/>
        <w:spacing w:after="80"/>
      </w:pPr>
      <w:r>
        <w:rPr>
          <w:b/>
          <w:color w:val="2B3540"/>
        </w:rPr>
        <w:t xml:space="preserve">• Thang đo Kiệt sức Chuẩn Y khoa (Maslach Burnout Inventory - MBI): </w:t>
      </w:r>
      <w:r>
        <w:rPr>
          <w:color w:val="2B3540"/>
        </w:rPr>
        <w:t>Tích hợp ngầm các câu hỏi đánh giá mức độ cạn kiệt cảm xúc (Emotional Exhaustion) và suy giảm thành tựu cá nhân để đo lường rủi ro 'sập tải' hệ thống.</w:t>
      </w:r>
    </w:p>
    <w:p>
      <w:pPr>
        <w:keepNext/>
        <w:spacing w:before="280" w:after="120"/>
      </w:pPr>
      <w:r>
        <w:rPr>
          <w:rFonts w:ascii="Arial" w:hAnsi="Arial"/>
          <w:b/>
          <w:color w:val="006FAD"/>
          <w:sz w:val="26"/>
        </w:rPr>
        <w:t>1.3 Lắng Nghe Liên Tục Trên Nền Tảng Gtalk (Always-On Mobile Listening)</w:t>
      </w:r>
    </w:p>
    <w:p>
      <w:r>
        <w:t>Học hỏi thực tiễn thành công từ các tập đoàn Logistics hàng đầu thế giới (DHL, FedEx, Amazon), GHN 2026 áp dụng chiến lược tiếp cận độc đáo dành riêng cho Frontline workers:</w:t>
      </w:r>
    </w:p>
    <w:p>
      <w:pPr>
        <w:pStyle w:val="ListBullet"/>
        <w:spacing w:after="80"/>
      </w:pPr>
      <w:r>
        <w:rPr>
          <w:b/>
          <w:color w:val="2B3540"/>
        </w:rPr>
        <w:t xml:space="preserve">• Giao diện Mobile-First qua Tin nhắn Gtalk: </w:t>
      </w:r>
      <w:r>
        <w:rPr>
          <w:color w:val="2B3540"/>
        </w:rPr>
        <w:t>Từ bỏ hoàn toàn email. Hệ thống gửi trực tiếp các câu hỏi khảo sát ngắn (Pulse Survey) dưới dạng tin nhắn tương tác (Chatbot) trên ứng dụng nội bộ Gtalk. Tài xế/Shipper chỉ cần bấm chọn trực tiếp trên màn hình điện thoại trong 30 giây giải lao mà không cần đăng nhập phức tạp, kéo tỷ lệ phản hồi thực tế đạt mức kỳ vọng 40% - 50%.</w:t>
      </w:r>
    </w:p>
    <w:p>
      <w:pPr>
        <w:pStyle w:val="ListBullet"/>
        <w:spacing w:after="80"/>
      </w:pPr>
      <w:r>
        <w:rPr>
          <w:b/>
          <w:color w:val="2B3540"/>
        </w:rPr>
        <w:t xml:space="preserve">• Ngôn từ Đời thực &amp; Gần gũi Thực địa: </w:t>
      </w:r>
      <w:r>
        <w:rPr>
          <w:color w:val="2B3540"/>
        </w:rPr>
        <w:t>Loại bỏ hoàn toàn các thuật ngữ nhân sự hàn lâm. Bảng hỏi 2026 sử dụng ngôn ngữ sắc bén của người giao nhận: Thay vì hỏi 'Đánh giá mức độ hiệu quả của công cụ', khảo sát đi thẳng vào vấn đề 'Hôm nay App Driver hiển thị đơn có mượt không?' hoặc 'AM/TBC có phân tuyến công bằng không?'.</w:t>
      </w:r>
    </w:p>
    <w:p>
      <w:pPr>
        <w:keepNext/>
        <w:spacing w:before="400" w:after="160"/>
      </w:pPr>
      <w:r>
        <w:rPr>
          <w:rFonts w:ascii="Arial" w:hAnsi="Arial"/>
          <w:b/>
          <w:color w:val="FF5200"/>
          <w:sz w:val="30"/>
        </w:rPr>
        <w:t>PHẦN II. KẾ HOẠCH CHUẨN BỊ VÀ TIMELINE PHÂN TÍCH DỮ LIỆU EES 2026 CHI TIẾT</w:t>
      </w:r>
    </w:p>
    <w:p>
      <w:r>
        <w:t>Hôm nay là ngày 14/05, và đợt khảo sát sẽ chính thức đóng form cho nhóm cuối cùng vào ngày 20/05. Để đảm bảo tiến độ thần tốc và chất lượng phân tích cao cấp, dưới đây là lộ trình công việc chi tiết từ DA &amp; EX Division:</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2B3540"/>
            <w:tcMar>
              <w:top w:w="100" w:type="dxa"/>
              <w:bottom w:w="100" w:type="dxa"/>
              <w:left w:w="150" w:type="dxa"/>
              <w:right w:w="150" w:type="dxa"/>
            </w:tcMar>
          </w:tcPr>
          <w:p>
            <w:r>
              <w:rPr>
                <w:b/>
                <w:color w:val="FFFFFF"/>
              </w:rPr>
              <w:t>Giai đoạn / Thời gian</w:t>
            </w:r>
          </w:p>
        </w:tc>
        <w:tc>
          <w:tcPr>
            <w:tcW w:type="dxa" w:w="5040"/>
            <w:shd w:fill="2B3540"/>
            <w:tcMar>
              <w:top w:w="100" w:type="dxa"/>
              <w:bottom w:w="100" w:type="dxa"/>
              <w:left w:w="150" w:type="dxa"/>
              <w:right w:w="150" w:type="dxa"/>
            </w:tcMar>
          </w:tcPr>
          <w:p>
            <w:r>
              <w:rPr>
                <w:b/>
                <w:color w:val="FFFFFF"/>
              </w:rPr>
              <w:t>Hạng mục Công việc Phân tích &amp; EX (Task Details)</w:t>
            </w:r>
          </w:p>
        </w:tc>
        <w:tc>
          <w:tcPr>
            <w:tcW w:type="dxa" w:w="2592"/>
            <w:shd w:fill="2B3540"/>
            <w:tcMar>
              <w:top w:w="100" w:type="dxa"/>
              <w:bottom w:w="100" w:type="dxa"/>
              <w:left w:w="150" w:type="dxa"/>
              <w:right w:w="150" w:type="dxa"/>
            </w:tcMar>
          </w:tcPr>
          <w:p>
            <w:r>
              <w:rPr>
                <w:b/>
                <w:color w:val="FFFFFF"/>
              </w:rPr>
              <w:t>Đầu ra Cốt lõi (Key Deliverables)</w:t>
            </w:r>
          </w:p>
        </w:tc>
      </w:tr>
      <w:tr>
        <w:tc>
          <w:tcPr>
            <w:tcW w:type="dxa" w:w="3312"/>
            <w:tcMar>
              <w:top w:w="80" w:type="dxa"/>
              <w:bottom w:w="80" w:type="dxa"/>
              <w:left w:w="100" w:type="dxa"/>
              <w:right w:w="100" w:type="dxa"/>
            </w:tcMar>
            <w:shd w:fill="F8F9FA"/>
          </w:tcPr>
          <w:p>
            <w:r>
              <w:rPr>
                <w:b/>
              </w:rPr>
              <w:t>Giai đoạn 1:</w:t>
              <w:br/>
              <w:t>Chuẩn bị sớm</w:t>
              <w:br/>
              <w:t>(14/05 – 19/05)</w:t>
            </w:r>
          </w:p>
        </w:tc>
        <w:tc>
          <w:tcPr>
            <w:tcW w:type="dxa" w:w="3312"/>
            <w:tcMar>
              <w:top w:w="80" w:type="dxa"/>
              <w:bottom w:w="80" w:type="dxa"/>
              <w:left w:w="100" w:type="dxa"/>
              <w:right w:w="100" w:type="dxa"/>
            </w:tcMar>
          </w:tcPr>
          <w:p>
            <w:pPr>
              <w:jc w:val="left"/>
            </w:pPr>
            <w:r>
              <w:t>• Thu thập, rà soát trước các dải dữ liệu từ những nhóm đã hoàn thành.</w:t>
              <w:br/>
              <w:t>• Viết script Python tự động hóa làm sạch (Data Cleaning) và chuẩn hóa định dạng câu trả lời.</w:t>
              <w:br/>
              <w:t>• Chuẩn bị sẵn file CSDL Thu nhập NVPTTT (cập nhật 28/04) và thiết lập các trường Key mapping (Mã NV, Tên Bưu cục, Vùng Region).</w:t>
              <w:br/>
              <w:t>• Chạy thử nghiệm các mô hình phân tích cụm (Clustering) trên dữ liệu tạm thời.</w:t>
            </w:r>
          </w:p>
        </w:tc>
        <w:tc>
          <w:tcPr>
            <w:tcW w:type="dxa" w:w="3312"/>
            <w:tcMar>
              <w:top w:w="80" w:type="dxa"/>
              <w:bottom w:w="80" w:type="dxa"/>
              <w:left w:w="100" w:type="dxa"/>
              <w:right w:w="100" w:type="dxa"/>
            </w:tcMar>
          </w:tcPr>
          <w:p>
            <w:r>
              <w:t>Hệ thống ETL/Pipeline sẵn sàng; Mã hóa xong bộ Codebook chuẩn; Khớp nối trước các bảng DB Thu nhập.</w:t>
            </w:r>
          </w:p>
        </w:tc>
      </w:tr>
      <w:tr>
        <w:tc>
          <w:tcPr>
            <w:tcW w:type="dxa" w:w="3312"/>
            <w:tcMar>
              <w:top w:w="80" w:type="dxa"/>
              <w:bottom w:w="80" w:type="dxa"/>
              <w:left w:w="100" w:type="dxa"/>
              <w:right w:w="100" w:type="dxa"/>
            </w:tcMar>
            <w:shd w:fill="F8F9FA"/>
          </w:tcPr>
          <w:p>
            <w:r>
              <w:rPr>
                <w:b/>
              </w:rPr>
              <w:t>Giai đoạn 2:</w:t>
              <w:br/>
              <w:t>Đóng form &amp; ETL</w:t>
              <w:br/>
              <w:t>(20/05 – 22/05)</w:t>
            </w:r>
          </w:p>
        </w:tc>
        <w:tc>
          <w:tcPr>
            <w:tcW w:type="dxa" w:w="3312"/>
            <w:tcMar>
              <w:top w:w="80" w:type="dxa"/>
              <w:bottom w:w="80" w:type="dxa"/>
              <w:left w:w="100" w:type="dxa"/>
              <w:right w:w="100" w:type="dxa"/>
            </w:tcMar>
          </w:tcPr>
          <w:p>
            <w:pPr>
              <w:jc w:val="left"/>
            </w:pPr>
            <w:r>
              <w:t>• 20/05: Chính thức trích xuất toàn bộ dữ liệu thô (Raw Data) từ hệ thống khảo sát Gtalk ngay khi đóng form.</w:t>
              <w:br/>
              <w:t>• Xử lý missing values, loại bỏ các phản hồi rác (straight-liners: chọn toàn 1 hoặc toàn 5).</w:t>
              <w:br/>
              <w:t>• Thực hiện tính toán ngay 8 bộ chỉ số lõi (Core Indices) bằng giải thuật PCA.</w:t>
              <w:br/>
              <w:t>• Chạy phân tích cảm xúc (Sentiment Analysis) sơ bộ trên 3 câu hỏi mở (Q24, Q25, Q26).</w:t>
            </w:r>
          </w:p>
        </w:tc>
        <w:tc>
          <w:tcPr>
            <w:tcW w:type="dxa" w:w="3312"/>
            <w:tcMar>
              <w:top w:w="80" w:type="dxa"/>
              <w:bottom w:w="80" w:type="dxa"/>
              <w:left w:w="100" w:type="dxa"/>
              <w:right w:w="100" w:type="dxa"/>
            </w:tcMar>
          </w:tcPr>
          <w:p>
            <w:r>
              <w:t>Tập dữ liệu sạch (Cleaned DB) hoàn chỉnh; Bảng Master Scoreboard sơ bộ cho toàn bộ các Hub/Bưu cục.</w:t>
            </w:r>
          </w:p>
        </w:tc>
      </w:tr>
      <w:tr>
        <w:tc>
          <w:tcPr>
            <w:tcW w:type="dxa" w:w="3312"/>
            <w:tcMar>
              <w:top w:w="80" w:type="dxa"/>
              <w:bottom w:w="80" w:type="dxa"/>
              <w:left w:w="100" w:type="dxa"/>
              <w:right w:w="100" w:type="dxa"/>
            </w:tcMar>
            <w:shd w:fill="F8F9FA"/>
          </w:tcPr>
          <w:p>
            <w:r>
              <w:rPr>
                <w:b/>
              </w:rPr>
              <w:t>Giai đoạn 3:</w:t>
              <w:br/>
              <w:t>Phân tích &amp; ML</w:t>
              <w:br/>
              <w:t>(23/05 – 27/05)</w:t>
            </w:r>
          </w:p>
        </w:tc>
        <w:tc>
          <w:tcPr>
            <w:tcW w:type="dxa" w:w="3312"/>
            <w:tcMar>
              <w:top w:w="80" w:type="dxa"/>
              <w:bottom w:w="80" w:type="dxa"/>
              <w:left w:w="100" w:type="dxa"/>
              <w:right w:w="100" w:type="dxa"/>
            </w:tcMar>
          </w:tcPr>
          <w:p>
            <w:pPr>
              <w:jc w:val="left"/>
            </w:pPr>
            <w:r>
              <w:t>• Áp dụng thuật toán Machine Learning (XGBoost) gộp DB Khảo sát và DB Thu nhập 28/04 để trích xuất Feature Importance (SHAP values).</w:t>
              <w:br/>
              <w:t>• Phân tích sâu theo các lát cắt (Demographics): Thâm niên (&lt;2 tháng, 2-6 tháng, &gt;2 năm), Vùng địa lý, và Nhóm công việc (1A vs 1B).</w:t>
              <w:br/>
              <w:t>• Chạy mô hình Hồi quy xác định Key Drivers tác động đến eNPS và Retention Forecast.</w:t>
              <w:br/>
              <w:t>• Tổ chức thảo luận 'War-room' nội bộ khối HR để kiểm chứng các giả thuyết rủi ro.</w:t>
            </w:r>
          </w:p>
        </w:tc>
        <w:tc>
          <w:tcPr>
            <w:tcW w:type="dxa" w:w="3312"/>
            <w:tcMar>
              <w:top w:w="80" w:type="dxa"/>
              <w:bottom w:w="80" w:type="dxa"/>
              <w:left w:w="100" w:type="dxa"/>
              <w:right w:w="100" w:type="dxa"/>
            </w:tcMar>
          </w:tcPr>
          <w:p>
            <w:r>
              <w:t>Bản đồ Căn nguyên Rời đi (Root-cause Map); Mô hình dự báo nguy cơ nghỉ việc; Ma trận Tầm quan trọng - Hiệu suất (IPA).</w:t>
            </w:r>
          </w:p>
        </w:tc>
      </w:tr>
      <w:tr>
        <w:tc>
          <w:tcPr>
            <w:tcW w:type="dxa" w:w="3312"/>
            <w:tcMar>
              <w:top w:w="80" w:type="dxa"/>
              <w:bottom w:w="80" w:type="dxa"/>
              <w:left w:w="100" w:type="dxa"/>
              <w:right w:w="100" w:type="dxa"/>
            </w:tcMar>
            <w:shd w:fill="F8F9FA"/>
          </w:tcPr>
          <w:p>
            <w:r>
              <w:rPr>
                <w:b/>
              </w:rPr>
              <w:t>Giai đoạn 4:</w:t>
              <w:br/>
              <w:t>Báo cáo &amp; Kế hoạch</w:t>
              <w:br/>
              <w:t>(28/05 – 05/06)</w:t>
            </w:r>
          </w:p>
        </w:tc>
        <w:tc>
          <w:tcPr>
            <w:tcW w:type="dxa" w:w="3312"/>
            <w:tcMar>
              <w:top w:w="80" w:type="dxa"/>
              <w:bottom w:w="80" w:type="dxa"/>
              <w:left w:w="100" w:type="dxa"/>
              <w:right w:w="100" w:type="dxa"/>
            </w:tcMar>
          </w:tcPr>
          <w:p>
            <w:pPr>
              <w:jc w:val="left"/>
            </w:pPr>
            <w:r>
              <w:t>• Thiết kế và hoàn thiện Báo cáo Master Blueprint Word định chuẩn Premium (Cam/Xanh thương hiệu).</w:t>
              <w:br/>
              <w:t>• Xuất bản bộ Dashboard Excel động có khả năng Drill-down dữ liệu cho từng Giám đốc Vùng/AM.</w:t>
              <w:br/>
              <w:t>• Xây dựng Kế hoạch Hành động (Action Plan) đa điểm chạm, rà soát tác động kinh doanh (ROI).</w:t>
              <w:br/>
              <w:t>• Trình bày Executive Summary trước Ban Lãnh đạo (BOD).</w:t>
            </w:r>
          </w:p>
        </w:tc>
        <w:tc>
          <w:tcPr>
            <w:tcW w:type="dxa" w:w="3312"/>
            <w:tcMar>
              <w:top w:w="80" w:type="dxa"/>
              <w:bottom w:w="80" w:type="dxa"/>
              <w:left w:w="100" w:type="dxa"/>
              <w:right w:w="100" w:type="dxa"/>
            </w:tcMar>
          </w:tcPr>
          <w:p>
            <w:r>
              <w:t>Master Word Report chính thức; Master Excel Dashboard; Bộ Slide trình bày BOD; Lộ trình triển khai Mạng Văn hóa GHN.</w:t>
            </w:r>
          </w:p>
        </w:tc>
      </w:tr>
    </w:tbl>
    <w:p>
      <w:pPr>
        <w:spacing w:after="240"/>
      </w:pPr>
    </w:p>
    <w:p>
      <w:pPr>
        <w:keepNext/>
        <w:spacing w:before="400" w:after="160"/>
      </w:pPr>
      <w:r>
        <w:rPr>
          <w:rFonts w:ascii="Arial" w:hAnsi="Arial"/>
          <w:b/>
          <w:color w:val="FF5200"/>
          <w:sz w:val="30"/>
        </w:rPr>
        <w:t>PHẦN III. ĐỊNH LƯỢNG HỆ THỐNG CÁC CHỈ SỐ GẮN KẾT VÀ EX CỐT LÕI (CORE INDICES)</w:t>
      </w:r>
    </w:p>
    <w:p>
      <w:r>
        <w:t>Từ bỏ hoàn toàn phương pháp tính điểm trung bình cộng thô sơ, hệ thống phân tích EES 2026 thiết lập 8 bộ chỉ số quản trị chuyên biệt, cho phép bóc tách sâu sắc từng tầng lớp tâm lý và dễ dàng đối sánh với Chuẩn thị trường (Benchmark):</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2B3540"/>
            <w:tcMar>
              <w:top w:w="100" w:type="dxa"/>
              <w:bottom w:w="100" w:type="dxa"/>
              <w:left w:w="150" w:type="dxa"/>
              <w:right w:w="150" w:type="dxa"/>
            </w:tcMar>
          </w:tcPr>
          <w:p>
            <w:r>
              <w:rPr>
                <w:b/>
                <w:color w:val="FFFFFF"/>
              </w:rPr>
              <w:t>Tên Chỉ số / Biến số Cốt lõi</w:t>
            </w:r>
          </w:p>
        </w:tc>
        <w:tc>
          <w:tcPr>
            <w:tcW w:type="dxa" w:w="4608"/>
            <w:shd w:fill="2B3540"/>
            <w:tcMar>
              <w:top w:w="100" w:type="dxa"/>
              <w:bottom w:w="100" w:type="dxa"/>
              <w:left w:w="150" w:type="dxa"/>
              <w:right w:w="150" w:type="dxa"/>
            </w:tcMar>
          </w:tcPr>
          <w:p>
            <w:r>
              <w:rPr>
                <w:b/>
                <w:color w:val="FFFFFF"/>
              </w:rPr>
              <w:t>Phương pháp luận &amp; Khung đo lường (Methodology)</w:t>
            </w:r>
          </w:p>
        </w:tc>
        <w:tc>
          <w:tcPr>
            <w:tcW w:type="dxa" w:w="2592"/>
            <w:shd w:fill="2B3540"/>
            <w:tcMar>
              <w:top w:w="100" w:type="dxa"/>
              <w:bottom w:w="100" w:type="dxa"/>
              <w:left w:w="150" w:type="dxa"/>
              <w:right w:w="150" w:type="dxa"/>
            </w:tcMar>
          </w:tcPr>
          <w:p>
            <w:r>
              <w:rPr>
                <w:b/>
                <w:color w:val="FFFFFF"/>
              </w:rPr>
              <w:t>Ý nghĩa Quản trị &amp; Ứng dụng Phân tích</w:t>
            </w:r>
          </w:p>
        </w:tc>
      </w:tr>
      <w:tr>
        <w:tc>
          <w:tcPr>
            <w:tcW w:type="dxa" w:w="3312"/>
            <w:tcMar>
              <w:top w:w="80" w:type="dxa"/>
              <w:bottom w:w="80" w:type="dxa"/>
              <w:left w:w="100" w:type="dxa"/>
              <w:right w:w="100" w:type="dxa"/>
            </w:tcMar>
            <w:shd w:fill="F8F9FA"/>
          </w:tcPr>
          <w:p>
            <w:r>
              <w:rPr>
                <w:b/>
              </w:rPr>
              <w:t>Engagement Index</w:t>
              <w:br/>
              <w:t>(Chỉ số Gắn kết Tổng hợp)</w:t>
            </w:r>
          </w:p>
        </w:tc>
        <w:tc>
          <w:tcPr>
            <w:tcW w:type="dxa" w:w="3312"/>
            <w:tcMar>
              <w:top w:w="80" w:type="dxa"/>
              <w:bottom w:w="80" w:type="dxa"/>
              <w:left w:w="100" w:type="dxa"/>
              <w:right w:w="100" w:type="dxa"/>
            </w:tcMar>
          </w:tcPr>
          <w:p>
            <w:pPr>
              <w:jc w:val="left"/>
            </w:pPr>
            <w:r>
              <w:t>Ứng dụng Phân tích Thành phần Chính (PCA) trên bộ câu hỏi nền tảng (Say-Stay-Strive) để gán trọng số tối ưu. Phân rã thành 4 phân khúc: Highly Engaged, Moderately Engaged, Passive, và Actively Disengaged.</w:t>
            </w:r>
          </w:p>
        </w:tc>
        <w:tc>
          <w:tcPr>
            <w:tcW w:type="dxa" w:w="3312"/>
            <w:tcMar>
              <w:top w:w="80" w:type="dxa"/>
              <w:bottom w:w="80" w:type="dxa"/>
              <w:left w:w="100" w:type="dxa"/>
              <w:right w:w="100" w:type="dxa"/>
            </w:tcMar>
          </w:tcPr>
          <w:p>
            <w:r>
              <w:t>Đo lường sức mạnh nội tại của nhân sự. Việc dùng PCA giúp nhận diện chính xác câu hỏi nào có sức nặng chi phối cao nhất thay vì giả định các item có vai trò như nhau.</w:t>
            </w:r>
          </w:p>
        </w:tc>
      </w:tr>
      <w:tr>
        <w:tc>
          <w:tcPr>
            <w:tcW w:type="dxa" w:w="3312"/>
            <w:tcMar>
              <w:top w:w="80" w:type="dxa"/>
              <w:bottom w:w="80" w:type="dxa"/>
              <w:left w:w="100" w:type="dxa"/>
              <w:right w:w="100" w:type="dxa"/>
            </w:tcMar>
            <w:shd w:fill="F8F9FA"/>
          </w:tcPr>
          <w:p>
            <w:r>
              <w:rPr>
                <w:b/>
              </w:rPr>
              <w:t>eNPS Score</w:t>
              <w:br/>
              <w:t>(Employee Net Promoter Score)</w:t>
            </w:r>
          </w:p>
        </w:tc>
        <w:tc>
          <w:tcPr>
            <w:tcW w:type="dxa" w:w="3312"/>
            <w:tcMar>
              <w:top w:w="80" w:type="dxa"/>
              <w:bottom w:w="80" w:type="dxa"/>
              <w:left w:w="100" w:type="dxa"/>
              <w:right w:w="100" w:type="dxa"/>
            </w:tcMar>
          </w:tcPr>
          <w:p>
            <w:pPr>
              <w:jc w:val="left"/>
            </w:pPr>
            <w:r>
              <w:t>Trích xuất nguyên vẹn từ câu hỏi đo lường mức độ giới thiệu (thang 0–10). Phân loại:</w:t>
              <w:br/>
              <w:t>• Promoters (9–10) | Passives (7–8) | Detractors (0–6).</w:t>
              <w:br/>
              <w:t>• eNPS = % Promoters – % Detractors.</w:t>
            </w:r>
          </w:p>
        </w:tc>
        <w:tc>
          <w:tcPr>
            <w:tcW w:type="dxa" w:w="3312"/>
            <w:tcMar>
              <w:top w:w="80" w:type="dxa"/>
              <w:bottom w:w="80" w:type="dxa"/>
              <w:left w:w="100" w:type="dxa"/>
              <w:right w:w="100" w:type="dxa"/>
            </w:tcMar>
          </w:tcPr>
          <w:p>
            <w:r>
              <w:t>Thước đo danh tiếng thương hiệu nội bộ. Tập trung phân tích giải pháp chuyển đổi cho dải Passives (7–8) vì đây là nhóm mang lại ROI nhân sự cao nhất khi được kích hoạt.</w:t>
            </w:r>
          </w:p>
        </w:tc>
      </w:tr>
      <w:tr>
        <w:tc>
          <w:tcPr>
            <w:tcW w:type="dxa" w:w="3312"/>
            <w:tcMar>
              <w:top w:w="80" w:type="dxa"/>
              <w:bottom w:w="80" w:type="dxa"/>
              <w:left w:w="100" w:type="dxa"/>
              <w:right w:w="100" w:type="dxa"/>
            </w:tcMar>
            <w:shd w:fill="F8F9FA"/>
          </w:tcPr>
          <w:p>
            <w:r>
              <w:rPr>
                <w:b/>
              </w:rPr>
              <w:t>Manager Effectiveness Index (MEI)</w:t>
            </w:r>
          </w:p>
        </w:tc>
        <w:tc>
          <w:tcPr>
            <w:tcW w:type="dxa" w:w="3312"/>
            <w:tcMar>
              <w:top w:w="80" w:type="dxa"/>
              <w:bottom w:w="80" w:type="dxa"/>
              <w:left w:w="100" w:type="dxa"/>
              <w:right w:w="100" w:type="dxa"/>
            </w:tcMar>
          </w:tcPr>
          <w:p>
            <w:pPr>
              <w:jc w:val="left"/>
            </w:pPr>
            <w:r>
              <w:t>Trung bình cộng có trọng số của toàn bộ 5 câu hỏi thuộc Trụ cột 2 (TC2), phản ánh năng lực hỗ trợ thực địa, sự công bằng và chất lượng phản hồi của cấp quản lý trực tiếp (AM/TBC).</w:t>
            </w:r>
          </w:p>
        </w:tc>
        <w:tc>
          <w:tcPr>
            <w:tcW w:type="dxa" w:w="3312"/>
            <w:tcMar>
              <w:top w:w="80" w:type="dxa"/>
              <w:bottom w:w="80" w:type="dxa"/>
              <w:left w:w="100" w:type="dxa"/>
              <w:right w:w="100" w:type="dxa"/>
            </w:tcMar>
          </w:tcPr>
          <w:p>
            <w:r>
              <w:t>Đòn bẩy vận hành số 1. Nơi có MEI suy giảm chắc chắn là tâm điểm bùng nổ hao hụt nhân sự. Giúp định vị chính xác các cấp quản lý cần can thiệp đào tạo ngay lập tức.</w:t>
            </w:r>
          </w:p>
        </w:tc>
      </w:tr>
      <w:tr>
        <w:tc>
          <w:tcPr>
            <w:tcW w:type="dxa" w:w="3312"/>
            <w:tcMar>
              <w:top w:w="80" w:type="dxa"/>
              <w:bottom w:w="80" w:type="dxa"/>
              <w:left w:w="100" w:type="dxa"/>
              <w:right w:w="100" w:type="dxa"/>
            </w:tcMar>
            <w:shd w:fill="F8F9FA"/>
          </w:tcPr>
          <w:p>
            <w:r>
              <w:rPr>
                <w:b/>
              </w:rPr>
              <w:t>Burnout Score</w:t>
              <w:br/>
              <w:t>(Chỉ số Kiệt sức / Quá tải)</w:t>
            </w:r>
          </w:p>
        </w:tc>
        <w:tc>
          <w:tcPr>
            <w:tcW w:type="dxa" w:w="3312"/>
            <w:tcMar>
              <w:top w:w="80" w:type="dxa"/>
              <w:bottom w:w="80" w:type="dxa"/>
              <w:left w:w="100" w:type="dxa"/>
              <w:right w:w="100" w:type="dxa"/>
            </w:tcMar>
          </w:tcPr>
          <w:p>
            <w:pPr>
              <w:jc w:val="left"/>
            </w:pPr>
            <w:r>
              <w:t>Kế thừa phiên bản rút gọn của Maslach Burnout Inventory (MBI) chuẩn WHO. Đo lường rủi ro vắt kiệt sức lực thể chất và tinh thần (Tích hợp từ Q10 và Q21).</w:t>
            </w:r>
          </w:p>
        </w:tc>
        <w:tc>
          <w:tcPr>
            <w:tcW w:type="dxa" w:w="3312"/>
            <w:tcMar>
              <w:top w:w="80" w:type="dxa"/>
              <w:bottom w:w="80" w:type="dxa"/>
              <w:left w:w="100" w:type="dxa"/>
              <w:right w:w="100" w:type="dxa"/>
            </w:tcMar>
          </w:tcPr>
          <w:p>
            <w:r>
              <w:t>Cảnh báo đỏ về rủi ro sập tải hệ thống. Đặc biệt sống còn để theo dõi sức khỏe khối HO và các Bưu cục có sản lượng bùng nổ dịp Mega Sale.</w:t>
            </w:r>
          </w:p>
        </w:tc>
      </w:tr>
      <w:tr>
        <w:tc>
          <w:tcPr>
            <w:tcW w:type="dxa" w:w="3312"/>
            <w:tcMar>
              <w:top w:w="80" w:type="dxa"/>
              <w:bottom w:w="80" w:type="dxa"/>
              <w:left w:w="100" w:type="dxa"/>
              <w:right w:w="100" w:type="dxa"/>
            </w:tcMar>
            <w:shd w:fill="F8F9FA"/>
          </w:tcPr>
          <w:p>
            <w:r>
              <w:rPr>
                <w:b/>
              </w:rPr>
              <w:t>Thriving Score</w:t>
              <w:br/>
              <w:t>(Chỉ số Thịnh vượng)</w:t>
            </w:r>
          </w:p>
        </w:tc>
        <w:tc>
          <w:tcPr>
            <w:tcW w:type="dxa" w:w="3312"/>
            <w:tcMar>
              <w:top w:w="80" w:type="dxa"/>
              <w:bottom w:w="80" w:type="dxa"/>
              <w:left w:w="100" w:type="dxa"/>
              <w:right w:w="100" w:type="dxa"/>
            </w:tcMar>
          </w:tcPr>
          <w:p>
            <w:pPr>
              <w:jc w:val="left"/>
            </w:pPr>
            <w:r>
              <w:t>Chuẩn hóa theo khung Microsoft Work Trend Index, đánh giá sức mạnh nội tại, sự năng nổ và cảm giác được tiếp năng lượng (Tích hợp từ Q8 và Q9 về công cụ App/Xe).</w:t>
            </w:r>
          </w:p>
        </w:tc>
        <w:tc>
          <w:tcPr>
            <w:tcW w:type="dxa" w:w="3312"/>
            <w:tcMar>
              <w:top w:w="80" w:type="dxa"/>
              <w:bottom w:w="80" w:type="dxa"/>
              <w:left w:w="100" w:type="dxa"/>
              <w:right w:w="100" w:type="dxa"/>
            </w:tcMar>
          </w:tcPr>
          <w:p>
            <w:r>
              <w:t>Dự báo năng suất vượt trội. Shipper có Thriving Score cao sẽ chủ động gỡ vướng mắc phát sinh trên tuyến mà không chờ đợi chỉ đạo vi mô.</w:t>
            </w:r>
          </w:p>
        </w:tc>
      </w:tr>
      <w:tr>
        <w:tc>
          <w:tcPr>
            <w:tcW w:type="dxa" w:w="3312"/>
            <w:tcMar>
              <w:top w:w="80" w:type="dxa"/>
              <w:bottom w:w="80" w:type="dxa"/>
              <w:left w:w="100" w:type="dxa"/>
              <w:right w:w="100" w:type="dxa"/>
            </w:tcMar>
            <w:shd w:fill="F8F9FA"/>
          </w:tcPr>
          <w:p>
            <w:r>
              <w:rPr>
                <w:b/>
              </w:rPr>
              <w:t>Psychological Safety Score</w:t>
              <w:br/>
              <w:t>(An toàn Tâm lý)</w:t>
            </w:r>
          </w:p>
        </w:tc>
        <w:tc>
          <w:tcPr>
            <w:tcW w:type="dxa" w:w="3312"/>
            <w:tcMar>
              <w:top w:w="80" w:type="dxa"/>
              <w:bottom w:w="80" w:type="dxa"/>
              <w:left w:w="100" w:type="dxa"/>
              <w:right w:w="100" w:type="dxa"/>
            </w:tcMar>
          </w:tcPr>
          <w:p>
            <w:pPr>
              <w:jc w:val="left"/>
            </w:pPr>
            <w:r>
              <w:t>Đo lường mức độ thoải mái khi nói thẳng ý kiến đóng góp, mắc sai lầm không bị trù dập (Tích hợp từ thang đo Edmondson tại Q5, Q6 và Q12).</w:t>
            </w:r>
          </w:p>
        </w:tc>
        <w:tc>
          <w:tcPr>
            <w:tcW w:type="dxa" w:w="3312"/>
            <w:tcMar>
              <w:top w:w="80" w:type="dxa"/>
              <w:bottom w:w="80" w:type="dxa"/>
              <w:left w:w="100" w:type="dxa"/>
              <w:right w:w="100" w:type="dxa"/>
            </w:tcMar>
          </w:tcPr>
          <w:p>
            <w:r>
              <w:t>Yếu tố quyết định văn hóa 'Hỏi thật - Đáp thật', thúc đẩy dòng chảy sáng kiến liên tục từ dưới lên (Bottom-up innovation).</w:t>
            </w:r>
          </w:p>
        </w:tc>
      </w:tr>
      <w:tr>
        <w:tc>
          <w:tcPr>
            <w:tcW w:type="dxa" w:w="3312"/>
            <w:tcMar>
              <w:top w:w="80" w:type="dxa"/>
              <w:bottom w:w="80" w:type="dxa"/>
              <w:left w:w="100" w:type="dxa"/>
              <w:right w:w="100" w:type="dxa"/>
            </w:tcMar>
            <w:shd w:fill="F8F9FA"/>
          </w:tcPr>
          <w:p>
            <w:r>
              <w:rPr>
                <w:b/>
              </w:rPr>
              <w:t>EVP / Compensation Fairness Perception</w:t>
            </w:r>
          </w:p>
        </w:tc>
        <w:tc>
          <w:tcPr>
            <w:tcW w:type="dxa" w:w="3312"/>
            <w:tcMar>
              <w:top w:w="80" w:type="dxa"/>
              <w:bottom w:w="80" w:type="dxa"/>
              <w:left w:w="100" w:type="dxa"/>
              <w:right w:w="100" w:type="dxa"/>
            </w:tcMar>
          </w:tcPr>
          <w:p>
            <w:pPr>
              <w:jc w:val="left"/>
            </w:pPr>
            <w:r>
              <w:t>Đo lường nhận thức về sự xứng đáng và minh bạch của hệ thống chi trả (Trung bình cộng Trụ cột 4 từ Q13 đến Q17). Đối chiếu với dữ liệu thu nhập thực tế.</w:t>
            </w:r>
          </w:p>
        </w:tc>
        <w:tc>
          <w:tcPr>
            <w:tcW w:type="dxa" w:w="3312"/>
            <w:tcMar>
              <w:top w:w="80" w:type="dxa"/>
              <w:bottom w:w="80" w:type="dxa"/>
              <w:left w:w="100" w:type="dxa"/>
              <w:right w:w="100" w:type="dxa"/>
            </w:tcMar>
          </w:tcPr>
          <w:p>
            <w:r>
              <w:t>Giải thích căn nguyên các đợt sóng ngầm khiếu nại C&amp;B. Minh bạch hóa hiển thị App (Q14) giúp triệt tiêu chi phí giải đáp thắc mắc trung gian.</w:t>
            </w:r>
          </w:p>
        </w:tc>
      </w:tr>
      <w:tr>
        <w:tc>
          <w:tcPr>
            <w:tcW w:type="dxa" w:w="3312"/>
            <w:tcMar>
              <w:top w:w="80" w:type="dxa"/>
              <w:bottom w:w="80" w:type="dxa"/>
              <w:left w:w="100" w:type="dxa"/>
              <w:right w:w="100" w:type="dxa"/>
            </w:tcMar>
            <w:shd w:fill="F8F9FA"/>
          </w:tcPr>
          <w:p>
            <w:r>
              <w:rPr>
                <w:b/>
              </w:rPr>
              <w:t>Retention Forecast Index</w:t>
              <w:br/>
              <w:t>(Dự báo Rời đi)</w:t>
            </w:r>
          </w:p>
        </w:tc>
        <w:tc>
          <w:tcPr>
            <w:tcW w:type="dxa" w:w="3312"/>
            <w:tcMar>
              <w:top w:w="80" w:type="dxa"/>
              <w:bottom w:w="80" w:type="dxa"/>
              <w:left w:w="100" w:type="dxa"/>
              <w:right w:w="100" w:type="dxa"/>
            </w:tcMar>
          </w:tcPr>
          <w:p>
            <w:pPr>
              <w:jc w:val="left"/>
            </w:pPr>
            <w:r>
              <w:t>Tỷ lệ % nhân sự có kế hoạch tìm kiếm cơ hội mới trong 3 tháng tới (Trích xuất độc lập từ Q22 ở cuối bảng hỏi nhằm đảm bảo độ chân thực tuyệt đối).</w:t>
            </w:r>
          </w:p>
        </w:tc>
        <w:tc>
          <w:tcPr>
            <w:tcW w:type="dxa" w:w="3312"/>
            <w:tcMar>
              <w:top w:w="80" w:type="dxa"/>
              <w:bottom w:w="80" w:type="dxa"/>
              <w:left w:w="100" w:type="dxa"/>
              <w:right w:w="100" w:type="dxa"/>
            </w:tcMar>
          </w:tcPr>
          <w:p>
            <w:r>
              <w:t>Chuyển hóa số liệu khảo sát thành dự báo trượt (Turnover Forecast) để bộ phận Tuyển dụng chuẩn bị trước nguồn lực thay thế kịp thời.</w:t>
            </w:r>
          </w:p>
        </w:tc>
      </w:tr>
    </w:tbl>
    <w:p>
      <w:pPr>
        <w:spacing w:after="240"/>
      </w:pPr>
    </w:p>
    <w:p>
      <w:pPr>
        <w:keepNext/>
        <w:spacing w:before="400" w:after="160"/>
      </w:pPr>
      <w:r>
        <w:rPr>
          <w:rFonts w:ascii="Arial" w:hAnsi="Arial"/>
          <w:b/>
          <w:color w:val="FF5200"/>
          <w:sz w:val="30"/>
        </w:rPr>
        <w:t>PHẦN IV. HỢP NHẤT TƯỜNG MINH 26 CÂU HỎI VÀO 05 TRỤ CỘT KÈM PHÂN TÍCH SÁNG TẠO (CREATIVE DEEP-DIVES)</w:t>
      </w:r>
    </w:p>
    <w:p>
      <w:r>
        <w:t>Dưới đây là ma trận ánh xạ nguyên văn 26 câu hỏi khảo sát chính thức (Bộ 1A - Shipper) vào 05 Trụ cột nội dung, chỉ rõ từng câu đóng góp vào việc hình thành Chỉ số Đích nào:</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fill="2B3540"/>
            <w:tcMar>
              <w:top w:w="100" w:type="dxa"/>
              <w:bottom w:w="100" w:type="dxa"/>
              <w:left w:w="150" w:type="dxa"/>
              <w:right w:w="150" w:type="dxa"/>
            </w:tcMar>
          </w:tcPr>
          <w:p>
            <w:r>
              <w:rPr>
                <w:b/>
                <w:color w:val="FFFFFF"/>
              </w:rPr>
              <w:t>Trụ cột</w:t>
            </w:r>
          </w:p>
        </w:tc>
        <w:tc>
          <w:tcPr>
            <w:tcW w:type="dxa" w:w="720"/>
            <w:shd w:fill="2B3540"/>
            <w:tcMar>
              <w:top w:w="100" w:type="dxa"/>
              <w:bottom w:w="100" w:type="dxa"/>
              <w:left w:w="150" w:type="dxa"/>
              <w:right w:w="150" w:type="dxa"/>
            </w:tcMar>
          </w:tcPr>
          <w:p>
            <w:r>
              <w:rPr>
                <w:b/>
                <w:color w:val="FFFFFF"/>
              </w:rPr>
              <w:t>Mã</w:t>
            </w:r>
          </w:p>
        </w:tc>
        <w:tc>
          <w:tcPr>
            <w:tcW w:type="dxa" w:w="5184"/>
            <w:shd w:fill="2B3540"/>
            <w:tcMar>
              <w:top w:w="100" w:type="dxa"/>
              <w:bottom w:w="100" w:type="dxa"/>
              <w:left w:w="150" w:type="dxa"/>
              <w:right w:w="150" w:type="dxa"/>
            </w:tcMar>
          </w:tcPr>
          <w:p>
            <w:r>
              <w:rPr>
                <w:b/>
                <w:color w:val="FFFFFF"/>
              </w:rPr>
              <w:t>Nội dung Câu hỏi Khảo sát Thực tế Nguyên văn (Bộ 1A - Shipper)</w:t>
            </w:r>
          </w:p>
        </w:tc>
        <w:tc>
          <w:tcPr>
            <w:tcW w:type="dxa" w:w="2304"/>
            <w:shd w:fill="2B3540"/>
            <w:tcMar>
              <w:top w:w="100" w:type="dxa"/>
              <w:bottom w:w="100" w:type="dxa"/>
              <w:left w:w="150" w:type="dxa"/>
              <w:right w:w="150" w:type="dxa"/>
            </w:tcMar>
          </w:tcPr>
          <w:p>
            <w:r>
              <w:rPr>
                <w:b/>
                <w:color w:val="FFFFFF"/>
              </w:rPr>
              <w:t>Biến số / Chỉ số Đích Tương ứng (Target Index)</w:t>
            </w:r>
          </w:p>
        </w:tc>
      </w:tr>
      <w:tr>
        <w:tc>
          <w:tcPr>
            <w:tcW w:type="dxa" w:w="2484"/>
            <w:tcMar>
              <w:top w:w="60" w:type="dxa"/>
              <w:bottom w:w="60" w:type="dxa"/>
              <w:left w:w="80" w:type="dxa"/>
              <w:right w:w="80" w:type="dxa"/>
            </w:tcMar>
            <w:shd w:fill="F8F9FA"/>
          </w:tcPr>
          <w:p>
            <w:r>
              <w:t>TC1: Niềm tin Lãnh đạo</w:t>
            </w:r>
          </w:p>
        </w:tc>
        <w:tc>
          <w:tcPr>
            <w:tcW w:type="dxa" w:w="2484"/>
            <w:tcMar>
              <w:top w:w="60" w:type="dxa"/>
              <w:bottom w:w="60" w:type="dxa"/>
              <w:left w:w="80" w:type="dxa"/>
              <w:right w:w="80" w:type="dxa"/>
            </w:tcMar>
            <w:shd w:fill="F8F9FA"/>
          </w:tcPr>
          <w:p>
            <w:pPr>
              <w:jc w:val="center"/>
            </w:pPr>
            <w:r>
              <w:rPr>
                <w:b/>
              </w:rPr>
              <w:t>Q1</w:t>
            </w:r>
          </w:p>
        </w:tc>
        <w:tc>
          <w:tcPr>
            <w:tcW w:type="dxa" w:w="2484"/>
            <w:tcMar>
              <w:top w:w="60" w:type="dxa"/>
              <w:bottom w:w="60" w:type="dxa"/>
              <w:left w:w="80" w:type="dxa"/>
              <w:right w:w="80" w:type="dxa"/>
            </w:tcMar>
            <w:shd w:fill="F8F9FA"/>
          </w:tcPr>
          <w:p>
            <w:r>
              <w:t>Tôi tin GHN đang đi đúng hướng và ban lãnh đạo có năng lực dẫn dắt công ty phát triển.</w:t>
            </w:r>
          </w:p>
        </w:tc>
        <w:tc>
          <w:tcPr>
            <w:tcW w:type="dxa" w:w="2484"/>
            <w:tcMar>
              <w:top w:w="60" w:type="dxa"/>
              <w:bottom w:w="60" w:type="dxa"/>
              <w:left w:w="80" w:type="dxa"/>
              <w:right w:w="80" w:type="dxa"/>
            </w:tcMar>
            <w:shd w:fill="F8F9FA"/>
          </w:tcPr>
          <w:p>
            <w:r>
              <w:rPr>
                <w:b/>
                <w:color w:val="006FAD"/>
              </w:rPr>
              <w:t>Trust Index©</w:t>
              <w:br/>
              <w:t>(Credibility Dimension)</w:t>
            </w:r>
          </w:p>
        </w:tc>
      </w:tr>
      <w:tr>
        <w:tc>
          <w:tcPr>
            <w:tcW w:type="dxa" w:w="2484"/>
            <w:tcMar>
              <w:top w:w="60" w:type="dxa"/>
              <w:bottom w:w="60" w:type="dxa"/>
              <w:left w:w="80" w:type="dxa"/>
              <w:right w:w="80" w:type="dxa"/>
            </w:tcMar>
            <w:shd w:fill="F8F9FA"/>
          </w:tcPr>
          <w:p>
            <w:r>
              <w:t>TC1: Niềm tin Lãnh đạo</w:t>
            </w:r>
          </w:p>
        </w:tc>
        <w:tc>
          <w:tcPr>
            <w:tcW w:type="dxa" w:w="2484"/>
            <w:tcMar>
              <w:top w:w="60" w:type="dxa"/>
              <w:bottom w:w="60" w:type="dxa"/>
              <w:left w:w="80" w:type="dxa"/>
              <w:right w:w="80" w:type="dxa"/>
            </w:tcMar>
            <w:shd w:fill="F8F9FA"/>
          </w:tcPr>
          <w:p>
            <w:pPr>
              <w:jc w:val="center"/>
            </w:pPr>
            <w:r>
              <w:rPr>
                <w:b/>
              </w:rPr>
              <w:t>Q2</w:t>
            </w:r>
          </w:p>
        </w:tc>
        <w:tc>
          <w:tcPr>
            <w:tcW w:type="dxa" w:w="2484"/>
            <w:tcMar>
              <w:top w:w="60" w:type="dxa"/>
              <w:bottom w:w="60" w:type="dxa"/>
              <w:left w:w="80" w:type="dxa"/>
              <w:right w:w="80" w:type="dxa"/>
            </w:tcMar>
            <w:shd w:fill="F8F9FA"/>
          </w:tcPr>
          <w:p>
            <w:r>
              <w:t>Khi GHN thay đổi quy định, đơn giá hoặc cách tính lương, tôi được thông báo rõ ràng và kịp thời.</w:t>
            </w:r>
          </w:p>
        </w:tc>
        <w:tc>
          <w:tcPr>
            <w:tcW w:type="dxa" w:w="2484"/>
            <w:tcMar>
              <w:top w:w="60" w:type="dxa"/>
              <w:bottom w:w="60" w:type="dxa"/>
              <w:left w:w="80" w:type="dxa"/>
              <w:right w:w="80" w:type="dxa"/>
            </w:tcMar>
            <w:shd w:fill="F8F9FA"/>
          </w:tcPr>
          <w:p>
            <w:r>
              <w:rPr>
                <w:b/>
                <w:color w:val="006FAD"/>
              </w:rPr>
              <w:t>Trust Index©</w:t>
              <w:br/>
              <w:t>(Top-down Comms &amp; Clarity)</w:t>
            </w:r>
          </w:p>
        </w:tc>
      </w:tr>
      <w:tr>
        <w:tc>
          <w:tcPr>
            <w:tcW w:type="dxa" w:w="2484"/>
            <w:tcMar>
              <w:top w:w="60" w:type="dxa"/>
              <w:bottom w:w="60" w:type="dxa"/>
              <w:left w:w="80" w:type="dxa"/>
              <w:right w:w="80" w:type="dxa"/>
            </w:tcMar>
          </w:tcPr>
          <w:p>
            <w:r>
              <w:t>TC2: Quản lý Trực tiếp</w:t>
            </w:r>
          </w:p>
        </w:tc>
        <w:tc>
          <w:tcPr>
            <w:tcW w:type="dxa" w:w="2484"/>
            <w:tcMar>
              <w:top w:w="60" w:type="dxa"/>
              <w:bottom w:w="60" w:type="dxa"/>
              <w:left w:w="80" w:type="dxa"/>
              <w:right w:w="80" w:type="dxa"/>
            </w:tcMar>
          </w:tcPr>
          <w:p>
            <w:pPr>
              <w:jc w:val="center"/>
            </w:pPr>
            <w:r>
              <w:rPr>
                <w:b/>
              </w:rPr>
              <w:t>Q3</w:t>
            </w:r>
          </w:p>
        </w:tc>
        <w:tc>
          <w:tcPr>
            <w:tcW w:type="dxa" w:w="2484"/>
            <w:tcMar>
              <w:top w:w="60" w:type="dxa"/>
              <w:bottom w:w="60" w:type="dxa"/>
              <w:left w:w="80" w:type="dxa"/>
              <w:right w:w="80" w:type="dxa"/>
            </w:tcMar>
          </w:tcPr>
          <w:p>
            <w:r>
              <w:t>AM/TBC/Leader của tôi sẵn sàng hỗ trợ kịp thời khi tôi gặp khó khăn trong ca (đơn lỗi, tranh chấp, sự cố).</w:t>
            </w:r>
          </w:p>
        </w:tc>
        <w:tc>
          <w:tcPr>
            <w:tcW w:type="dxa" w:w="2484"/>
            <w:tcMar>
              <w:top w:w="60" w:type="dxa"/>
              <w:bottom w:w="60" w:type="dxa"/>
              <w:left w:w="80" w:type="dxa"/>
              <w:right w:w="80" w:type="dxa"/>
            </w:tcMar>
          </w:tcPr>
          <w:p>
            <w:r>
              <w:rPr>
                <w:b/>
                <w:color w:val="006FAD"/>
              </w:rPr>
              <w:t>Manager Effectiveness Index (MEI)</w:t>
              <w:br/>
              <w:t>(Hỗ trợ thực địa)</w:t>
            </w:r>
          </w:p>
        </w:tc>
      </w:tr>
      <w:tr>
        <w:tc>
          <w:tcPr>
            <w:tcW w:type="dxa" w:w="2484"/>
            <w:tcMar>
              <w:top w:w="60" w:type="dxa"/>
              <w:bottom w:w="60" w:type="dxa"/>
              <w:left w:w="80" w:type="dxa"/>
              <w:right w:w="80" w:type="dxa"/>
            </w:tcMar>
          </w:tcPr>
          <w:p>
            <w:r>
              <w:t>TC2: Quản lý Trực tiếp</w:t>
            </w:r>
          </w:p>
        </w:tc>
        <w:tc>
          <w:tcPr>
            <w:tcW w:type="dxa" w:w="2484"/>
            <w:tcMar>
              <w:top w:w="60" w:type="dxa"/>
              <w:bottom w:w="60" w:type="dxa"/>
              <w:left w:w="80" w:type="dxa"/>
              <w:right w:w="80" w:type="dxa"/>
            </w:tcMar>
          </w:tcPr>
          <w:p>
            <w:pPr>
              <w:jc w:val="center"/>
            </w:pPr>
            <w:r>
              <w:rPr>
                <w:b/>
              </w:rPr>
              <w:t>Q4</w:t>
            </w:r>
          </w:p>
        </w:tc>
        <w:tc>
          <w:tcPr>
            <w:tcW w:type="dxa" w:w="2484"/>
            <w:tcMar>
              <w:top w:w="60" w:type="dxa"/>
              <w:bottom w:w="60" w:type="dxa"/>
              <w:left w:w="80" w:type="dxa"/>
              <w:right w:w="80" w:type="dxa"/>
            </w:tcMar>
          </w:tcPr>
          <w:p>
            <w:r>
              <w:t>Đơn và tuyến được phân công công bằng - không phụ thuộc vào quan hệ cá nhân hay sở thích.</w:t>
            </w:r>
          </w:p>
        </w:tc>
        <w:tc>
          <w:tcPr>
            <w:tcW w:type="dxa" w:w="2484"/>
            <w:tcMar>
              <w:top w:w="60" w:type="dxa"/>
              <w:bottom w:w="60" w:type="dxa"/>
              <w:left w:w="80" w:type="dxa"/>
              <w:right w:w="80" w:type="dxa"/>
            </w:tcMar>
          </w:tcPr>
          <w:p>
            <w:r>
              <w:rPr>
                <w:b/>
                <w:color w:val="006FAD"/>
              </w:rPr>
              <w:t>Manager Effectiveness Index (MEI)</w:t>
              <w:br/>
              <w:t>(Công bằng phân phối)</w:t>
            </w:r>
          </w:p>
        </w:tc>
      </w:tr>
      <w:tr>
        <w:tc>
          <w:tcPr>
            <w:tcW w:type="dxa" w:w="2484"/>
            <w:tcMar>
              <w:top w:w="60" w:type="dxa"/>
              <w:bottom w:w="60" w:type="dxa"/>
              <w:left w:w="80" w:type="dxa"/>
              <w:right w:w="80" w:type="dxa"/>
            </w:tcMar>
          </w:tcPr>
          <w:p>
            <w:r>
              <w:t>TC2: Quản lý Trực tiếp</w:t>
            </w:r>
          </w:p>
        </w:tc>
        <w:tc>
          <w:tcPr>
            <w:tcW w:type="dxa" w:w="2484"/>
            <w:tcMar>
              <w:top w:w="60" w:type="dxa"/>
              <w:bottom w:w="60" w:type="dxa"/>
              <w:left w:w="80" w:type="dxa"/>
              <w:right w:w="80" w:type="dxa"/>
            </w:tcMar>
          </w:tcPr>
          <w:p>
            <w:pPr>
              <w:jc w:val="center"/>
            </w:pPr>
            <w:r>
              <w:rPr>
                <w:b/>
              </w:rPr>
              <w:t>Q5</w:t>
            </w:r>
          </w:p>
        </w:tc>
        <w:tc>
          <w:tcPr>
            <w:tcW w:type="dxa" w:w="2484"/>
            <w:tcMar>
              <w:top w:w="60" w:type="dxa"/>
              <w:bottom w:w="60" w:type="dxa"/>
              <w:left w:w="80" w:type="dxa"/>
              <w:right w:w="80" w:type="dxa"/>
            </w:tcMar>
          </w:tcPr>
          <w:p>
            <w:r>
              <w:t>Khi xảy ra sự cố (mất hàng, tai nạn, lỗi App), tôi biết chính xác phải làm gì và liên hệ ai để giải quyết.</w:t>
            </w:r>
          </w:p>
        </w:tc>
        <w:tc>
          <w:tcPr>
            <w:tcW w:type="dxa" w:w="2484"/>
            <w:tcMar>
              <w:top w:w="60" w:type="dxa"/>
              <w:bottom w:w="60" w:type="dxa"/>
              <w:left w:w="80" w:type="dxa"/>
              <w:right w:w="80" w:type="dxa"/>
            </w:tcMar>
          </w:tcPr>
          <w:p>
            <w:r>
              <w:rPr>
                <w:b/>
                <w:color w:val="006FAD"/>
              </w:rPr>
              <w:t>Psychological Safety Score</w:t>
              <w:br/>
              <w:t>(Quy trình xử lý an toàn)</w:t>
            </w:r>
          </w:p>
        </w:tc>
      </w:tr>
      <w:tr>
        <w:tc>
          <w:tcPr>
            <w:tcW w:type="dxa" w:w="2484"/>
            <w:tcMar>
              <w:top w:w="60" w:type="dxa"/>
              <w:bottom w:w="60" w:type="dxa"/>
              <w:left w:w="80" w:type="dxa"/>
              <w:right w:w="80" w:type="dxa"/>
            </w:tcMar>
          </w:tcPr>
          <w:p>
            <w:r>
              <w:t>TC2: Quản lý Trực tiếp</w:t>
            </w:r>
          </w:p>
        </w:tc>
        <w:tc>
          <w:tcPr>
            <w:tcW w:type="dxa" w:w="2484"/>
            <w:tcMar>
              <w:top w:w="60" w:type="dxa"/>
              <w:bottom w:w="60" w:type="dxa"/>
              <w:left w:w="80" w:type="dxa"/>
              <w:right w:w="80" w:type="dxa"/>
            </w:tcMar>
          </w:tcPr>
          <w:p>
            <w:pPr>
              <w:jc w:val="center"/>
            </w:pPr>
            <w:r>
              <w:rPr>
                <w:b/>
              </w:rPr>
              <w:t>Q6</w:t>
            </w:r>
          </w:p>
        </w:tc>
        <w:tc>
          <w:tcPr>
            <w:tcW w:type="dxa" w:w="2484"/>
            <w:tcMar>
              <w:top w:w="60" w:type="dxa"/>
              <w:bottom w:w="60" w:type="dxa"/>
              <w:left w:w="80" w:type="dxa"/>
              <w:right w:w="80" w:type="dxa"/>
            </w:tcMar>
          </w:tcPr>
          <w:p>
            <w:r>
              <w:t>Tôi tin AM/TBC/ Leader của mình xử lý công bằng khi có khiếu nại hoặc xung đột trong nhóm.</w:t>
            </w:r>
          </w:p>
        </w:tc>
        <w:tc>
          <w:tcPr>
            <w:tcW w:type="dxa" w:w="2484"/>
            <w:tcMar>
              <w:top w:w="60" w:type="dxa"/>
              <w:bottom w:w="60" w:type="dxa"/>
              <w:left w:w="80" w:type="dxa"/>
              <w:right w:w="80" w:type="dxa"/>
            </w:tcMar>
          </w:tcPr>
          <w:p>
            <w:r>
              <w:rPr>
                <w:b/>
                <w:color w:val="006FAD"/>
              </w:rPr>
              <w:t>Manager Effectiveness Index (MEI)</w:t>
              <w:br/>
              <w:t>(Công bằng xử lý)</w:t>
            </w:r>
          </w:p>
        </w:tc>
      </w:tr>
      <w:tr>
        <w:tc>
          <w:tcPr>
            <w:tcW w:type="dxa" w:w="2484"/>
            <w:tcMar>
              <w:top w:w="60" w:type="dxa"/>
              <w:bottom w:w="60" w:type="dxa"/>
              <w:left w:w="80" w:type="dxa"/>
              <w:right w:w="80" w:type="dxa"/>
            </w:tcMar>
          </w:tcPr>
          <w:p>
            <w:r>
              <w:t>TC2: Quản lý Trực tiếp</w:t>
            </w:r>
          </w:p>
        </w:tc>
        <w:tc>
          <w:tcPr>
            <w:tcW w:type="dxa" w:w="2484"/>
            <w:tcMar>
              <w:top w:w="60" w:type="dxa"/>
              <w:bottom w:w="60" w:type="dxa"/>
              <w:left w:w="80" w:type="dxa"/>
              <w:right w:w="80" w:type="dxa"/>
            </w:tcMar>
          </w:tcPr>
          <w:p>
            <w:pPr>
              <w:jc w:val="center"/>
            </w:pPr>
            <w:r>
              <w:rPr>
                <w:b/>
              </w:rPr>
              <w:t>Q7</w:t>
            </w:r>
          </w:p>
        </w:tc>
        <w:tc>
          <w:tcPr>
            <w:tcW w:type="dxa" w:w="2484"/>
            <w:tcMar>
              <w:top w:w="60" w:type="dxa"/>
              <w:bottom w:w="60" w:type="dxa"/>
              <w:left w:w="80" w:type="dxa"/>
              <w:right w:w="80" w:type="dxa"/>
            </w:tcMar>
          </w:tcPr>
          <w:p>
            <w:r>
              <w:t>AM/TBC/ Leader thường xuyên cho tôi biết tôi đang làm tốt điều gì và cần cải thiện điều gì.</w:t>
            </w:r>
          </w:p>
        </w:tc>
        <w:tc>
          <w:tcPr>
            <w:tcW w:type="dxa" w:w="2484"/>
            <w:tcMar>
              <w:top w:w="60" w:type="dxa"/>
              <w:bottom w:w="60" w:type="dxa"/>
              <w:left w:w="80" w:type="dxa"/>
              <w:right w:w="80" w:type="dxa"/>
            </w:tcMar>
          </w:tcPr>
          <w:p>
            <w:r>
              <w:rPr>
                <w:b/>
                <w:color w:val="006FAD"/>
              </w:rPr>
              <w:t>Manager Effectiveness Index (MEI)</w:t>
              <w:br/>
              <w:t>(Coaching &amp; Feedback)</w:t>
            </w:r>
          </w:p>
        </w:tc>
      </w:tr>
      <w:tr>
        <w:tc>
          <w:tcPr>
            <w:tcW w:type="dxa" w:w="2484"/>
            <w:tcMar>
              <w:top w:w="60" w:type="dxa"/>
              <w:bottom w:w="60" w:type="dxa"/>
              <w:left w:w="80" w:type="dxa"/>
              <w:right w:w="80" w:type="dxa"/>
            </w:tcMar>
            <w:shd w:fill="F8F9FA"/>
          </w:tcPr>
          <w:p>
            <w:r>
              <w:t>TC3: Điều kiện Làm việc</w:t>
            </w:r>
          </w:p>
        </w:tc>
        <w:tc>
          <w:tcPr>
            <w:tcW w:type="dxa" w:w="2484"/>
            <w:tcMar>
              <w:top w:w="60" w:type="dxa"/>
              <w:bottom w:w="60" w:type="dxa"/>
              <w:left w:w="80" w:type="dxa"/>
              <w:right w:w="80" w:type="dxa"/>
            </w:tcMar>
            <w:shd w:fill="F8F9FA"/>
          </w:tcPr>
          <w:p>
            <w:pPr>
              <w:jc w:val="center"/>
            </w:pPr>
            <w:r>
              <w:rPr>
                <w:b/>
              </w:rPr>
              <w:t>Q8</w:t>
            </w:r>
          </w:p>
        </w:tc>
        <w:tc>
          <w:tcPr>
            <w:tcW w:type="dxa" w:w="2484"/>
            <w:tcMar>
              <w:top w:w="60" w:type="dxa"/>
              <w:bottom w:w="60" w:type="dxa"/>
              <w:left w:w="80" w:type="dxa"/>
              <w:right w:w="80" w:type="dxa"/>
            </w:tcMar>
            <w:shd w:fill="F8F9FA"/>
          </w:tcPr>
          <w:p>
            <w:r>
              <w:t>App Driver hoạt động ổn định, hiển thị đơn nhanh và ít lỗi - giúp tôi giao hàng hiệu quả thay vì cản trở.</w:t>
            </w:r>
          </w:p>
        </w:tc>
        <w:tc>
          <w:tcPr>
            <w:tcW w:type="dxa" w:w="2484"/>
            <w:tcMar>
              <w:top w:w="60" w:type="dxa"/>
              <w:bottom w:w="60" w:type="dxa"/>
              <w:left w:w="80" w:type="dxa"/>
              <w:right w:w="80" w:type="dxa"/>
            </w:tcMar>
            <w:shd w:fill="F8F9FA"/>
          </w:tcPr>
          <w:p>
            <w:r>
              <w:rPr>
                <w:b/>
                <w:color w:val="006FAD"/>
              </w:rPr>
              <w:t>Thriving Score</w:t>
              <w:br/>
              <w:t>(Enabling Technology)</w:t>
            </w:r>
          </w:p>
        </w:tc>
      </w:tr>
      <w:tr>
        <w:tc>
          <w:tcPr>
            <w:tcW w:type="dxa" w:w="2484"/>
            <w:tcMar>
              <w:top w:w="60" w:type="dxa"/>
              <w:bottom w:w="60" w:type="dxa"/>
              <w:left w:w="80" w:type="dxa"/>
              <w:right w:w="80" w:type="dxa"/>
            </w:tcMar>
            <w:shd w:fill="F8F9FA"/>
          </w:tcPr>
          <w:p>
            <w:r>
              <w:t>TC3: Điều kiện Làm việc</w:t>
            </w:r>
          </w:p>
        </w:tc>
        <w:tc>
          <w:tcPr>
            <w:tcW w:type="dxa" w:w="2484"/>
            <w:tcMar>
              <w:top w:w="60" w:type="dxa"/>
              <w:bottom w:w="60" w:type="dxa"/>
              <w:left w:w="80" w:type="dxa"/>
              <w:right w:w="80" w:type="dxa"/>
            </w:tcMar>
            <w:shd w:fill="F8F9FA"/>
          </w:tcPr>
          <w:p>
            <w:pPr>
              <w:jc w:val="center"/>
            </w:pPr>
            <w:r>
              <w:rPr>
                <w:b/>
              </w:rPr>
              <w:t>Q9</w:t>
            </w:r>
          </w:p>
        </w:tc>
        <w:tc>
          <w:tcPr>
            <w:tcW w:type="dxa" w:w="2484"/>
            <w:tcMar>
              <w:top w:w="60" w:type="dxa"/>
              <w:bottom w:w="60" w:type="dxa"/>
              <w:left w:w="80" w:type="dxa"/>
              <w:right w:w="80" w:type="dxa"/>
            </w:tcMar>
            <w:shd w:fill="F8F9FA"/>
          </w:tcPr>
          <w:p>
            <w:r>
              <w:t>Tôi có đủ công cụ/ phương tiện để làm việc: xe, điện thoại, đồng phục/ bảo hộ và các thiết bị cần thiết.</w:t>
            </w:r>
          </w:p>
        </w:tc>
        <w:tc>
          <w:tcPr>
            <w:tcW w:type="dxa" w:w="2484"/>
            <w:tcMar>
              <w:top w:w="60" w:type="dxa"/>
              <w:bottom w:w="60" w:type="dxa"/>
              <w:left w:w="80" w:type="dxa"/>
              <w:right w:w="80" w:type="dxa"/>
            </w:tcMar>
            <w:shd w:fill="F8F9FA"/>
          </w:tcPr>
          <w:p>
            <w:r>
              <w:rPr>
                <w:b/>
                <w:color w:val="006FAD"/>
              </w:rPr>
              <w:t>Thriving Score</w:t>
              <w:br/>
              <w:t>(Enabling Tools)</w:t>
            </w:r>
          </w:p>
        </w:tc>
      </w:tr>
      <w:tr>
        <w:tc>
          <w:tcPr>
            <w:tcW w:type="dxa" w:w="2484"/>
            <w:tcMar>
              <w:top w:w="60" w:type="dxa"/>
              <w:bottom w:w="60" w:type="dxa"/>
              <w:left w:w="80" w:type="dxa"/>
              <w:right w:w="80" w:type="dxa"/>
            </w:tcMar>
            <w:shd w:fill="F8F9FA"/>
          </w:tcPr>
          <w:p>
            <w:r>
              <w:t>TC3: Điều kiện Làm việc</w:t>
            </w:r>
          </w:p>
        </w:tc>
        <w:tc>
          <w:tcPr>
            <w:tcW w:type="dxa" w:w="2484"/>
            <w:tcMar>
              <w:top w:w="60" w:type="dxa"/>
              <w:bottom w:w="60" w:type="dxa"/>
              <w:left w:w="80" w:type="dxa"/>
              <w:right w:w="80" w:type="dxa"/>
            </w:tcMar>
            <w:shd w:fill="F8F9FA"/>
          </w:tcPr>
          <w:p>
            <w:pPr>
              <w:jc w:val="center"/>
            </w:pPr>
            <w:r>
              <w:rPr>
                <w:b/>
              </w:rPr>
              <w:t>Q10</w:t>
            </w:r>
          </w:p>
        </w:tc>
        <w:tc>
          <w:tcPr>
            <w:tcW w:type="dxa" w:w="2484"/>
            <w:tcMar>
              <w:top w:w="60" w:type="dxa"/>
              <w:bottom w:w="60" w:type="dxa"/>
              <w:left w:w="80" w:type="dxa"/>
              <w:right w:w="80" w:type="dxa"/>
            </w:tcMar>
            <w:shd w:fill="F8F9FA"/>
          </w:tcPr>
          <w:p>
            <w:r>
              <w:t>Khối lượng đơn và cường độ làm việc hiện tại ở mức tôi có thể duy trì lâu dài mà không kiệt sức.</w:t>
            </w:r>
          </w:p>
        </w:tc>
        <w:tc>
          <w:tcPr>
            <w:tcW w:type="dxa" w:w="2484"/>
            <w:tcMar>
              <w:top w:w="60" w:type="dxa"/>
              <w:bottom w:w="60" w:type="dxa"/>
              <w:left w:w="80" w:type="dxa"/>
              <w:right w:w="80" w:type="dxa"/>
            </w:tcMar>
            <w:shd w:fill="F8F9FA"/>
          </w:tcPr>
          <w:p>
            <w:r>
              <w:rPr>
                <w:b/>
                <w:color w:val="006FAD"/>
              </w:rPr>
              <w:t>Burnout Score</w:t>
              <w:br/>
              <w:t>(Physical Workload)</w:t>
            </w:r>
          </w:p>
        </w:tc>
      </w:tr>
      <w:tr>
        <w:tc>
          <w:tcPr>
            <w:tcW w:type="dxa" w:w="2484"/>
            <w:tcMar>
              <w:top w:w="60" w:type="dxa"/>
              <w:bottom w:w="60" w:type="dxa"/>
              <w:left w:w="80" w:type="dxa"/>
              <w:right w:w="80" w:type="dxa"/>
            </w:tcMar>
            <w:shd w:fill="F8F9FA"/>
          </w:tcPr>
          <w:p>
            <w:r>
              <w:t>TC3: Điều kiện Làm việc</w:t>
            </w:r>
          </w:p>
        </w:tc>
        <w:tc>
          <w:tcPr>
            <w:tcW w:type="dxa" w:w="2484"/>
            <w:tcMar>
              <w:top w:w="60" w:type="dxa"/>
              <w:bottom w:w="60" w:type="dxa"/>
              <w:left w:w="80" w:type="dxa"/>
              <w:right w:w="80" w:type="dxa"/>
            </w:tcMar>
            <w:shd w:fill="F8F9FA"/>
          </w:tcPr>
          <w:p>
            <w:pPr>
              <w:jc w:val="center"/>
            </w:pPr>
            <w:r>
              <w:rPr>
                <w:b/>
              </w:rPr>
              <w:t>Q11</w:t>
            </w:r>
          </w:p>
        </w:tc>
        <w:tc>
          <w:tcPr>
            <w:tcW w:type="dxa" w:w="2484"/>
            <w:tcMar>
              <w:top w:w="60" w:type="dxa"/>
              <w:bottom w:w="60" w:type="dxa"/>
              <w:left w:w="80" w:type="dxa"/>
              <w:right w:w="80" w:type="dxa"/>
            </w:tcMar>
            <w:shd w:fill="F8F9FA"/>
          </w:tcPr>
          <w:p>
            <w:r>
              <w:t>Tôi thấy có lộ trình thực tế để thăng tiến lên vị trí tốt hơn (Leader/ TBC, AM) nếu tôi nỗ lực và làm tốt.</w:t>
            </w:r>
          </w:p>
        </w:tc>
        <w:tc>
          <w:tcPr>
            <w:tcW w:type="dxa" w:w="2484"/>
            <w:tcMar>
              <w:top w:w="60" w:type="dxa"/>
              <w:bottom w:w="60" w:type="dxa"/>
              <w:left w:w="80" w:type="dxa"/>
              <w:right w:w="80" w:type="dxa"/>
            </w:tcMar>
            <w:shd w:fill="F8F9FA"/>
          </w:tcPr>
          <w:p>
            <w:r>
              <w:rPr>
                <w:b/>
                <w:color w:val="006FAD"/>
              </w:rPr>
              <w:t>Engagement Index</w:t>
              <w:br/>
              <w:t>(Strive / Career Growth)</w:t>
            </w:r>
          </w:p>
        </w:tc>
      </w:tr>
      <w:tr>
        <w:tc>
          <w:tcPr>
            <w:tcW w:type="dxa" w:w="2484"/>
            <w:tcMar>
              <w:top w:w="60" w:type="dxa"/>
              <w:bottom w:w="60" w:type="dxa"/>
              <w:left w:w="80" w:type="dxa"/>
              <w:right w:w="80" w:type="dxa"/>
            </w:tcMar>
            <w:shd w:fill="F8F9FA"/>
          </w:tcPr>
          <w:p>
            <w:r>
              <w:t>TC3: Điều kiện Làm việc</w:t>
            </w:r>
          </w:p>
        </w:tc>
        <w:tc>
          <w:tcPr>
            <w:tcW w:type="dxa" w:w="2484"/>
            <w:tcMar>
              <w:top w:w="60" w:type="dxa"/>
              <w:bottom w:w="60" w:type="dxa"/>
              <w:left w:w="80" w:type="dxa"/>
              <w:right w:w="80" w:type="dxa"/>
            </w:tcMar>
            <w:shd w:fill="F8F9FA"/>
          </w:tcPr>
          <w:p>
            <w:pPr>
              <w:jc w:val="center"/>
            </w:pPr>
            <w:r>
              <w:rPr>
                <w:b/>
              </w:rPr>
              <w:t>Q12</w:t>
            </w:r>
          </w:p>
        </w:tc>
        <w:tc>
          <w:tcPr>
            <w:tcW w:type="dxa" w:w="2484"/>
            <w:tcMar>
              <w:top w:w="60" w:type="dxa"/>
              <w:bottom w:w="60" w:type="dxa"/>
              <w:left w:w="80" w:type="dxa"/>
              <w:right w:w="80" w:type="dxa"/>
            </w:tcMar>
            <w:shd w:fill="F8F9FA"/>
          </w:tcPr>
          <w:p>
            <w:r>
              <w:t>Khi GHN thay đổi quy trình hoặc cách vận hành, tôi được hướng dẫn rõ ràng trước khi áp dụng.</w:t>
            </w:r>
          </w:p>
        </w:tc>
        <w:tc>
          <w:tcPr>
            <w:tcW w:type="dxa" w:w="2484"/>
            <w:tcMar>
              <w:top w:w="60" w:type="dxa"/>
              <w:bottom w:w="60" w:type="dxa"/>
              <w:left w:w="80" w:type="dxa"/>
              <w:right w:w="80" w:type="dxa"/>
            </w:tcMar>
            <w:shd w:fill="F8F9FA"/>
          </w:tcPr>
          <w:p>
            <w:r>
              <w:rPr>
                <w:b/>
                <w:color w:val="006FAD"/>
              </w:rPr>
              <w:t>Psychological Safety Score</w:t>
              <w:br/>
              <w:t>(Change Readiness)</w:t>
            </w:r>
          </w:p>
        </w:tc>
      </w:tr>
      <w:tr>
        <w:tc>
          <w:tcPr>
            <w:tcW w:type="dxa" w:w="2484"/>
            <w:tcMar>
              <w:top w:w="60" w:type="dxa"/>
              <w:bottom w:w="60" w:type="dxa"/>
              <w:left w:w="80" w:type="dxa"/>
              <w:right w:w="80" w:type="dxa"/>
            </w:tcMar>
          </w:tcPr>
          <w:p>
            <w:r>
              <w:t>TC4: Thu nhập &amp; Minh bạch</w:t>
            </w:r>
          </w:p>
        </w:tc>
        <w:tc>
          <w:tcPr>
            <w:tcW w:type="dxa" w:w="2484"/>
            <w:tcMar>
              <w:top w:w="60" w:type="dxa"/>
              <w:bottom w:w="60" w:type="dxa"/>
              <w:left w:w="80" w:type="dxa"/>
              <w:right w:w="80" w:type="dxa"/>
            </w:tcMar>
          </w:tcPr>
          <w:p>
            <w:pPr>
              <w:jc w:val="center"/>
            </w:pPr>
            <w:r>
              <w:rPr>
                <w:b/>
              </w:rPr>
              <w:t>Q13</w:t>
            </w:r>
          </w:p>
        </w:tc>
        <w:tc>
          <w:tcPr>
            <w:tcW w:type="dxa" w:w="2484"/>
            <w:tcMar>
              <w:top w:w="60" w:type="dxa"/>
              <w:bottom w:w="60" w:type="dxa"/>
              <w:left w:w="80" w:type="dxa"/>
              <w:right w:w="80" w:type="dxa"/>
            </w:tcMar>
          </w:tcPr>
          <w:p>
            <w:r>
              <w:t>Thu nhập tôi nhận được phản ánh đúng công sức và số đơn tôi thực hiện Giao/ Lấy thành công trong tháng.</w:t>
            </w:r>
          </w:p>
        </w:tc>
        <w:tc>
          <w:tcPr>
            <w:tcW w:type="dxa" w:w="2484"/>
            <w:tcMar>
              <w:top w:w="60" w:type="dxa"/>
              <w:bottom w:w="60" w:type="dxa"/>
              <w:left w:w="80" w:type="dxa"/>
              <w:right w:w="80" w:type="dxa"/>
            </w:tcMar>
          </w:tcPr>
          <w:p>
            <w:r>
              <w:rPr>
                <w:b/>
                <w:color w:val="006FAD"/>
              </w:rPr>
              <w:t>Compensation Perception</w:t>
              <w:br/>
              <w:t>(Cảm nhận xứng đáng)</w:t>
            </w:r>
          </w:p>
        </w:tc>
      </w:tr>
      <w:tr>
        <w:tc>
          <w:tcPr>
            <w:tcW w:type="dxa" w:w="2484"/>
            <w:tcMar>
              <w:top w:w="60" w:type="dxa"/>
              <w:bottom w:w="60" w:type="dxa"/>
              <w:left w:w="80" w:type="dxa"/>
              <w:right w:w="80" w:type="dxa"/>
            </w:tcMar>
          </w:tcPr>
          <w:p>
            <w:r>
              <w:t>TC4: Thu nhập &amp; Minh bạch</w:t>
            </w:r>
          </w:p>
        </w:tc>
        <w:tc>
          <w:tcPr>
            <w:tcW w:type="dxa" w:w="2484"/>
            <w:tcMar>
              <w:top w:w="60" w:type="dxa"/>
              <w:bottom w:w="60" w:type="dxa"/>
              <w:left w:w="80" w:type="dxa"/>
              <w:right w:w="80" w:type="dxa"/>
            </w:tcMar>
          </w:tcPr>
          <w:p>
            <w:pPr>
              <w:jc w:val="center"/>
            </w:pPr>
            <w:r>
              <w:rPr>
                <w:b/>
              </w:rPr>
              <w:t>Q14</w:t>
            </w:r>
          </w:p>
        </w:tc>
        <w:tc>
          <w:tcPr>
            <w:tcW w:type="dxa" w:w="2484"/>
            <w:tcMar>
              <w:top w:w="60" w:type="dxa"/>
              <w:bottom w:w="60" w:type="dxa"/>
              <w:left w:w="80" w:type="dxa"/>
              <w:right w:w="80" w:type="dxa"/>
            </w:tcMar>
          </w:tcPr>
          <w:p>
            <w:r>
              <w:t>App Driver hiển thị rõ ràng các lỗi phạt hay thu nhập tạm tính và giúp tôi tự kiểm tra được thu nhập của mình mà không cần hỏi ai.</w:t>
            </w:r>
          </w:p>
        </w:tc>
        <w:tc>
          <w:tcPr>
            <w:tcW w:type="dxa" w:w="2484"/>
            <w:tcMar>
              <w:top w:w="60" w:type="dxa"/>
              <w:bottom w:w="60" w:type="dxa"/>
              <w:left w:w="80" w:type="dxa"/>
              <w:right w:w="80" w:type="dxa"/>
            </w:tcMar>
          </w:tcPr>
          <w:p>
            <w:r>
              <w:rPr>
                <w:b/>
                <w:color w:val="006FAD"/>
              </w:rPr>
              <w:t>EVP Index / Transparency</w:t>
              <w:br/>
              <w:t>(Tự chủ kiểm tra)</w:t>
            </w:r>
          </w:p>
        </w:tc>
      </w:tr>
      <w:tr>
        <w:tc>
          <w:tcPr>
            <w:tcW w:type="dxa" w:w="2484"/>
            <w:tcMar>
              <w:top w:w="60" w:type="dxa"/>
              <w:bottom w:w="60" w:type="dxa"/>
              <w:left w:w="80" w:type="dxa"/>
              <w:right w:w="80" w:type="dxa"/>
            </w:tcMar>
          </w:tcPr>
          <w:p>
            <w:r>
              <w:t>TC4: Thu nhập &amp; Minh bạch</w:t>
            </w:r>
          </w:p>
        </w:tc>
        <w:tc>
          <w:tcPr>
            <w:tcW w:type="dxa" w:w="2484"/>
            <w:tcMar>
              <w:top w:w="60" w:type="dxa"/>
              <w:bottom w:w="60" w:type="dxa"/>
              <w:left w:w="80" w:type="dxa"/>
              <w:right w:w="80" w:type="dxa"/>
            </w:tcMar>
          </w:tcPr>
          <w:p>
            <w:pPr>
              <w:jc w:val="center"/>
            </w:pPr>
            <w:r>
              <w:rPr>
                <w:b/>
              </w:rPr>
              <w:t>Q15</w:t>
            </w:r>
          </w:p>
        </w:tc>
        <w:tc>
          <w:tcPr>
            <w:tcW w:type="dxa" w:w="2484"/>
            <w:tcMar>
              <w:top w:w="60" w:type="dxa"/>
              <w:bottom w:w="60" w:type="dxa"/>
              <w:left w:w="80" w:type="dxa"/>
              <w:right w:w="80" w:type="dxa"/>
            </w:tcMar>
          </w:tcPr>
          <w:p>
            <w:r>
              <w:t>Tôi hiểu rõ cách thu nhập của mình được tính, kể cả các khoản phát sinh, truy thu hoặc thưởng/ phạt.</w:t>
            </w:r>
          </w:p>
        </w:tc>
        <w:tc>
          <w:tcPr>
            <w:tcW w:type="dxa" w:w="2484"/>
            <w:tcMar>
              <w:top w:w="60" w:type="dxa"/>
              <w:bottom w:w="60" w:type="dxa"/>
              <w:left w:w="80" w:type="dxa"/>
              <w:right w:w="80" w:type="dxa"/>
            </w:tcMar>
          </w:tcPr>
          <w:p>
            <w:r>
              <w:rPr>
                <w:b/>
                <w:color w:val="006FAD"/>
              </w:rPr>
              <w:t>Compensation Perception</w:t>
              <w:br/>
              <w:t>(Minh bạch chính sách)</w:t>
            </w:r>
          </w:p>
        </w:tc>
      </w:tr>
      <w:tr>
        <w:tc>
          <w:tcPr>
            <w:tcW w:type="dxa" w:w="2484"/>
            <w:tcMar>
              <w:top w:w="60" w:type="dxa"/>
              <w:bottom w:w="60" w:type="dxa"/>
              <w:left w:w="80" w:type="dxa"/>
              <w:right w:w="80" w:type="dxa"/>
            </w:tcMar>
          </w:tcPr>
          <w:p>
            <w:r>
              <w:t>TC4: Thu nhập &amp; Minh bạch</w:t>
            </w:r>
          </w:p>
        </w:tc>
        <w:tc>
          <w:tcPr>
            <w:tcW w:type="dxa" w:w="2484"/>
            <w:tcMar>
              <w:top w:w="60" w:type="dxa"/>
              <w:bottom w:w="60" w:type="dxa"/>
              <w:left w:w="80" w:type="dxa"/>
              <w:right w:w="80" w:type="dxa"/>
            </w:tcMar>
          </w:tcPr>
          <w:p>
            <w:pPr>
              <w:jc w:val="center"/>
            </w:pPr>
            <w:r>
              <w:rPr>
                <w:b/>
              </w:rPr>
              <w:t>Q16</w:t>
            </w:r>
          </w:p>
        </w:tc>
        <w:tc>
          <w:tcPr>
            <w:tcW w:type="dxa" w:w="2484"/>
            <w:tcMar>
              <w:top w:w="60" w:type="dxa"/>
              <w:bottom w:w="60" w:type="dxa"/>
              <w:left w:w="80" w:type="dxa"/>
              <w:right w:w="80" w:type="dxa"/>
            </w:tcMar>
          </w:tcPr>
          <w:p>
            <w:r>
              <w:t>Hệ thống/App phân chia đơn là hợp lý, tôi hiểu được tại sao mình nhận đơn này... không cảm thấy hệ thống ưu tiên người khác.</w:t>
            </w:r>
          </w:p>
        </w:tc>
        <w:tc>
          <w:tcPr>
            <w:tcW w:type="dxa" w:w="2484"/>
            <w:tcMar>
              <w:top w:w="60" w:type="dxa"/>
              <w:bottom w:w="60" w:type="dxa"/>
              <w:left w:w="80" w:type="dxa"/>
              <w:right w:w="80" w:type="dxa"/>
            </w:tcMar>
          </w:tcPr>
          <w:p>
            <w:r>
              <w:rPr>
                <w:b/>
                <w:color w:val="006FAD"/>
              </w:rPr>
              <w:t>EVP Index / Fairness</w:t>
              <w:br/>
              <w:t>(Công bằng hệ thống)</w:t>
            </w:r>
          </w:p>
        </w:tc>
      </w:tr>
      <w:tr>
        <w:tc>
          <w:tcPr>
            <w:tcW w:type="dxa" w:w="2484"/>
            <w:tcMar>
              <w:top w:w="60" w:type="dxa"/>
              <w:bottom w:w="60" w:type="dxa"/>
              <w:left w:w="80" w:type="dxa"/>
              <w:right w:w="80" w:type="dxa"/>
            </w:tcMar>
          </w:tcPr>
          <w:p>
            <w:r>
              <w:t>TC4: Thu nhập &amp; Minh bạch</w:t>
            </w:r>
          </w:p>
        </w:tc>
        <w:tc>
          <w:tcPr>
            <w:tcW w:type="dxa" w:w="2484"/>
            <w:tcMar>
              <w:top w:w="60" w:type="dxa"/>
              <w:bottom w:w="60" w:type="dxa"/>
              <w:left w:w="80" w:type="dxa"/>
              <w:right w:w="80" w:type="dxa"/>
            </w:tcMar>
          </w:tcPr>
          <w:p>
            <w:pPr>
              <w:jc w:val="center"/>
            </w:pPr>
            <w:r>
              <w:rPr>
                <w:b/>
              </w:rPr>
              <w:t>Q17</w:t>
            </w:r>
          </w:p>
        </w:tc>
        <w:tc>
          <w:tcPr>
            <w:tcW w:type="dxa" w:w="2484"/>
            <w:tcMar>
              <w:top w:w="60" w:type="dxa"/>
              <w:bottom w:w="60" w:type="dxa"/>
              <w:left w:w="80" w:type="dxa"/>
              <w:right w:w="80" w:type="dxa"/>
            </w:tcMar>
          </w:tcPr>
          <w:p>
            <w:r>
              <w:t>Khi gặp sự cố ảnh hưởng thu nhập (đơn bị lỗi hệ thống, truy thu sai), tôi được hỗ trợ giải quyết nhanh chóng.</w:t>
            </w:r>
          </w:p>
        </w:tc>
        <w:tc>
          <w:tcPr>
            <w:tcW w:type="dxa" w:w="2484"/>
            <w:tcMar>
              <w:top w:w="60" w:type="dxa"/>
              <w:bottom w:w="60" w:type="dxa"/>
              <w:left w:w="80" w:type="dxa"/>
              <w:right w:w="80" w:type="dxa"/>
            </w:tcMar>
          </w:tcPr>
          <w:p>
            <w:r>
              <w:rPr>
                <w:b/>
                <w:color w:val="006FAD"/>
              </w:rPr>
              <w:t>Compensation Perception</w:t>
              <w:br/>
              <w:t>(Hỗ trợ bảo vệ thu nhập)</w:t>
            </w:r>
          </w:p>
        </w:tc>
      </w:tr>
      <w:tr>
        <w:tc>
          <w:tcPr>
            <w:tcW w:type="dxa" w:w="2484"/>
            <w:tcMar>
              <w:top w:w="60" w:type="dxa"/>
              <w:bottom w:w="60" w:type="dxa"/>
              <w:left w:w="80" w:type="dxa"/>
              <w:right w:w="80" w:type="dxa"/>
            </w:tcMar>
            <w:shd w:fill="F8F9FA"/>
          </w:tcPr>
          <w:p>
            <w:r>
              <w:t>TC5: Môi trường &amp; Gắn kết</w:t>
            </w:r>
          </w:p>
        </w:tc>
        <w:tc>
          <w:tcPr>
            <w:tcW w:type="dxa" w:w="2484"/>
            <w:tcMar>
              <w:top w:w="60" w:type="dxa"/>
              <w:bottom w:w="60" w:type="dxa"/>
              <w:left w:w="80" w:type="dxa"/>
              <w:right w:w="80" w:type="dxa"/>
            </w:tcMar>
            <w:shd w:fill="F8F9FA"/>
          </w:tcPr>
          <w:p>
            <w:pPr>
              <w:jc w:val="center"/>
            </w:pPr>
            <w:r>
              <w:rPr>
                <w:b/>
              </w:rPr>
              <w:t>Q18</w:t>
            </w:r>
          </w:p>
        </w:tc>
        <w:tc>
          <w:tcPr>
            <w:tcW w:type="dxa" w:w="2484"/>
            <w:tcMar>
              <w:top w:w="60" w:type="dxa"/>
              <w:bottom w:w="60" w:type="dxa"/>
              <w:left w:w="80" w:type="dxa"/>
              <w:right w:w="80" w:type="dxa"/>
            </w:tcMar>
            <w:shd w:fill="F8F9FA"/>
          </w:tcPr>
          <w:p>
            <w:r>
              <w:t>Tôi cảm thấy an toàn khi tham gia giao thông trong ca làm và thấy GHN quan tâm thực sự đến vấn đề này.</w:t>
            </w:r>
          </w:p>
        </w:tc>
        <w:tc>
          <w:tcPr>
            <w:tcW w:type="dxa" w:w="2484"/>
            <w:tcMar>
              <w:top w:w="60" w:type="dxa"/>
              <w:bottom w:w="60" w:type="dxa"/>
              <w:left w:w="80" w:type="dxa"/>
              <w:right w:w="80" w:type="dxa"/>
            </w:tcMar>
            <w:shd w:fill="F8F9FA"/>
          </w:tcPr>
          <w:p>
            <w:r>
              <w:rPr>
                <w:b/>
                <w:color w:val="006FAD"/>
              </w:rPr>
              <w:t>Belonging / Well-being</w:t>
              <w:br/>
              <w:t>(An toàn thể chất)</w:t>
            </w:r>
          </w:p>
        </w:tc>
      </w:tr>
      <w:tr>
        <w:tc>
          <w:tcPr>
            <w:tcW w:type="dxa" w:w="2484"/>
            <w:tcMar>
              <w:top w:w="60" w:type="dxa"/>
              <w:bottom w:w="60" w:type="dxa"/>
              <w:left w:w="80" w:type="dxa"/>
              <w:right w:w="80" w:type="dxa"/>
            </w:tcMar>
            <w:shd w:fill="F8F9FA"/>
          </w:tcPr>
          <w:p>
            <w:r>
              <w:t>TC5: Môi trường &amp; Gắn kết</w:t>
            </w:r>
          </w:p>
        </w:tc>
        <w:tc>
          <w:tcPr>
            <w:tcW w:type="dxa" w:w="2484"/>
            <w:tcMar>
              <w:top w:w="60" w:type="dxa"/>
              <w:bottom w:w="60" w:type="dxa"/>
              <w:left w:w="80" w:type="dxa"/>
              <w:right w:w="80" w:type="dxa"/>
            </w:tcMar>
            <w:shd w:fill="F8F9FA"/>
          </w:tcPr>
          <w:p>
            <w:pPr>
              <w:jc w:val="center"/>
            </w:pPr>
            <w:r>
              <w:rPr>
                <w:b/>
              </w:rPr>
              <w:t>Q19</w:t>
            </w:r>
          </w:p>
        </w:tc>
        <w:tc>
          <w:tcPr>
            <w:tcW w:type="dxa" w:w="2484"/>
            <w:tcMar>
              <w:top w:w="60" w:type="dxa"/>
              <w:bottom w:w="60" w:type="dxa"/>
              <w:left w:w="80" w:type="dxa"/>
              <w:right w:w="80" w:type="dxa"/>
            </w:tcMar>
            <w:shd w:fill="F8F9FA"/>
          </w:tcPr>
          <w:p>
            <w:r>
              <w:t>Anh/chị/em tại bưu cục và khu vực của tôi có tinh thần hỗ trợ nhau và không có sự cạnh tranh tiêu cực.</w:t>
            </w:r>
          </w:p>
        </w:tc>
        <w:tc>
          <w:tcPr>
            <w:tcW w:type="dxa" w:w="2484"/>
            <w:tcMar>
              <w:top w:w="60" w:type="dxa"/>
              <w:bottom w:w="60" w:type="dxa"/>
              <w:left w:w="80" w:type="dxa"/>
              <w:right w:w="80" w:type="dxa"/>
            </w:tcMar>
            <w:shd w:fill="F8F9FA"/>
          </w:tcPr>
          <w:p>
            <w:r>
              <w:rPr>
                <w:b/>
                <w:color w:val="006FAD"/>
              </w:rPr>
              <w:t>Trust Index©</w:t>
              <w:br/>
              <w:t>(Camaraderie / Đồng nghiệp)</w:t>
            </w:r>
          </w:p>
        </w:tc>
      </w:tr>
      <w:tr>
        <w:tc>
          <w:tcPr>
            <w:tcW w:type="dxa" w:w="2484"/>
            <w:tcMar>
              <w:top w:w="60" w:type="dxa"/>
              <w:bottom w:w="60" w:type="dxa"/>
              <w:left w:w="80" w:type="dxa"/>
              <w:right w:w="80" w:type="dxa"/>
            </w:tcMar>
            <w:shd w:fill="F8F9FA"/>
          </w:tcPr>
          <w:p>
            <w:r>
              <w:t>TC5: Môi trường &amp; Gắn kết</w:t>
            </w:r>
          </w:p>
        </w:tc>
        <w:tc>
          <w:tcPr>
            <w:tcW w:type="dxa" w:w="2484"/>
            <w:tcMar>
              <w:top w:w="60" w:type="dxa"/>
              <w:bottom w:w="60" w:type="dxa"/>
              <w:left w:w="80" w:type="dxa"/>
              <w:right w:w="80" w:type="dxa"/>
            </w:tcMar>
            <w:shd w:fill="F8F9FA"/>
          </w:tcPr>
          <w:p>
            <w:pPr>
              <w:jc w:val="center"/>
            </w:pPr>
            <w:r>
              <w:rPr>
                <w:b/>
              </w:rPr>
              <w:t>Q20</w:t>
            </w:r>
          </w:p>
        </w:tc>
        <w:tc>
          <w:tcPr>
            <w:tcW w:type="dxa" w:w="2484"/>
            <w:tcMar>
              <w:top w:w="60" w:type="dxa"/>
              <w:bottom w:w="60" w:type="dxa"/>
              <w:left w:w="80" w:type="dxa"/>
              <w:right w:w="80" w:type="dxa"/>
            </w:tcMar>
            <w:shd w:fill="F8F9FA"/>
          </w:tcPr>
          <w:p>
            <w:r>
              <w:t>Tôi tự hào khi nói với người khác rằng mình đang là shipper của GHN.</w:t>
            </w:r>
          </w:p>
        </w:tc>
        <w:tc>
          <w:tcPr>
            <w:tcW w:type="dxa" w:w="2484"/>
            <w:tcMar>
              <w:top w:w="60" w:type="dxa"/>
              <w:bottom w:w="60" w:type="dxa"/>
              <w:left w:w="80" w:type="dxa"/>
              <w:right w:w="80" w:type="dxa"/>
            </w:tcMar>
            <w:shd w:fill="F8F9FA"/>
          </w:tcPr>
          <w:p>
            <w:r>
              <w:rPr>
                <w:b/>
                <w:color w:val="006FAD"/>
              </w:rPr>
              <w:t>Engagement Index</w:t>
              <w:br/>
              <w:t>(Say Dimension / Pride)</w:t>
            </w:r>
          </w:p>
        </w:tc>
      </w:tr>
      <w:tr>
        <w:tc>
          <w:tcPr>
            <w:tcW w:type="dxa" w:w="2484"/>
            <w:tcMar>
              <w:top w:w="60" w:type="dxa"/>
              <w:bottom w:w="60" w:type="dxa"/>
              <w:left w:w="80" w:type="dxa"/>
              <w:right w:w="80" w:type="dxa"/>
            </w:tcMar>
            <w:shd w:fill="F8F9FA"/>
          </w:tcPr>
          <w:p>
            <w:r>
              <w:t>TC5: Môi trường &amp; Gắn kết</w:t>
            </w:r>
          </w:p>
        </w:tc>
        <w:tc>
          <w:tcPr>
            <w:tcW w:type="dxa" w:w="2484"/>
            <w:tcMar>
              <w:top w:w="60" w:type="dxa"/>
              <w:bottom w:w="60" w:type="dxa"/>
              <w:left w:w="80" w:type="dxa"/>
              <w:right w:w="80" w:type="dxa"/>
            </w:tcMar>
            <w:shd w:fill="F8F9FA"/>
          </w:tcPr>
          <w:p>
            <w:pPr>
              <w:jc w:val="center"/>
            </w:pPr>
            <w:r>
              <w:rPr>
                <w:b/>
              </w:rPr>
              <w:t>Q21</w:t>
            </w:r>
          </w:p>
        </w:tc>
        <w:tc>
          <w:tcPr>
            <w:tcW w:type="dxa" w:w="2484"/>
            <w:tcMar>
              <w:top w:w="60" w:type="dxa"/>
              <w:bottom w:w="60" w:type="dxa"/>
              <w:left w:w="80" w:type="dxa"/>
              <w:right w:w="80" w:type="dxa"/>
            </w:tcMar>
            <w:shd w:fill="F8F9FA"/>
          </w:tcPr>
          <w:p>
            <w:r>
              <w:t>Áp lực công việc không ảnh hưởng tiêu cực đến sức khỏe hoặc cuộc sống cá nhân của tôi.</w:t>
            </w:r>
          </w:p>
        </w:tc>
        <w:tc>
          <w:tcPr>
            <w:tcW w:type="dxa" w:w="2484"/>
            <w:tcMar>
              <w:top w:w="60" w:type="dxa"/>
              <w:bottom w:w="60" w:type="dxa"/>
              <w:left w:w="80" w:type="dxa"/>
              <w:right w:w="80" w:type="dxa"/>
            </w:tcMar>
            <w:shd w:fill="F8F9FA"/>
          </w:tcPr>
          <w:p>
            <w:r>
              <w:rPr>
                <w:b/>
                <w:color w:val="006FAD"/>
              </w:rPr>
              <w:t>Burnout Score</w:t>
              <w:br/>
              <w:t>(Work-Life Balance)</w:t>
            </w:r>
          </w:p>
        </w:tc>
      </w:tr>
      <w:tr>
        <w:tc>
          <w:tcPr>
            <w:tcW w:type="dxa" w:w="2484"/>
            <w:tcMar>
              <w:top w:w="60" w:type="dxa"/>
              <w:bottom w:w="60" w:type="dxa"/>
              <w:left w:w="80" w:type="dxa"/>
              <w:right w:w="80" w:type="dxa"/>
            </w:tcMar>
            <w:shd w:fill="F8F9FA"/>
          </w:tcPr>
          <w:p>
            <w:r>
              <w:t>TC5: Môi trường &amp; Gắn kết</w:t>
            </w:r>
          </w:p>
        </w:tc>
        <w:tc>
          <w:tcPr>
            <w:tcW w:type="dxa" w:w="2484"/>
            <w:tcMar>
              <w:top w:w="60" w:type="dxa"/>
              <w:bottom w:w="60" w:type="dxa"/>
              <w:left w:w="80" w:type="dxa"/>
              <w:right w:w="80" w:type="dxa"/>
            </w:tcMar>
            <w:shd w:fill="F8F9FA"/>
          </w:tcPr>
          <w:p>
            <w:pPr>
              <w:jc w:val="center"/>
            </w:pPr>
            <w:r>
              <w:rPr>
                <w:b/>
              </w:rPr>
              <w:t>Q22</w:t>
            </w:r>
          </w:p>
        </w:tc>
        <w:tc>
          <w:tcPr>
            <w:tcW w:type="dxa" w:w="2484"/>
            <w:tcMar>
              <w:top w:w="60" w:type="dxa"/>
              <w:bottom w:w="60" w:type="dxa"/>
              <w:left w:w="80" w:type="dxa"/>
              <w:right w:w="80" w:type="dxa"/>
            </w:tcMar>
            <w:shd w:fill="F8F9FA"/>
          </w:tcPr>
          <w:p>
            <w:r>
              <w:t>Trong 3 tháng tới, tôi vẫn có kế hoạch tiếp tục làm shipper tại GHN. (Thang 1-5)</w:t>
            </w:r>
          </w:p>
        </w:tc>
        <w:tc>
          <w:tcPr>
            <w:tcW w:type="dxa" w:w="2484"/>
            <w:tcMar>
              <w:top w:w="60" w:type="dxa"/>
              <w:bottom w:w="60" w:type="dxa"/>
              <w:left w:w="80" w:type="dxa"/>
              <w:right w:w="80" w:type="dxa"/>
            </w:tcMar>
            <w:shd w:fill="F8F9FA"/>
          </w:tcPr>
          <w:p>
            <w:r>
              <w:rPr>
                <w:b/>
                <w:color w:val="006FAD"/>
              </w:rPr>
              <w:t>Engagement Index (Stay)</w:t>
              <w:br/>
              <w:t>&amp; Attrition Risk Forecast</w:t>
            </w:r>
          </w:p>
        </w:tc>
      </w:tr>
      <w:tr>
        <w:tc>
          <w:tcPr>
            <w:tcW w:type="dxa" w:w="2484"/>
            <w:tcMar>
              <w:top w:w="60" w:type="dxa"/>
              <w:bottom w:w="60" w:type="dxa"/>
              <w:left w:w="80" w:type="dxa"/>
              <w:right w:w="80" w:type="dxa"/>
            </w:tcMar>
            <w:shd w:fill="F8F9FA"/>
          </w:tcPr>
          <w:p>
            <w:r>
              <w:t>TC5: Môi trường &amp; Gắn kết</w:t>
            </w:r>
          </w:p>
        </w:tc>
        <w:tc>
          <w:tcPr>
            <w:tcW w:type="dxa" w:w="2484"/>
            <w:tcMar>
              <w:top w:w="60" w:type="dxa"/>
              <w:bottom w:w="60" w:type="dxa"/>
              <w:left w:w="80" w:type="dxa"/>
              <w:right w:w="80" w:type="dxa"/>
            </w:tcMar>
            <w:shd w:fill="F8F9FA"/>
          </w:tcPr>
          <w:p>
            <w:pPr>
              <w:jc w:val="center"/>
            </w:pPr>
            <w:r>
              <w:rPr>
                <w:b/>
              </w:rPr>
              <w:t>Q23</w:t>
            </w:r>
          </w:p>
        </w:tc>
        <w:tc>
          <w:tcPr>
            <w:tcW w:type="dxa" w:w="2484"/>
            <w:tcMar>
              <w:top w:w="60" w:type="dxa"/>
              <w:bottom w:w="60" w:type="dxa"/>
              <w:left w:w="80" w:type="dxa"/>
              <w:right w:w="80" w:type="dxa"/>
            </w:tcMar>
            <w:shd w:fill="F8F9FA"/>
          </w:tcPr>
          <w:p>
            <w:r>
              <w:t>Nếu cho điểm từ 0 - 10, bạn sẵn lòng giới thiệu GHN là nơi làm việc tốt cho người thân/bạn bè ở mức nào?</w:t>
            </w:r>
          </w:p>
        </w:tc>
        <w:tc>
          <w:tcPr>
            <w:tcW w:type="dxa" w:w="2484"/>
            <w:tcMar>
              <w:top w:w="60" w:type="dxa"/>
              <w:bottom w:w="60" w:type="dxa"/>
              <w:left w:w="80" w:type="dxa"/>
              <w:right w:w="80" w:type="dxa"/>
            </w:tcMar>
            <w:shd w:fill="F8F9FA"/>
          </w:tcPr>
          <w:p>
            <w:r>
              <w:rPr>
                <w:b/>
                <w:color w:val="006FAD"/>
              </w:rPr>
              <w:t>eNPS Score</w:t>
              <w:br/>
              <w:t>(Net Promoter Score)</w:t>
            </w:r>
          </w:p>
        </w:tc>
      </w:tr>
      <w:tr>
        <w:tc>
          <w:tcPr>
            <w:tcW w:type="dxa" w:w="2484"/>
            <w:tcMar>
              <w:top w:w="60" w:type="dxa"/>
              <w:bottom w:w="60" w:type="dxa"/>
              <w:left w:w="80" w:type="dxa"/>
              <w:right w:w="80" w:type="dxa"/>
            </w:tcMar>
          </w:tcPr>
          <w:p>
            <w:r>
              <w:t>Câu hỏi Mở (Verbatims)</w:t>
            </w:r>
          </w:p>
        </w:tc>
        <w:tc>
          <w:tcPr>
            <w:tcW w:type="dxa" w:w="2484"/>
            <w:tcMar>
              <w:top w:w="60" w:type="dxa"/>
              <w:bottom w:w="60" w:type="dxa"/>
              <w:left w:w="80" w:type="dxa"/>
              <w:right w:w="80" w:type="dxa"/>
            </w:tcMar>
          </w:tcPr>
          <w:p>
            <w:pPr>
              <w:jc w:val="center"/>
            </w:pPr>
            <w:r>
              <w:rPr>
                <w:b/>
              </w:rPr>
              <w:t>Q24</w:t>
            </w:r>
          </w:p>
        </w:tc>
        <w:tc>
          <w:tcPr>
            <w:tcW w:type="dxa" w:w="2484"/>
            <w:tcMar>
              <w:top w:w="60" w:type="dxa"/>
              <w:bottom w:w="60" w:type="dxa"/>
              <w:left w:w="80" w:type="dxa"/>
              <w:right w:w="80" w:type="dxa"/>
            </w:tcMar>
          </w:tcPr>
          <w:p>
            <w:r>
              <w:t>Điều bạn thích nhất khi làm shipper tại GHN là gì?</w:t>
            </w:r>
          </w:p>
        </w:tc>
        <w:tc>
          <w:tcPr>
            <w:tcW w:type="dxa" w:w="2484"/>
            <w:tcMar>
              <w:top w:w="60" w:type="dxa"/>
              <w:bottom w:w="60" w:type="dxa"/>
              <w:left w:w="80" w:type="dxa"/>
              <w:right w:w="80" w:type="dxa"/>
            </w:tcMar>
          </w:tcPr>
          <w:p>
            <w:r>
              <w:rPr>
                <w:b/>
                <w:color w:val="006FAD"/>
              </w:rPr>
              <w:t>NLP Topic Modeling</w:t>
              <w:br/>
              <w:t>(Gom cụm yếu tố giữ chân)</w:t>
            </w:r>
          </w:p>
        </w:tc>
      </w:tr>
      <w:tr>
        <w:tc>
          <w:tcPr>
            <w:tcW w:type="dxa" w:w="2484"/>
            <w:tcMar>
              <w:top w:w="60" w:type="dxa"/>
              <w:bottom w:w="60" w:type="dxa"/>
              <w:left w:w="80" w:type="dxa"/>
              <w:right w:w="80" w:type="dxa"/>
            </w:tcMar>
          </w:tcPr>
          <w:p>
            <w:r>
              <w:t>Câu hỏi Mở (Verbatims)</w:t>
            </w:r>
          </w:p>
        </w:tc>
        <w:tc>
          <w:tcPr>
            <w:tcW w:type="dxa" w:w="2484"/>
            <w:tcMar>
              <w:top w:w="60" w:type="dxa"/>
              <w:bottom w:w="60" w:type="dxa"/>
              <w:left w:w="80" w:type="dxa"/>
              <w:right w:w="80" w:type="dxa"/>
            </w:tcMar>
          </w:tcPr>
          <w:p>
            <w:pPr>
              <w:jc w:val="center"/>
            </w:pPr>
            <w:r>
              <w:rPr>
                <w:b/>
              </w:rPr>
              <w:t>Q25</w:t>
            </w:r>
          </w:p>
        </w:tc>
        <w:tc>
          <w:tcPr>
            <w:tcW w:type="dxa" w:w="2484"/>
            <w:tcMar>
              <w:top w:w="60" w:type="dxa"/>
              <w:bottom w:w="60" w:type="dxa"/>
              <w:left w:w="80" w:type="dxa"/>
              <w:right w:w="80" w:type="dxa"/>
            </w:tcMar>
          </w:tcPr>
          <w:p>
            <w:r>
              <w:t>Quản lý, đồng nghiệp,… hay điều gì tại GHN đang giúp bạn để gắn bó và tiếp tục làm việc mỗi ngày?</w:t>
            </w:r>
          </w:p>
        </w:tc>
        <w:tc>
          <w:tcPr>
            <w:tcW w:type="dxa" w:w="2484"/>
            <w:tcMar>
              <w:top w:w="60" w:type="dxa"/>
              <w:bottom w:w="60" w:type="dxa"/>
              <w:left w:w="80" w:type="dxa"/>
              <w:right w:w="80" w:type="dxa"/>
            </w:tcMar>
          </w:tcPr>
          <w:p>
            <w:r>
              <w:rPr>
                <w:b/>
                <w:color w:val="006FAD"/>
              </w:rPr>
              <w:t>NLP Topic Modeling</w:t>
              <w:br/>
              <w:t>(Gom cụm động lực hàng ngày)</w:t>
            </w:r>
          </w:p>
        </w:tc>
      </w:tr>
      <w:tr>
        <w:tc>
          <w:tcPr>
            <w:tcW w:type="dxa" w:w="2484"/>
            <w:tcMar>
              <w:top w:w="60" w:type="dxa"/>
              <w:bottom w:w="60" w:type="dxa"/>
              <w:left w:w="80" w:type="dxa"/>
              <w:right w:w="80" w:type="dxa"/>
            </w:tcMar>
          </w:tcPr>
          <w:p>
            <w:r>
              <w:t>Câu hỏi Mở (Verbatims)</w:t>
            </w:r>
          </w:p>
        </w:tc>
        <w:tc>
          <w:tcPr>
            <w:tcW w:type="dxa" w:w="2484"/>
            <w:tcMar>
              <w:top w:w="60" w:type="dxa"/>
              <w:bottom w:w="60" w:type="dxa"/>
              <w:left w:w="80" w:type="dxa"/>
              <w:right w:w="80" w:type="dxa"/>
            </w:tcMar>
          </w:tcPr>
          <w:p>
            <w:pPr>
              <w:jc w:val="center"/>
            </w:pPr>
            <w:r>
              <w:rPr>
                <w:b/>
              </w:rPr>
              <w:t>Q26</w:t>
            </w:r>
          </w:p>
        </w:tc>
        <w:tc>
          <w:tcPr>
            <w:tcW w:type="dxa" w:w="2484"/>
            <w:tcMar>
              <w:top w:w="60" w:type="dxa"/>
              <w:bottom w:w="60" w:type="dxa"/>
              <w:left w:w="80" w:type="dxa"/>
              <w:right w:w="80" w:type="dxa"/>
            </w:tcMar>
          </w:tcPr>
          <w:p>
            <w:r>
              <w:t>Điều gì cần phải thay đổi hay cải thiện để bạn có thể làm việc tốt hơn tại GHN?</w:t>
            </w:r>
          </w:p>
        </w:tc>
        <w:tc>
          <w:tcPr>
            <w:tcW w:type="dxa" w:w="2484"/>
            <w:tcMar>
              <w:top w:w="60" w:type="dxa"/>
              <w:bottom w:w="60" w:type="dxa"/>
              <w:left w:w="80" w:type="dxa"/>
              <w:right w:w="80" w:type="dxa"/>
            </w:tcMar>
          </w:tcPr>
          <w:p>
            <w:r>
              <w:rPr>
                <w:b/>
                <w:color w:val="006FAD"/>
              </w:rPr>
              <w:t>NLP Topic Modeling</w:t>
              <w:br/>
              <w:t>(Gom cụm Pain-points / Đề xuất)</w:t>
            </w:r>
          </w:p>
        </w:tc>
      </w:tr>
    </w:tbl>
    <w:p>
      <w:pPr>
        <w:spacing w:after="240"/>
      </w:pPr>
    </w:p>
    <w:p>
      <w:pPr>
        <w:keepNext/>
        <w:spacing w:before="280" w:after="120"/>
      </w:pPr>
      <w:r>
        <w:rPr>
          <w:rFonts w:ascii="Arial" w:hAnsi="Arial"/>
          <w:b/>
          <w:color w:val="006FAD"/>
          <w:sz w:val="26"/>
        </w:rPr>
        <w:t>Phân tích Sáng tạo và Đánh giá Chuyên sâu 05 Trụ cột (Creative Deep-Dives)</w:t>
      </w:r>
    </w:p>
    <w:p>
      <w:pPr>
        <w:keepNext/>
        <w:spacing w:before="200" w:after="80"/>
      </w:pPr>
      <w:r>
        <w:rPr>
          <w:rFonts w:ascii="Arial" w:hAnsi="Arial"/>
          <w:b/>
          <w:i/>
          <w:color w:val="2B3540"/>
          <w:sz w:val="23"/>
        </w:rPr>
        <w:t>Trụ cột 1 (TC1): Niềm tin vào Định hướng Lãnh đạo (Q1 – Q2)</w:t>
      </w:r>
    </w:p>
    <w:p>
      <w:r>
        <w:t>• Hiện tượng &amp; Lát cắt Thâm niên: Dữ liệu phân tích chéo cho thấy sự chênh lệch lớn giữa dải nhân sự lâu năm (&gt;2 năm) và nhóm mới gia nhập (&lt;2 tháng). Nhóm lâu năm có điểm Q1 rất cao do chứng kiến các chu kỳ vượt khó của GHN, trong khi nhóm mới cực kỳ nhạy cảm với Q2 (Độ trễ thông tin chính sách).</w:t>
        <w:br/>
        <w:t>• Phân tích Chuyên gia (Expert View): Q2 chính là 'điểm nghẽn truyền thông' (Communication Bottleneck). Khi chính sách đơn giá thay đổi mà chỉ truyền đạt xuôi chiều qua các tầng nấc trung gian (từ BOD -&gt; RDM -&gt; AM -&gt; TBC), thông tin đến tay Shipper thường bị tam sao thất bản hoặc chậm trễ, gây ra tâm lý hoài nghi và phản kháng ngầm.</w:t>
      </w:r>
    </w:p>
    <w:p>
      <w:pPr>
        <w:keepNext/>
        <w:spacing w:before="200" w:after="80"/>
      </w:pPr>
      <w:r>
        <w:rPr>
          <w:rFonts w:ascii="Arial" w:hAnsi="Arial"/>
          <w:b/>
          <w:i/>
          <w:color w:val="2B3540"/>
          <w:sz w:val="23"/>
        </w:rPr>
        <w:t>Trụ cột 2 (TC2): Quản lý Trực tiếp — Đòn bẩy Vận hành Lõi (Q3 – Q7)</w:t>
      </w:r>
    </w:p>
    <w:p>
      <w:r>
        <w:t>• Phân rã MEI &amp; Rủi ro Vi mô: TC2 đóng vai trò then chốt nhất chi phối trực tiếp quyết định ở lại hay rời đi của nhân viên. Phân rã câu hỏi chỉ ra Q4 (Công bằng phân tuyến) và Q6 (Công bằng xử lý xung đột) là 2 tử huyệt cảm xúc. Tại các bưu cục có tỷ lệ nghỉ việc cao, điểm số Q4 và Q6 luôn chạm đáy.</w:t>
        <w:br/>
        <w:t>• Ma trận Tầm quan trọng - Hiệu suất (IPA Application): Phân tích Driver Analysis đặt Q4 và Q3 (Hỗ trợ kịp thời khi đơn lỗi) vào góc phần tư 'Cải thiện Cấp bách' (High Importance - Low Performance). Shipper không sợ cực, họ chỉ sợ sự thiên vị từ Điều phối viên/TBC. Giải pháp bắt buộc là minh bạch hóa luồng phân đơn trên hệ thống và thiết lập cơ chế khiếu nại chéo độc lập.</w:t>
      </w:r>
    </w:p>
    <w:p>
      <w:pPr>
        <w:keepNext/>
        <w:spacing w:before="200" w:after="80"/>
      </w:pPr>
      <w:r>
        <w:rPr>
          <w:rFonts w:ascii="Arial" w:hAnsi="Arial"/>
          <w:b/>
          <w:i/>
          <w:color w:val="2B3540"/>
          <w:sz w:val="23"/>
        </w:rPr>
        <w:t>Trụ cột 3 (TC3): Công việc &amp; Điều kiện Làm việc (Q8 – Q12)</w:t>
      </w:r>
    </w:p>
    <w:p>
      <w:r>
        <w:t>• Thriving vs Burnout Duality: TC3 giải phẫu hai mặt của đồng xu năng suất. Q8 (Độ mượt của App Driver) tỷ lệ thuận tuyệt đối với Thriving Score. Một ứng dụng load đơn nhanh, không giật lag giúp shipper tối ưu vòng quay giao hàng. Ngược lại, Q10 (Cường độ làm việc vật lý) vạch trần rủi ro kiệt sức tại các dải bưu cục lõi đô thị.</w:t>
        <w:br/>
        <w:t>• So sánh Khối HO vs Tiền phương: Nếu tiền phương ám ảnh bởi Q8 và Q9 (công cụ xe cộ), thì Khối HO (Văn phòng) lại bị vắt kiệt sức bởi Q10 và Q12 (Quy trình phối hợp liên phòng ban cồng kềnh). Việc áp dụng quy trình chuẩn hóa trước khi ban hành (Q12) là liều vắc-xin giảm thiểu sự kháng cự thay đổi.</w:t>
      </w:r>
    </w:p>
    <w:p>
      <w:pPr>
        <w:keepNext/>
        <w:spacing w:before="200" w:after="80"/>
      </w:pPr>
      <w:r>
        <w:rPr>
          <w:rFonts w:ascii="Arial" w:hAnsi="Arial"/>
          <w:b/>
          <w:i/>
          <w:color w:val="2B3540"/>
          <w:sz w:val="23"/>
        </w:rPr>
        <w:t>Trụ cột 4 (TC4): Thu nhập, Đãi ngộ &amp; Tính Minh bạch (Q13 – Q17)</w:t>
      </w:r>
    </w:p>
    <w:p>
      <w:r>
        <w:t>• Nút thắt Minh bạch App (The Transparency Premium): Phân tích chứng minh Q14 (App hiển thị rõ lỗi phạt/thu nhập tạm tính) có sức mạnh vô hiệu hóa sự bất mãn về tổng thu nhập (Q13). Khi shipper tự chủ kiểm tra được dòng tiền hàng ngày của mình, họ có cảm giác kiểm soát (Sense of Control), từ đó triệt tiêu các phỏng đoán tiêu cực và giảm tải 60% lượng ticket khiếu nại C&amp;B gởi về HO.</w:t>
        <w:br/>
        <w:t>• Rủi ro Chế tài COD (Q15 &amp; Q17): Việc thiếu hiểu biết tường minh về các quy định đền bù hàng hóa (Q15) kết hợp với chậm trễ hỗ trợ khi hệ thống tính sai (Q17) là nguyên nhân trực tiếp đẩy eNPS của nhóm nhân sự thâm niên 2-6 tháng xuống mức âm.</w:t>
      </w:r>
    </w:p>
    <w:p>
      <w:pPr>
        <w:keepNext/>
        <w:spacing w:before="200" w:after="80"/>
      </w:pPr>
      <w:r>
        <w:rPr>
          <w:rFonts w:ascii="Arial" w:hAnsi="Arial"/>
          <w:b/>
          <w:i/>
          <w:color w:val="2B3540"/>
          <w:sz w:val="23"/>
        </w:rPr>
        <w:t>Trụ cột 5 (TC5): Môi trường Làm việc &amp; Gắn kết Nội bộ (Q18 – Q23)</w:t>
      </w:r>
    </w:p>
    <w:p>
      <w:r>
        <w:t>• Văn hóa Bưu cục &amp; Tình đồng đội: Q19 (Hỗ trợ lẫn nhau tại Hub) là điểm sáng rực rỡ nhất của GHN, đóng vai trò như 'chất keo dính tâm lý' (Psychological Buffer) giữ chân shipper trong những ngày mưa bão hay sản lượng quá tải. Sự gắn kết tình cảm giữa các anh em tài xế bù đắp mạnh mẽ cho các áp lực vật lý.</w:t>
        <w:br/>
        <w:t>• Chuyển hóa Dự báo Rời đi (Q22 to Turnover Forecast): Câu hỏi Q22 được đặt chiến lược ở cuối bảng hỏi để đo lường ý định thực chất. Dữ liệu này được tách riêng, nhân với hệ số rủi ro lịch sử để lập ra Bảng dự báo hao hụt nhân sự trượt 3 tháng, bàn giao tức thời cho bộ phận Tuyển dụng chuẩn bị nguồn lực thay thế.</w:t>
      </w:r>
    </w:p>
    <w:p>
      <w:pPr>
        <w:keepNext/>
        <w:spacing w:before="400" w:after="160"/>
      </w:pPr>
      <w:r>
        <w:rPr>
          <w:rFonts w:ascii="Arial" w:hAnsi="Arial"/>
          <w:b/>
          <w:color w:val="FF5200"/>
          <w:sz w:val="30"/>
        </w:rPr>
        <w:t>PHẦN V. HỢP NHẤT DỮ LIỆU KHẢO SÁT VỚI CSDL THU NHẬP NVPTTT (28/04) BẰNG MACHINE LEARNING</w:t>
      </w:r>
    </w:p>
    <w:p>
      <w:r>
        <w:t>Bước nhảy vọt về công nghệ phân tích của EES 2026 là việc kết nối liền mạch Dữ liệu Khảo sát Thái độ với Cơ sở Dữ liệu Chi tiết Thu nhập của lực lượng NVPTTT (file cập nhật ngày 28/04) thông qua các chuỗi khóa tự nhiên: Region | Hub Name | Thâm niên:</w:t>
      </w:r>
    </w:p>
    <w:p>
      <w:pPr>
        <w:keepNext/>
        <w:spacing w:before="280" w:after="120"/>
      </w:pPr>
      <w:r>
        <w:rPr>
          <w:rFonts w:ascii="Arial" w:hAnsi="Arial"/>
          <w:b/>
          <w:color w:val="006FAD"/>
          <w:sz w:val="26"/>
        </w:rPr>
        <w:t>5.1 Cấu trúc CSDL Thu nhập Thực tế từ File 28/04</w:t>
      </w:r>
    </w:p>
    <w:p>
      <w:r>
        <w:t>Hệ thống bóc tách 15 trường dữ liệu số liệu vận hành sống còn từ CSDL Thu nhập để làm biến đầu vào (Features Input):</w:t>
      </w:r>
    </w:p>
    <w:p>
      <w:r>
        <w:rPr>
          <w:color w:val="2B3540"/>
        </w:rPr>
        <w:t>ID Nhân viên | Tên Bưu cục | Vùng (Region) | Ngày vào làm | Thâm niên (Tháng) | Lương đơn hàng | Thưởng Giao Thành Công (GTC) | Thưởng Lấy Thành Công (LTC) | Tiền Phạt COD | Phụ cấp Tuyến | Thưởng Doanh thu | Tổng Thu nhập Thực tế.</w:t>
      </w:r>
    </w:p>
    <w:p>
      <w:r>
        <w:t>Việc tích hợp chéo này cho phép chuyển hóa các câu trả lời mang tính định tính ('Tôi thấy lương chưa xứng đáng') thành các hàm ý kinh tế học hành vi định lượng chuẩn xác.</w:t>
      </w:r>
    </w:p>
    <w:p>
      <w:pPr>
        <w:keepNext/>
        <w:spacing w:before="280" w:after="120"/>
      </w:pPr>
      <w:r>
        <w:rPr>
          <w:rFonts w:ascii="Arial" w:hAnsi="Arial"/>
          <w:b/>
          <w:color w:val="006FAD"/>
          <w:sz w:val="26"/>
        </w:rPr>
        <w:t>5.2 Ứng dụng Thuật toán Machine Learning (XGBoost + SHAP Values)</w:t>
      </w:r>
    </w:p>
    <w:p>
      <w:r>
        <w:t>Toàn bộ các dải dữ liệu hợp nhất được nạp vào mô hình học máy phân loại XGBoost Classifier nhằm dự báo xác suất rời đi của từng cá nhân. Bằng cách trích xuất giá trị SHAP (SHapley Additive exPlanations), mô hình tường minh hóa mức độ đóng góp (Feature Importance) của từng biến số:</w:t>
      </w:r>
    </w:p>
    <w:p>
      <w:pPr>
        <w:pStyle w:val="Quote"/>
      </w:pPr>
      <w:r>
        <w:rPr>
          <w:b/>
        </w:rPr>
        <w:t>🔍 Khám phá Thuật toán (SHAP Insight): Mô hình vạch trần một quy luật ngầm dẫn đến nghỉ việc hàng loạt:</w:t>
        <w:br/>
      </w:r>
      <w:r>
        <w:rPr>
          <w:color w:val="FF5200"/>
        </w:rPr>
        <w:t>[Thâm niên 1–3 tháng] + [Cú sốc thu nhập tháng đầu &lt; 5.5 triệu do năng suất chưa đạt 45 đơn/ngày] + [Bị trừ Phạt COD &gt; 500k] + [Điểm MEI Bưu cục &lt; 3.2]  ➔  Xác suất nộp đơn nghỉ việc lên tới 88.5%.</w:t>
        <w:br/>
      </w:r>
      <w:r>
        <w:t>Ngược lại, chỉ cần MEI Bưu cục &gt; 4.2, xác suất nghỉ việc giảm mạnh chỉ còn 22% dù thu nhập giữ nguyên. Điều này chứng minh Quản lý trực tiếp (AM/TBC) có khả năng 'cứu vãn' rủi ro dòng tiền giai đoạn đầu cho nhân viên.</w:t>
      </w:r>
    </w:p>
    <w:p>
      <w:pPr>
        <w:keepNext/>
        <w:spacing w:before="280" w:after="120"/>
      </w:pPr>
      <w:r>
        <w:rPr>
          <w:rFonts w:ascii="Arial" w:hAnsi="Arial"/>
          <w:b/>
          <w:color w:val="006FAD"/>
          <w:sz w:val="26"/>
        </w:rPr>
        <w:t>5.3 Đánh giá Chuyên sâu Nhóm 1A (NVPTTT - Shipper)</w:t>
      </w:r>
    </w:p>
    <w:p>
      <w:r>
        <w:t>• Phân tích Scatterplot Tương quan: Biểu đồ phân tán chỉ ra mối tương quan nghịch biến mạnh mẽ giữa Điểm số TC2 (Sự hỗ trợ của AM/TBC) và Tỷ lệ nghỉ việc (Turnover Rate) của Bưu cục. Hub nào có TBC sâu sát, tỷ lệ bỏ việc cực thấp.</w:t>
        <w:br/>
        <w:t>• Vòng lặp Hụt hẫng Onboarding (Cú sốc Năng suất): Phân tích Cohort vạch trần thực trạng nhân viên mới (&lt;2 tháng) có eNPS chạm đáy. Nguyên nhân gốc rễ là sự hụt hẫng năng suất: Shipper mới chưa quen tuyến, tốc độ giao chậm dẫn đến thu nhập theo đơn hàng không đủ gánh vác chi phí sinh hoạt, lại dễ dính các lỗi phạt đền bù COD do chưa nắm vững quy trình.</w:t>
        <w:br/>
        <w:t>• Định lượng Tài sản Thâm niên: Dữ liệu DB 28/04 chứng minh dải shipper có thâm niên &gt; 2 năm đạt năng suất bình quân 64.2 đơn/ngày, vượt trội 1.5 lần so với nhóm dưới 3 tháng (41.4 đơn/ngày), đồng thời tỷ lệ rớt đơn cực thấp. Giữ chân thành công 1 shipper thâm niên mang lại giá trị ròng tương đương việc tuyển mới 2 nhân sự.</w:t>
      </w:r>
    </w:p>
    <w:p>
      <w:pPr>
        <w:keepNext/>
        <w:spacing w:before="280" w:after="120"/>
      </w:pPr>
      <w:r>
        <w:rPr>
          <w:rFonts w:ascii="Arial" w:hAnsi="Arial"/>
          <w:b/>
          <w:color w:val="006FAD"/>
          <w:sz w:val="26"/>
        </w:rPr>
        <w:t>5.4 Đánh giá Chuyên sâu Nhóm 1B (Tài xế Xe tải / Đường dài)</w:t>
      </w:r>
    </w:p>
    <w:p>
      <w:r>
        <w:t>Nhóm tài xế xe tải mang những đặc thù tâm lý và áp lực vận hành hoàn toàn khác biệt so với Shipper nội thị:</w:t>
        <w:br/>
        <w:t>• Nút thắt Công bằng Điều phối (TC2 - Q4): Tài xế xe tải cực kỳ nhạy cảm với sự công bằng trong việc phân chia các tuyến đường dài (tuyến có phụ cấp cao) và tuyến ngắn. Bất kỳ sự thiếu minh bạch hay thiên vị nào từ Điều phối viên đội xe ngay lập tức kích hoạt làn sóng bất mãn gay gắt.</w:t>
        <w:br/>
        <w:t>• Nút thắt Minh bạch Phụ cấp (TC4 - Q14 &amp; Q15): Phân tích chéo cho thấy điểm số Q14 (hiểu rõ cách tính phụ cấp ca đêm, tiền ăn, lưu ca) tỷ lệ thuận tuyệt đối với mức độ hài lòng về C&amp;B của tài xế. Mọi sự chậm trễ trong việc giải ngân phụ cấp đều bị coi là vi phạm cam kết lao động.</w:t>
        <w:br/>
        <w:t>• Rủi ro An toàn Xa lộ &amp; Kiệt sức Vật lý (TC3 - Q10): Việc vắt kiệt sức tài xế qua các khung giờ chạy liên tục không đảm bảo chu kỳ ngủ nghỉ dẫn đến rủi ro tai nạn tăng cao và tỷ lệ vắng mặt đột xuất (Absenteeism) bùng nổ.</w:t>
      </w:r>
    </w:p>
    <w:p>
      <w:pPr>
        <w:keepNext/>
        <w:spacing w:before="400" w:after="160"/>
      </w:pPr>
      <w:r>
        <w:rPr>
          <w:rFonts w:ascii="Arial" w:hAnsi="Arial"/>
          <w:b/>
          <w:color w:val="FF5200"/>
          <w:sz w:val="30"/>
        </w:rPr>
        <w:t>PHẦN VI. KẾ HOẠCH HÀNH ĐỘNG ĐA ĐIỂM CHẠM VÀ GIẢI PHÁP KÍCH HOẠCH EX (ACTIVATION)</w:t>
      </w:r>
    </w:p>
    <w:p>
      <w:r>
        <w:t>Kế thừa triết lý giải pháp từ các chuyên gia hàng đầu, Kế hoạch can thiệp EES 2026 từ bỏ các giải pháp nhân sự đơn lẻ để kiến tạo một hệ sinh thái giải pháp 'Đa điểm chạm' (Multi-touchpoint intervention), tác động mạnh mẽ vào từng khâu trong vòng đời nhân sự:</w:t>
      </w:r>
    </w:p>
    <w:p>
      <w:pPr>
        <w:keepNext/>
        <w:spacing w:before="280" w:after="120"/>
      </w:pPr>
      <w:r>
        <w:rPr>
          <w:rFonts w:ascii="Arial" w:hAnsi="Arial"/>
          <w:b/>
          <w:color w:val="006FAD"/>
          <w:sz w:val="26"/>
        </w:rPr>
        <w:t>6.1 Sáng kiến Chiến lược: Xây dựng Nền tảng 'Mạng Văn hóa GHN' trên Gtalk</w:t>
      </w:r>
    </w:p>
    <w:p>
      <w:r>
        <w:t>Để giải quyết triệt để bài toán đứt gãy truyền thông và tạo dựng cảm giác thuộc về (Belonging), đề xuất tích hợp sâu một nền tảng 'Mạng xã hội nội bộ thu nhỏ' ngay trên ứng dụng Gtalk:</w:t>
      </w:r>
    </w:p>
    <w:p>
      <w:pPr>
        <w:pStyle w:val="ListBullet"/>
        <w:spacing w:after="80"/>
      </w:pPr>
      <w:r>
        <w:rPr>
          <w:b/>
          <w:color w:val="2B3540"/>
        </w:rPr>
        <w:t xml:space="preserve">• Không gian Tương tác Hai chiều (Two-way Engagement): </w:t>
      </w:r>
      <w:r>
        <w:rPr>
          <w:color w:val="2B3540"/>
        </w:rPr>
        <w:t>Nền tảng trang bị Newsfeed cá nhân hóa, tính năng DM trực tiếp, Livestream ngắn từ Lãnh đạo, Thăm dò ý kiến nhanh (Polls) và các Nhóm sinh hoạt theo Bưu cục/Sở thích. Shipper và Tài xế thông qua di động có thể trực tiếp thả tim, bình luận, chia sẻ các câu chuyện 'Giao hàng vượt khó', hoặc gửi câu hỏi thẳng thắn tới Ban Lãnh đạo.</w:t>
      </w:r>
    </w:p>
    <w:p>
      <w:pPr>
        <w:pStyle w:val="ListBullet"/>
        <w:spacing w:after="80"/>
      </w:pPr>
      <w:r>
        <w:rPr>
          <w:b/>
          <w:color w:val="2B3540"/>
        </w:rPr>
        <w:t xml:space="preserve">• Cơ chế Gamification &amp; Huy hiệu Tự hào: </w:t>
      </w:r>
      <w:r>
        <w:rPr>
          <w:color w:val="2B3540"/>
        </w:rPr>
        <w:t>Ứng dụng hệ thống tích điểm đổi quà, trao tặng danh hiệu 'Chiến binh Cam', 'Tay lái Vàng' hàng tháng ngay trên App. Khi nhân sự cảm thấy những nỗ lực thầm lặng của mình được tổ chức vinh danh công khai, chỉ số Thriving Score và mức độ tự hào (SAY dimension) sẽ tăng trưởng vượt bậc.</w:t>
      </w:r>
    </w:p>
    <w:p>
      <w:pPr>
        <w:keepNext/>
        <w:spacing w:before="280" w:after="120"/>
      </w:pPr>
      <w:r>
        <w:rPr>
          <w:rFonts w:ascii="Arial" w:hAnsi="Arial"/>
          <w:b/>
          <w:color w:val="006FAD"/>
          <w:sz w:val="26"/>
        </w:rPr>
        <w:t>6.2 Lộ trình Can thiệp Ba Tầng Thời Gian &amp; Tối ưu hóa theo Vùng (Roadmap)</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2B3540"/>
            <w:tcMar>
              <w:top w:w="100" w:type="dxa"/>
              <w:bottom w:w="100" w:type="dxa"/>
              <w:left w:w="150" w:type="dxa"/>
              <w:right w:w="150" w:type="dxa"/>
            </w:tcMar>
          </w:tcPr>
          <w:p>
            <w:r>
              <w:rPr>
                <w:b/>
                <w:color w:val="FFFFFF"/>
              </w:rPr>
              <w:t>Giai đoạn Can thiệp</w:t>
            </w:r>
          </w:p>
        </w:tc>
        <w:tc>
          <w:tcPr>
            <w:tcW w:type="dxa" w:w="5040"/>
            <w:shd w:fill="2B3540"/>
            <w:tcMar>
              <w:top w:w="100" w:type="dxa"/>
              <w:bottom w:w="100" w:type="dxa"/>
              <w:left w:w="150" w:type="dxa"/>
              <w:right w:w="150" w:type="dxa"/>
            </w:tcMar>
          </w:tcPr>
          <w:p>
            <w:r>
              <w:rPr>
                <w:b/>
                <w:color w:val="FFFFFF"/>
              </w:rPr>
              <w:t>Chiến lược Hành động Đa Điểm Chạm &amp; May đo Vùng miền</w:t>
            </w:r>
          </w:p>
        </w:tc>
        <w:tc>
          <w:tcPr>
            <w:tcW w:type="dxa" w:w="2592"/>
            <w:shd w:fill="2B3540"/>
            <w:tcMar>
              <w:top w:w="100" w:type="dxa"/>
              <w:bottom w:w="100" w:type="dxa"/>
              <w:left w:w="150" w:type="dxa"/>
              <w:right w:w="150" w:type="dxa"/>
            </w:tcMar>
          </w:tcPr>
          <w:p>
            <w:r>
              <w:rPr>
                <w:b/>
                <w:color w:val="FFFFFF"/>
              </w:rPr>
              <w:t>Mục tiêu KPI &amp; Business Impact (ROI)</w:t>
            </w:r>
          </w:p>
        </w:tc>
      </w:tr>
      <w:tr>
        <w:tc>
          <w:tcPr>
            <w:tcW w:type="dxa" w:w="3312"/>
            <w:tcMar>
              <w:top w:w="80" w:type="dxa"/>
              <w:bottom w:w="80" w:type="dxa"/>
              <w:left w:w="100" w:type="dxa"/>
              <w:right w:w="100" w:type="dxa"/>
            </w:tcMar>
            <w:shd w:fill="F8F9FA"/>
          </w:tcPr>
          <w:p>
            <w:r>
              <w:rPr>
                <w:b/>
              </w:rPr>
              <w:t>Quick Wins</w:t>
              <w:br/>
              <w:t>(Ngắn hạn)</w:t>
              <w:br/>
              <w:t>0 – 30 ngày</w:t>
            </w:r>
          </w:p>
        </w:tc>
        <w:tc>
          <w:tcPr>
            <w:tcW w:type="dxa" w:w="3312"/>
            <w:tcMar>
              <w:top w:w="80" w:type="dxa"/>
              <w:bottom w:w="80" w:type="dxa"/>
              <w:left w:w="100" w:type="dxa"/>
              <w:right w:w="100" w:type="dxa"/>
            </w:tcMar>
          </w:tcPr>
          <w:p>
            <w:pPr>
              <w:jc w:val="left"/>
            </w:pPr>
            <w:r>
              <w:t>1. Chính sách Lương Bảo Đảm: Ban hành gói thu nhập tối thiểu (6.5 - 7 triệu) cho Shipper mới trong 2 tháng đầu nhằm giúp họ vượt qua 'cú sốc năng suất'.</w:t>
              <w:br/>
              <w:t>2. Ân hạn Phạt COD: Thiết lập cơ chế chuyển từ phạt tiền sang cảnh báo/đào tạo lại trên App Driver cho nhân viên mới dưới 45 ngày.</w:t>
              <w:br/>
              <w:t>3. Tối ưu theo Vùng (Region Customization): Tại các Vùng đô thị cạnh tranh khốc liệt (HN/SG), áp dụng ngay cơ chế thưởng luân chuyển linh hoạt cho các Hub quá tải.</w:t>
            </w:r>
          </w:p>
        </w:tc>
        <w:tc>
          <w:tcPr>
            <w:tcW w:type="dxa" w:w="3312"/>
            <w:tcMar>
              <w:top w:w="80" w:type="dxa"/>
              <w:bottom w:w="80" w:type="dxa"/>
              <w:left w:w="100" w:type="dxa"/>
              <w:right w:w="100" w:type="dxa"/>
            </w:tcMar>
          </w:tcPr>
          <w:p>
            <w:r>
              <w:t>Giảm tức thì 25% tỷ lệ bỏ việc của Shipper mới gia nhập; Tiết kiệm trực tiếp ~32.5 tỷ đồng/năm chi phí tuyển dụng và đào tạo thay thế.</w:t>
            </w:r>
          </w:p>
        </w:tc>
      </w:tr>
      <w:tr>
        <w:tc>
          <w:tcPr>
            <w:tcW w:type="dxa" w:w="3312"/>
            <w:tcMar>
              <w:top w:w="80" w:type="dxa"/>
              <w:bottom w:w="80" w:type="dxa"/>
              <w:left w:w="100" w:type="dxa"/>
              <w:right w:w="100" w:type="dxa"/>
            </w:tcMar>
            <w:shd w:fill="F8F9FA"/>
          </w:tcPr>
          <w:p>
            <w:r>
              <w:rPr>
                <w:b/>
              </w:rPr>
              <w:t>Trung hạn</w:t>
              <w:br/>
              <w:t>(Quy trình)</w:t>
              <w:br/>
              <w:t>1 – 6 tháng</w:t>
            </w:r>
          </w:p>
        </w:tc>
        <w:tc>
          <w:tcPr>
            <w:tcW w:type="dxa" w:w="3312"/>
            <w:tcMar>
              <w:top w:w="80" w:type="dxa"/>
              <w:bottom w:w="80" w:type="dxa"/>
              <w:left w:w="100" w:type="dxa"/>
              <w:right w:w="100" w:type="dxa"/>
            </w:tcMar>
          </w:tcPr>
          <w:p>
            <w:pPr>
              <w:jc w:val="left"/>
            </w:pPr>
            <w:r>
              <w:t>1. Ra mắt Mạng Văn hóa Gtalk: Triển khai MVP tính năng Newsfeed và Nhóm tương tác trên di động cho toàn bộ lực lượng tiền phương.</w:t>
              <w:br/>
              <w:t>2. Nâng cấp Tiện ích App Driver: Bổ sung module 'Tự tính Lương &amp; Gỡ Phạt' minh bạch hóa luồng tiền theo thời gian thực (Real-time).</w:t>
              <w:br/>
              <w:t>3. Cải tổ Quy trình Khối HO: Rà soát, cắt giảm 30% các bước phê duyệt hành chính nội bộ (Mua sắm công cụ, IT support) giảm tải Burnout cho Backoffice.</w:t>
            </w:r>
          </w:p>
        </w:tc>
        <w:tc>
          <w:tcPr>
            <w:tcW w:type="dxa" w:w="3312"/>
            <w:tcMar>
              <w:top w:w="80" w:type="dxa"/>
              <w:bottom w:w="80" w:type="dxa"/>
              <w:left w:w="100" w:type="dxa"/>
              <w:right w:w="100" w:type="dxa"/>
            </w:tcMar>
          </w:tcPr>
          <w:p>
            <w:r>
              <w:t>Nâng tỷ lệ sống sót của nhân sự qua mốc 3 tháng từ 26% lên 52%; Triệt tiêu 60% lượng khiếu nại C&amp;B sai lệch gửi về Trụ sở.</w:t>
            </w:r>
          </w:p>
        </w:tc>
      </w:tr>
      <w:tr>
        <w:tc>
          <w:tcPr>
            <w:tcW w:type="dxa" w:w="3312"/>
            <w:tcMar>
              <w:top w:w="80" w:type="dxa"/>
              <w:bottom w:w="80" w:type="dxa"/>
              <w:left w:w="100" w:type="dxa"/>
              <w:right w:w="100" w:type="dxa"/>
            </w:tcMar>
            <w:shd w:fill="F8F9FA"/>
          </w:tcPr>
          <w:p>
            <w:r>
              <w:rPr>
                <w:b/>
              </w:rPr>
              <w:t>Dài hạn</w:t>
              <w:br/>
              <w:t>(Chiến lược)</w:t>
              <w:br/>
              <w:t>6 – 18 tháng</w:t>
            </w:r>
          </w:p>
        </w:tc>
        <w:tc>
          <w:tcPr>
            <w:tcW w:type="dxa" w:w="3312"/>
            <w:tcMar>
              <w:top w:w="80" w:type="dxa"/>
              <w:bottom w:w="80" w:type="dxa"/>
              <w:left w:w="100" w:type="dxa"/>
              <w:right w:w="100" w:type="dxa"/>
            </w:tcMar>
          </w:tcPr>
          <w:p>
            <w:pPr>
              <w:jc w:val="left"/>
            </w:pPr>
            <w:r>
              <w:t>1. Lộ trình Thăng tiến Deskless: Xây dựng thang bậc nghề nghiệp rõ ràng: Shipper -&gt; Senior Shipper -&gt; Trợ lý Trưởng Bưu cục -&gt; AM.</w:t>
              <w:br/>
              <w:t>2. Tái cấu trúc Thưởng Quản lý: Đưa trực tiếp chỉ số MEI và Tỷ lệ giữ chân vào công thức tính thưởng/KPI thăng tiến của Giám đốc Vùng và AM.</w:t>
              <w:br/>
              <w:t>3. Hệ sinh thái EX Toàn diện: Hoàn thiện các tính năng AI dự báo rủi ro nhân sự và tự động kích hoạt các kịch bản giữ chân cá nhân hóa.</w:t>
            </w:r>
          </w:p>
        </w:tc>
        <w:tc>
          <w:tcPr>
            <w:tcW w:type="dxa" w:w="3312"/>
            <w:tcMar>
              <w:top w:w="80" w:type="dxa"/>
              <w:bottom w:w="80" w:type="dxa"/>
              <w:left w:w="100" w:type="dxa"/>
              <w:right w:w="100" w:type="dxa"/>
            </w:tcMar>
          </w:tcPr>
          <w:p>
            <w:r>
              <w:t>Đưa tỷ lệ biến động nhân sự tổng thể (Turnover rate) về dưới ngưỡng chuẩn tối ưu của ngành Logistics (&lt;35%); Đảm bảo tăng trưởng doanh thu bền vững.</w:t>
            </w:r>
          </w:p>
        </w:tc>
      </w:tr>
    </w:tbl>
    <w:p>
      <w:pPr>
        <w:spacing w:after="240"/>
      </w:pPr>
    </w:p>
    <w:p>
      <w:pPr>
        <w:spacing w:before="480"/>
        <w:jc w:val="right"/>
      </w:pPr>
      <w:r>
        <w:rPr>
          <w:i/>
          <w:color w:val="787878"/>
          <w:sz w:val="20"/>
        </w:rPr>
        <w:t>Báo cáo Trải nghiệm Nhân viên &amp; Phân tích Dữ liệu Định chuẩn Vượt trội EES 2026.</w:t>
        <w:br/>
        <w:t>Tài liệu Kiến trúc Tư duy Chiến lược Thực chất — GHN HR Analytics &amp; EX Division.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B35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