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jc w:val="center"/>
        <w:spacing w:before="0" w:after="15"/>
      </w:pPr>
      <w:r>
        <w:rPr>
          <w:rFonts w:ascii="Arial" w:hAnsi="Arial"/>
          <w:b/>
          <w:i w:val="0"/>
          <w:color w:val="2E75B6"/>
          <w:sz w:val="24"/>
          <w:u w:val="none"/>
        </w:rPr>
        <w:t>GHN · EES 2026</w:t>
      </w:r>
    </w:p>
    <w:p>
      <w:pPr>
        <w:jc w:val="center"/>
        <w:spacing w:before="0" w:after="20"/>
      </w:pPr>
      <w:r>
        <w:rPr>
          <w:rFonts w:ascii="Arial" w:hAnsi="Arial"/>
          <w:b/>
          <w:i w:val="0"/>
          <w:color w:val="1F4E79"/>
          <w:sz w:val="52"/>
          <w:u w:val="none"/>
        </w:rPr>
        <w:t>PHÂN TÍCH CHUYÊN SÂU</w:t>
        <w:br/>
        <w:t>CÂU HỎI MỞ</w:t>
      </w:r>
    </w:p>
    <w:p>
      <w:pPr>
        <w:jc w:val="center"/>
        <w:spacing w:before="0" w:after="15"/>
      </w:pPr>
      <w:r>
        <w:rPr>
          <w:rFonts w:ascii="Arial" w:hAnsi="Arial"/>
          <w:b/>
          <w:i w:val="0"/>
          <w:color w:val="ED7D31"/>
          <w:sz w:val="26"/>
          <w:u w:val="none"/>
        </w:rPr>
        <w:t>Open-Text Deep Analysis — 7 Phần · Taxonomy 9 danh mục × 40 nhãn con</w:t>
      </w:r>
    </w:p>
    <w:p>
      <w:pPr>
        <w:jc w:val="center"/>
        <w:spacing w:before="20" w:after="50"/>
      </w:pPr>
      <w:r>
        <w:rPr>
          <w:rFonts w:ascii="Arial" w:hAnsi="Arial"/>
          <w:b w:val="0"/>
          <w:i/>
          <w:color w:val="404040"/>
          <w:sz w:val="22"/>
          <w:u w:val="none"/>
        </w:rPr>
        <w:t>Dựa trên toàn bộ phản hồi hợp lệ · Không lấy mẫu</w:t>
        <w:br/>
        <w:t>Mỗi phản hồi được phân loại theo hệ thống nhãn đa tầng · Dẫn chứng trực tiếp từ lời nhân viên</w:t>
      </w:r>
    </w:p>
    <w:tbl>
      <w:tblPr>
        <w:tblW w:type="auto" w:w="0"/>
        <w:tblLook w:firstColumn="1" w:firstRow="1" w:lastColumn="0" w:lastRow="0" w:noHBand="0" w:noVBand="1" w:val="04A0"/>
      </w:tblPr>
      <w:tblGrid>
        <w:gridCol w:w="9072"/>
      </w:tblGrid>
      <w:tr>
        <w:tc>
          <w:tcPr>
            <w:tcW w:type="dxa" w:w="9072"/>
            <w:shd w:val="clear" w:color="auto" w:fill="1F4E79"/>
            <w:tcMar>
              <w:top w:w="2" w:type="dxa"/>
              <w:bottom w:w="2" w:type="dxa"/>
              <w:left w:w="0" w:type="dxa"/>
              <w:right w:w="0" w:type="dxa"/>
            </w:tcMar>
          </w:tcPr>
          <w:p>
            <w:pPr>
              <w:spacing w:before="0" w:after="0"/>
            </w:pPr>
          </w:p>
        </w:tc>
      </w:tr>
    </w:tbl>
    <w:p>
      <w:pPr>
        <w:spacing w:before="0" w:after="0"/>
      </w:pPr>
    </w:p>
    <w:p>
      <w:pPr>
        <w:spacing w:before="0" w:after="0"/>
      </w:pPr>
    </w:p>
    <w:p>
      <w:pPr>
        <w:jc w:val="center"/>
        <w:spacing w:before="0" w:after="18"/>
      </w:pPr>
      <w:r>
        <w:rPr>
          <w:rFonts w:ascii="Arial" w:hAnsi="Arial"/>
          <w:b/>
          <w:i w:val="0"/>
          <w:color w:val="1F4E79"/>
          <w:sz w:val="20"/>
          <w:u w:val="none"/>
        </w:rPr>
        <w:t xml:space="preserve">  Phiên bản taxonomy:  </w:t>
      </w:r>
      <w:r>
        <w:rPr>
          <w:rFonts w:ascii="Arial" w:hAnsi="Arial"/>
          <w:b w:val="0"/>
          <w:i w:val="0"/>
          <w:sz w:val="20"/>
          <w:u w:val="none"/>
        </w:rPr>
        <w:t>9 danh mục chính · 40 nhãn con · phân loại đa nhãn</w:t>
      </w:r>
    </w:p>
    <w:p>
      <w:pPr>
        <w:jc w:val="center"/>
        <w:spacing w:before="0" w:after="18"/>
      </w:pPr>
      <w:r>
        <w:rPr>
          <w:rFonts w:ascii="Arial" w:hAnsi="Arial"/>
          <w:b/>
          <w:i w:val="0"/>
          <w:color w:val="1F4E79"/>
          <w:sz w:val="20"/>
          <w:u w:val="none"/>
        </w:rPr>
        <w:t xml:space="preserve">  Tổng phản hồi phân tích:  </w:t>
      </w:r>
      <w:r>
        <w:rPr>
          <w:rFonts w:ascii="Arial" w:hAnsi="Arial"/>
          <w:b w:val="0"/>
          <w:i w:val="0"/>
          <w:sz w:val="20"/>
          <w:u w:val="none"/>
        </w:rPr>
        <w:t>26.613 phản hồi từ 6 nhóm · Q24, Q25, Q26</w:t>
      </w:r>
    </w:p>
    <w:p>
      <w:pPr>
        <w:jc w:val="center"/>
        <w:spacing w:before="0" w:after="18"/>
      </w:pPr>
      <w:r>
        <w:rPr>
          <w:rFonts w:ascii="Arial" w:hAnsi="Arial"/>
          <w:b/>
          <w:i w:val="0"/>
          <w:color w:val="1F4E79"/>
          <w:sz w:val="20"/>
          <w:u w:val="none"/>
        </w:rPr>
        <w:t xml:space="preserve">  Đối tượng:  </w:t>
      </w:r>
      <w:r>
        <w:rPr>
          <w:rFonts w:ascii="Arial" w:hAnsi="Arial"/>
          <w:b w:val="0"/>
          <w:i w:val="0"/>
          <w:sz w:val="20"/>
          <w:u w:val="none"/>
        </w:rPr>
        <w:t>CHRO · Ban Điều hành · People Analytics Team</w:t>
      </w:r>
    </w:p>
    <w:p>
      <w:pPr>
        <w:jc w:val="center"/>
        <w:spacing w:before="0" w:after="18"/>
      </w:pPr>
      <w:r>
        <w:rPr>
          <w:rFonts w:ascii="Arial" w:hAnsi="Arial"/>
          <w:b/>
          <w:i w:val="0"/>
          <w:color w:val="1F4E79"/>
          <w:sz w:val="20"/>
          <w:u w:val="none"/>
        </w:rPr>
        <w:t xml:space="preserve">  Ngày phát hành:  </w:t>
      </w:r>
      <w:r>
        <w:rPr>
          <w:rFonts w:ascii="Arial" w:hAnsi="Arial"/>
          <w:b w:val="0"/>
          <w:i w:val="0"/>
          <w:sz w:val="20"/>
          <w:u w:val="none"/>
        </w:rPr>
        <w:t>Tháng 05/2026 — TÀI LIỆU NỘI BỘ</w:t>
      </w:r>
    </w:p>
    <w:p>
      <w:r>
        <w:br w:type="page"/>
      </w:r>
    </w:p>
    <w:p>
      <w:pPr>
        <w:jc w:val="left"/>
        <w:spacing w:before="240" w:after="80"/>
        <w:pBdr>
          <w:bottom w:val="single" w:sz="16" w:space="1" w:color="1F4E79"/>
        </w:pBdr>
      </w:pPr>
      <w:r>
        <w:rPr>
          <w:rFonts w:ascii="Arial" w:hAnsi="Arial"/>
          <w:b/>
          <w:i w:val="0"/>
          <w:color w:val="1F4E79"/>
          <w:sz w:val="28"/>
          <w:u w:val="none"/>
        </w:rPr>
        <w:t>PHẦN 1 · Kiểm toán Dữ liệu Open-Text</w:t>
      </w:r>
    </w:p>
    <w:p>
      <w:pPr>
        <w:spacing w:before="0" w:after="50"/>
      </w:pPr>
      <w:r>
        <w:rPr>
          <w:rFonts w:ascii="Arial" w:hAnsi="Arial"/>
          <w:b w:val="0"/>
          <w:i w:val="0"/>
          <w:sz w:val="20"/>
          <w:u w:val="none"/>
        </w:rPr>
        <w:t>Trước khi phân tích, toàn bộ 26.613 phản hồi (Q24/Q25/Q26 từ 6 nhóm) được phân loại theo Taxonomy 40 nhãn con. Tỷ lệ phân loại thành công và phân bố độ dài phản hồi là hai chỉ báo tâm lý tổ chức độc lập, không kém phần quan trọng so với nội dung.</w:t>
      </w:r>
    </w:p>
    <w:p>
      <w:pPr>
        <w:spacing w:before="160" w:after="60"/>
      </w:pPr>
      <w:r>
        <w:rPr>
          <w:rFonts w:ascii="Arial" w:hAnsi="Arial"/>
          <w:b/>
          <w:i w:val="0"/>
          <w:color w:val="2E75B6"/>
          <w:sz w:val="24"/>
          <w:u w:val="none"/>
        </w:rPr>
        <w:t>1.1 · Phân loại thành công theo nhóm (taxonomy 40 nhãn con)</w:t>
      </w:r>
    </w:p>
    <w:tbl>
      <w:tblPr>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70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Nhóm</w:t>
            </w:r>
          </w:p>
        </w:tc>
        <w:tc>
          <w:tcPr>
            <w:tcW w:type="dxa" w:w="141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Tổng phản hồi</w:t>
            </w:r>
          </w:p>
        </w:tc>
        <w:tc>
          <w:tcPr>
            <w:tcW w:type="dxa" w:w="141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Đã phân loại</w:t>
            </w:r>
          </w:p>
        </w:tc>
        <w:tc>
          <w:tcPr>
            <w:tcW w:type="dxa" w:w="113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Tỷ lệ</w:t>
              <w:br/>
              <w:t>phân loại</w:t>
            </w:r>
          </w:p>
        </w:tc>
        <w:tc>
          <w:tcPr>
            <w:tcW w:type="dxa" w:w="113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Chưa phân loại</w:t>
            </w:r>
          </w:p>
        </w:tc>
        <w:tc>
          <w:tcPr>
            <w:tcW w:type="dxa" w:w="3118"/>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Lý do chưa phân loại</w:t>
            </w:r>
          </w:p>
        </w:tc>
        <w:tc>
          <w:tcPr>
            <w:tcW w:type="dxa" w:w="141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Tỷ lệ</w:t>
              <w:br/>
              <w:t>im lặng Q25</w:t>
            </w:r>
          </w:p>
        </w:tc>
      </w:tr>
      <w:tr>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 Shipper</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14.909</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3.227</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21,6%</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11.682 (78,4%)</w:t>
            </w:r>
          </w:p>
        </w:tc>
        <w:tc>
          <w:tcPr>
            <w:tcW w:type="dxa" w:w="3118"/>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Phần lớn là phản hồi 1–5 từ không có ngữ cảnh: 'vui vẻ', 'thu nhập', 'thoải mái'</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35,6%</w:t>
            </w:r>
          </w:p>
        </w:tc>
      </w:tr>
      <w:tr>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1B — Tài xế</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918</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235</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25,6%</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683 (74,4%)</w:t>
            </w:r>
          </w:p>
        </w:tc>
        <w:tc>
          <w:tcPr>
            <w:tcW w:type="dxa" w:w="3118"/>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Tương tự 1A — câu ngắn, lo sợ bị nhận dạng</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45,8%</w:t>
            </w:r>
          </w:p>
        </w:tc>
      </w:tr>
      <w:tr>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2A — Kho vận</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7.828</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2.559</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32,7%</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5.269 (67,3%)</w:t>
            </w:r>
          </w:p>
        </w:tc>
        <w:tc>
          <w:tcPr>
            <w:tcW w:type="dxa" w:w="3118"/>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Nhiều câu mô tả trải nghiệm tích cực ngắn không khớp keyword</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8,3%</w:t>
            </w:r>
          </w:p>
        </w:tc>
      </w:tr>
      <w:tr>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2B — QL Tuyến đầu</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900</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436</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48,4%</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464 (51,6%)</w:t>
            </w:r>
          </w:p>
        </w:tc>
        <w:tc>
          <w:tcPr>
            <w:tcW w:type="dxa" w:w="3118"/>
            <w:shd w:val="clear" w:color="auto" w:fill="E2EFDA"/>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Câu dài, nhiều nhãn — unclassified là câu phức tạp, không phải ngắn</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3,2%</w:t>
            </w:r>
          </w:p>
        </w:tc>
      </w:tr>
      <w:tr>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3A — Văn phòng</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1.788</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787</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44,0%</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1.001 (56,0%)</w:t>
            </w:r>
          </w:p>
        </w:tc>
        <w:tc>
          <w:tcPr>
            <w:tcW w:type="dxa" w:w="3118"/>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Nhiều câu mô tả văn hóa và cảm xúc khó gán nhãn keyword</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6,3%</w:t>
            </w:r>
          </w:p>
        </w:tc>
      </w:tr>
      <w:tr>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3B — Lãnh đạo</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270</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147</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54,4%</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123 (45,6%)</w:t>
            </w:r>
          </w:p>
        </w:tc>
        <w:tc>
          <w:tcPr>
            <w:tcW w:type="dxa" w:w="3118"/>
            <w:shd w:val="clear" w:color="auto" w:fill="E2EFDA"/>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Câu chiến lược trừu tượng, ít keyword cụ thể</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9,4%</w:t>
            </w:r>
          </w:p>
        </w:tc>
      </w:tr>
      <w:tr>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TỔNG</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26.613</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7.391</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27,8%</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19.222 (72,2%)</w:t>
            </w:r>
          </w:p>
        </w:tc>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Phần lớn là 1–3 từ không ngữ cảnh hoặc câu tích cực ngắn</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~21%</w:t>
            </w:r>
          </w:p>
        </w:tc>
      </w:tr>
    </w:tbl>
    <w:p/>
    <w:tbl>
      <w:tblPr>
        <w:tblW w:type="auto" w:w="0"/>
        <w:jc w:val="left"/>
        <w:tblLook w:firstColumn="1" w:firstRow="1" w:lastColumn="0" w:lastRow="0" w:noHBand="0" w:noVBand="1" w:val="04A0"/>
      </w:tblPr>
      <w:tblGrid>
        <w:gridCol w:w="9072"/>
      </w:tblGrid>
      <w:tr>
        <w:tc>
          <w:tcPr>
            <w:tcW w:type="dxa" w:w="9072"/>
            <w:shd w:val="clear" w:color="auto" w:fill="FFF2CC"/>
            <w:tcMar>
              <w:top w:w="100" w:type="dxa"/>
              <w:bottom w:w="100" w:type="dxa"/>
              <w:left w:w="150" w:type="dxa"/>
              <w:right w:w="150" w:type="dxa"/>
            </w:tcMar>
          </w:tcPr>
          <w:p>
            <w:pPr>
              <w:spacing w:before="0" w:after="0"/>
            </w:pPr>
            <w:r>
              <w:rPr>
                <w:rFonts w:ascii="Arial" w:hAnsi="Arial"/>
                <w:b w:val="0"/>
                <w:i/>
                <w:color w:val="7F6000"/>
                <w:sz w:val="19"/>
                <w:u w:val="none"/>
              </w:rPr>
              <w:t>📌  GHI CHÚ PHƯƠNG PHÁP: Tỷ lệ 72,2% 'chưa phân loại' phản ánh đặc điểm ngôn ngữ của khảo sát tuyến đầu — không phải lỗi phân tích. Phản hồi 1–3 từ như 'vui vẻ', 'thu nhập', 'thoải mái' không đủ ngữ cảnh để gán nhãn chính xác, nhưng chính sự xuất hiện của chúng phản ánh một tín hiệu: nhân viên đang kiệm lời — hoặc vì sợ, hoặc vì đã không còn tin rằng viết nhiều có ích gì. Cả hai đều cần được đọc là tín hiệu tâm lý tổ chức.</w:t>
            </w:r>
          </w:p>
        </w:tc>
      </w:tr>
    </w:tbl>
    <w:p/>
    <w:p>
      <w:pPr>
        <w:spacing w:before="160" w:after="60"/>
      </w:pPr>
      <w:r>
        <w:rPr>
          <w:rFonts w:ascii="Arial" w:hAnsi="Arial"/>
          <w:b/>
          <w:i w:val="0"/>
          <w:color w:val="2E75B6"/>
          <w:sz w:val="24"/>
          <w:u w:val="none"/>
        </w:rPr>
        <w:t>1.2 · Phân tích 50 mẫu phản hồi 'chưa phân loại' — Phân tầng thực tế</w:t>
      </w:r>
    </w:p>
    <w:tbl>
      <w:tblPr>
        <w:tblW w:type="auto" w:w="0"/>
        <w:jc w:val="left"/>
        <w:tblLook w:firstColumn="1" w:firstRow="1" w:lastColumn="0" w:lastRow="0" w:noHBand="0" w:noVBand="1" w:val="04A0"/>
      </w:tblPr>
      <w:tblGrid>
        <w:gridCol w:w="2268"/>
        <w:gridCol w:w="2268"/>
        <w:gridCol w:w="2268"/>
        <w:gridCol w:w="2268"/>
      </w:tblGrid>
      <w:tr>
        <w:tc>
          <w:tcPr>
            <w:tcW w:type="dxa" w:w="255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Loại phản hồi chưa phân loại</w:t>
            </w:r>
          </w:p>
        </w:tc>
        <w:tc>
          <w:tcPr>
            <w:tcW w:type="dxa" w:w="141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Tỷ lệ ước tính</w:t>
            </w:r>
          </w:p>
        </w:tc>
        <w:tc>
          <w:tcPr>
            <w:tcW w:type="dxa" w:w="255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Ví dụ thực tế</w:t>
            </w:r>
          </w:p>
        </w:tc>
        <w:tc>
          <w:tcPr>
            <w:tcW w:type="dxa" w:w="3402"/>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Ý nghĩa tâm lý</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Phản hồi 1–3 từ — tích cực ngắn</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~40%</w:t>
            </w:r>
          </w:p>
        </w:tc>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'vui vẻ'; 'thoải mái'; 'ổn'</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Trả lời cho có — không đầu tư cảm xúc vào khảo sát</w:t>
            </w:r>
          </w:p>
        </w:tc>
      </w:tr>
      <w:tr>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Phản hồi 1–3 từ — trung lập/mơ hồ</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~25%</w:t>
            </w:r>
          </w:p>
        </w:tc>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'thu nhập'; 'đồng nghiệp'; 'quản lý'</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Muốn nói nhưng không biết diễn đạt — hoặc sợ bị đọc kỹ</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Phản hồi 'không ý kiến' rõ ràng</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w:t>
            </w:r>
          </w:p>
        </w:tc>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'không ý kiến'; 'không có gì'; 'ổn hết'</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Survey Cynicism — đã từ bỏ kỳ vọng vào khảo sát</w:t>
            </w:r>
          </w:p>
        </w:tc>
      </w:tr>
      <w:tr>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Phản hồi có nội dung nhưng keyword không khớp</w:t>
            </w:r>
          </w:p>
        </w:tc>
        <w:tc>
          <w:tcPr>
            <w:tcW w:type="dxa" w:w="141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w:t>
            </w:r>
          </w:p>
        </w:tc>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'công ty ghn nên cho nhân viên pttt được nghỉ ngơi 1 tuần 1 ngày ạ'</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Có nội dung thực sự — cần phân loại thủ công / NLP nâng cao</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Phản hồi lỗi ký tự / không đọc được</w:t>
            </w:r>
          </w:p>
        </w:tc>
        <w:tc>
          <w:tcPr>
            <w:tcW w:type="dxa" w:w="141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'noiluc'; 'tang thu nhap'; chữ bị mất dấu</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Rào cản kỹ thuật — điện thoại cũ, không có bàn phím dấu</w:t>
            </w:r>
          </w:p>
        </w:tc>
      </w:tr>
    </w:tbl>
    <w:p/>
    <w:tbl>
      <w:tblPr>
        <w:tblW w:type="auto" w:w="0"/>
        <w:jc w:val="left"/>
        <w:tblLook w:firstColumn="1" w:firstRow="1" w:lastColumn="0" w:lastRow="0" w:noHBand="0" w:noVBand="1" w:val="04A0"/>
      </w:tblPr>
      <w:tblGrid>
        <w:gridCol w:w="9072"/>
      </w:tblGrid>
      <w:tr>
        <w:tc>
          <w:tcPr>
            <w:tcW w:type="dxa" w:w="9072"/>
            <w:shd w:val="clear" w:color="auto" w:fill="BDD7EE"/>
            <w:tcMar>
              <w:top w:w="100" w:type="dxa"/>
              <w:bottom w:w="100" w:type="dxa"/>
              <w:left w:w="150" w:type="dxa"/>
              <w:right w:w="150" w:type="dxa"/>
            </w:tcMar>
          </w:tcPr>
          <w:p>
            <w:pPr>
              <w:spacing w:before="0" w:after="0"/>
            </w:pPr>
            <w:r>
              <w:rPr>
                <w:rFonts w:ascii="Arial" w:hAnsi="Arial"/>
                <w:b w:val="0"/>
                <w:i/>
                <w:color w:val="1F4E79"/>
                <w:sz w:val="19"/>
                <w:u w:val="none"/>
              </w:rPr>
              <w:t>💡  PHÁT HIỆN: Câu 'Công ty GHN nên cho nhân viên PTTT được nghỉ ngơi 1 tuần 1 ngày ạ, một năm mà làm 360 ngày liên tục thì sức lực đâu mà cống hiến cho GHN nữa?' bị đánh dấu 'chưa phân loại' vì không khớp keyword đơn giản. Nhưng đây là tín hiệu BURNOUT_NoRest + INCOME_Fairness + ATTRITION_Intent rõ ràng nhất trong toàn bộ dataset — nhắc nhở rằng keyword matching cần được bổ sung bằng đọc thủ công các câu dài &gt;100 ký tự.</w:t>
            </w:r>
          </w:p>
        </w:tc>
      </w:tr>
    </w:tbl>
    <w:p/>
    <w:p>
      <w:r>
        <w:br w:type="page"/>
      </w:r>
    </w:p>
    <w:p>
      <w:pPr>
        <w:jc w:val="left"/>
        <w:spacing w:before="240" w:after="80"/>
        <w:pBdr>
          <w:bottom w:val="single" w:sz="16" w:space="1" w:color="1F4E79"/>
        </w:pBdr>
      </w:pPr>
      <w:r>
        <w:rPr>
          <w:rFonts w:ascii="Arial" w:hAnsi="Arial"/>
          <w:b/>
          <w:i w:val="0"/>
          <w:color w:val="1F4E79"/>
          <w:sz w:val="28"/>
          <w:u w:val="none"/>
        </w:rPr>
        <w:t>PHẦN 2 · Hệ thống Nhãn và Phân phối Thực tế</w:t>
      </w:r>
    </w:p>
    <w:p>
      <w:pPr>
        <w:spacing w:before="160" w:after="60"/>
      </w:pPr>
      <w:r>
        <w:rPr>
          <w:rFonts w:ascii="Arial" w:hAnsi="Arial"/>
          <w:b/>
          <w:i w:val="0"/>
          <w:color w:val="2E75B6"/>
          <w:sz w:val="24"/>
          <w:u w:val="none"/>
        </w:rPr>
        <w:t>2.1 · Top 20 nhãn con toàn công ty — từ dữ liệu thực tế (n=26.613)</w:t>
      </w:r>
    </w:p>
    <w:tbl>
      <w:tblPr>
        <w:tblW w:type="auto" w:w="0"/>
        <w:jc w:val="left"/>
        <w:tblLook w:firstColumn="1" w:firstRow="1" w:lastColumn="0" w:lastRow="0" w:noHBand="0" w:noVBand="1" w:val="04A0"/>
      </w:tblPr>
      <w:tblGrid>
        <w:gridCol w:w="1814"/>
        <w:gridCol w:w="1814"/>
        <w:gridCol w:w="1814"/>
        <w:gridCol w:w="1814"/>
        <w:gridCol w:w="1814"/>
      </w:tblGrid>
      <w:tr>
        <w:tc>
          <w:tcPr>
            <w:tcW w:type="dxa" w:w="3118"/>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Nhãn con</w:t>
            </w:r>
          </w:p>
        </w:tc>
        <w:tc>
          <w:tcPr>
            <w:tcW w:type="dxa" w:w="2268"/>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Danh mục chính</w:t>
            </w:r>
          </w:p>
        </w:tc>
        <w:tc>
          <w:tcPr>
            <w:tcW w:type="dxa" w:w="85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Tổng</w:t>
            </w:r>
          </w:p>
        </w:tc>
        <w:tc>
          <w:tcPr>
            <w:tcW w:type="dxa" w:w="85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 tổng</w:t>
            </w:r>
          </w:p>
        </w:tc>
        <w:tc>
          <w:tcPr>
            <w:tcW w:type="dxa" w:w="3402"/>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Ý nghĩa chính</w:t>
            </w:r>
          </w:p>
        </w:tc>
      </w:tr>
      <w:tr>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ENV_Team (Đồng đội &amp; môi trường)</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WORKING_ENVIRONMENT</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2.519</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9,5%</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Yếu tố tích cực số 1 — giữ chân nhân viên</w:t>
            </w:r>
          </w:p>
        </w:tc>
      </w:tr>
      <w:tr>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MGR_Support (Hỗ trợ từ quản lý)</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MANAGER_EFFECTIVENESS</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1.699</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6,4%</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Cả tích cực lẫn tiêu cực — phân tách theo nhóm</w:t>
            </w:r>
          </w:p>
        </w:tc>
      </w:tr>
      <w:tr>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ENV_Condition (Điều kiện làm việc vật lý)</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WORKING_ENVIRONMENT</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976</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3,7%</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Kho, bưu cục nóng/chật; an toàn lao động</w:t>
            </w:r>
          </w:p>
        </w:tc>
      </w:tr>
      <w:tr>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INCOME_Transparency (Minh bạch thu nhập)</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INCOME_AND_REWARD</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562</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2,1%</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1A+2A+2B+3A đều lo — vấn đề toàn công ty</w:t>
            </w:r>
          </w:p>
        </w:tc>
      </w:tr>
      <w:tr>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BURNOUT_Overload (Quá tải công việc)</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WORKLOAD_AND_BURNOUT</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505</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1,9%</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Nặng nhất tại 2B (8,6%) và 2A (2,2%)</w:t>
            </w:r>
          </w:p>
        </w:tc>
      </w:tr>
      <w:tr>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INCOME_Penalty (Phạt &amp; Truy thu)</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INCOME_AND_REWARD</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462</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1,7%</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305 phản hồi — vấn đề nhức nhối nhất tuyến đầu</w:t>
            </w:r>
          </w:p>
        </w:tc>
      </w:tr>
      <w:tr>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INCOME_Stability (Ổn định thu nhập)</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INCOME_AND_REWARD</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403</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Thu nhập bấp bênh — 2A và 1A chịu ảnh hưởng nặng</w:t>
            </w:r>
          </w:p>
        </w:tc>
      </w:tr>
      <w:tr>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CAREER_Learning (Đào tạo &amp; học hỏi)</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CAREER_AND_DEVELOPMENT</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396</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Cầu cao tại 3B (18,5%) và 3A (7,3%)</w:t>
            </w:r>
          </w:p>
        </w:tc>
      </w:tr>
      <w:tr>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POS_Flexibility (Tự chủ thời gian)</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POSITIVE_EXPERIENCE</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377</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Lý do ở lại số 1 của nhóm 1A/1B</w:t>
            </w:r>
          </w:p>
        </w:tc>
      </w:tr>
      <w:tr>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POS_Belonging (Gắn bó &amp; thuộc về)</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POSITIVE_EXPERIENCE</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362</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Yếu tố giữ chân thứ 2 sau đồng nghiệp</w:t>
            </w:r>
          </w:p>
        </w:tc>
      </w:tr>
      <w:tr>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INCOME_Benefits (Phúc lợi &amp; đãi ngộ)</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INCOME_AND_REWARD</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331</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1,2%</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Tích cực tại 3B; kêu thiếu tại 2A</w:t>
            </w:r>
          </w:p>
        </w:tc>
      </w:tr>
      <w:tr>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OPS_Process (Quy trình &amp; thủ tục)</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OPERATION_AND_SYSTEM</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302</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1,1%</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2B nặng nhất (8,6%) — báo cáo hành chính quá nhiều</w:t>
            </w:r>
          </w:p>
        </w:tc>
      </w:tr>
      <w:tr>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BURNOUT_Physical (Kiệt sức thể chất)</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WORKLOAD_AND_BURNOUT</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137</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0,5%</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1A/1B — làm liên tục không nghỉ</w:t>
            </w:r>
          </w:p>
        </w:tc>
      </w:tr>
      <w:tr>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CAREER_Path (Lộ trình thăng tiến)</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CAREER_AND_DEVELOPMENT</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129</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0,5%</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3A (46), 2A (34) — thiếu đường lên rõ ràng</w:t>
            </w:r>
          </w:p>
        </w:tc>
      </w:tr>
      <w:tr>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INCOME_Fairness (Công bằng thu nhập)</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INCOME_AND_REWARD</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114</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0,4%</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Cảm nhận bất công — xuất hiện ở tất cả nhóm</w:t>
            </w:r>
          </w:p>
        </w:tc>
      </w:tr>
      <w:tr>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ENV_Safety (An toàn lao động)</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WORKING_ENVIRONMENT</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111</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0,4%</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1B cao nhất (1,7%) — rủi ro giao thông tài xế</w:t>
            </w:r>
          </w:p>
        </w:tc>
      </w:tr>
      <w:tr>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MGR_Recognition (Ghi nhận của QL)</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MANAGER_EFFECTIVENESS</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73</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0,3%</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Thiếu được khen, thiếu công nhận nỗ lực</w:t>
            </w:r>
          </w:p>
        </w:tc>
      </w:tr>
      <w:tr>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BURNOUT_Motivation (Mất động lực)</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WORKLOAD_AND_BURNOUT</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63</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0,2%</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'mưu sinh' — giai đoạn burnout cuối</w:t>
            </w:r>
          </w:p>
        </w:tc>
      </w:tr>
      <w:tr>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OPS_PDA (Thiết bị PDA)</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OPERATION_AND_SYSTEM</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45</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0,2%</w:t>
            </w:r>
          </w:p>
        </w:tc>
        <w:tc>
          <w:tcPr>
            <w:tcW w:type="dxa" w:w="340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2A: 40 phản hồi — PDA hỏng cản vận hành</w:t>
            </w:r>
          </w:p>
        </w:tc>
      </w:tr>
      <w:tr>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TRUST_Leadership (Niềm tin lãnh đạo)</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TRUST_AND_ORGANIZATION</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40</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0,2%</w:t>
            </w:r>
          </w:p>
        </w:tc>
        <w:tc>
          <w:tcPr>
            <w:tcW w:type="dxa" w:w="340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Thấp — cần theo dõi kết hợp với Q26 silence</w:t>
            </w:r>
          </w:p>
        </w:tc>
      </w:tr>
    </w:tbl>
    <w:p/>
    <w:p>
      <w:pPr>
        <w:spacing w:before="160" w:after="60"/>
      </w:pPr>
      <w:r>
        <w:rPr>
          <w:rFonts w:ascii="Arial" w:hAnsi="Arial"/>
          <w:b/>
          <w:i w:val="0"/>
          <w:color w:val="2E75B6"/>
          <w:sz w:val="24"/>
          <w:u w:val="none"/>
        </w:rPr>
        <w:t>2.2 · Ma trận danh mục chính theo nhóm — Bản đồ vấn đề</w:t>
      </w:r>
    </w:p>
    <w:tbl>
      <w:tblPr>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2835"/>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Danh mục chính</w:t>
            </w:r>
          </w:p>
        </w:tc>
        <w:tc>
          <w:tcPr>
            <w:tcW w:type="dxa" w:w="124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1A</w:t>
              <w:br/>
              <w:t>(n=14.909)</w:t>
            </w:r>
          </w:p>
        </w:tc>
        <w:tc>
          <w:tcPr>
            <w:tcW w:type="dxa" w:w="124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1B</w:t>
              <w:br/>
              <w:t>(n=918)</w:t>
            </w:r>
          </w:p>
        </w:tc>
        <w:tc>
          <w:tcPr>
            <w:tcW w:type="dxa" w:w="124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2A</w:t>
              <w:br/>
              <w:t>(n=7.828)</w:t>
            </w:r>
          </w:p>
        </w:tc>
        <w:tc>
          <w:tcPr>
            <w:tcW w:type="dxa" w:w="124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2B</w:t>
              <w:br/>
              <w:t>(n=900)</w:t>
            </w:r>
          </w:p>
        </w:tc>
        <w:tc>
          <w:tcPr>
            <w:tcW w:type="dxa" w:w="124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3A</w:t>
              <w:br/>
              <w:t>(n=1.788)</w:t>
            </w:r>
          </w:p>
        </w:tc>
        <w:tc>
          <w:tcPr>
            <w:tcW w:type="dxa" w:w="124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3B</w:t>
              <w:br/>
              <w:t>(n=270)</w:t>
            </w:r>
          </w:p>
        </w:tc>
      </w:tr>
      <w:tr>
        <w:tc>
          <w:tcPr>
            <w:tcW w:type="dxa" w:w="283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WORKING_ENVIRONMENT</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10,9%</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13,5%</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18,7%</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13,7%</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14,0%</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11,5%</w:t>
            </w:r>
          </w:p>
        </w:tc>
      </w:tr>
      <w:tr>
        <w:tc>
          <w:tcPr>
            <w:tcW w:type="dxa" w:w="283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INCOME_AND_REWARD</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5,2%</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7,0%</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7,2%</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20,1%</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11,7%</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27,8%</w:t>
            </w:r>
          </w:p>
        </w:tc>
      </w:tr>
      <w:tr>
        <w:tc>
          <w:tcPr>
            <w:tcW w:type="dxa" w:w="283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MANAGER_EFFECTIVENESS</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4,5%</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5,0%</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7,9%</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15,1%</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16,4%</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5,9%</w:t>
            </w:r>
          </w:p>
        </w:tc>
      </w:tr>
      <w:tr>
        <w:tc>
          <w:tcPr>
            <w:tcW w:type="dxa" w:w="283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WORKLOAD_AND_BURNOUT</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2,0%</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2,4%</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3,6%</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9,8%</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3,9%</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3,3%</w:t>
            </w:r>
          </w:p>
        </w:tc>
      </w:tr>
      <w:tr>
        <w:tc>
          <w:tcPr>
            <w:tcW w:type="dxa" w:w="283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CAREER_AND_DEVELOPMENT</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0,7%</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0,7%</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8,9%</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10,1%</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23,3%</w:t>
            </w:r>
          </w:p>
        </w:tc>
      </w:tr>
      <w:tr>
        <w:tc>
          <w:tcPr>
            <w:tcW w:type="dxa" w:w="283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OPERATION_AND_SYSTEM</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0,3%</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0,5%</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8,9%</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5,6%</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5,9%</w:t>
            </w:r>
          </w:p>
        </w:tc>
      </w:tr>
      <w:tr>
        <w:tc>
          <w:tcPr>
            <w:tcW w:type="dxa" w:w="283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POSITIVE_EXPERIENCE</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2,0%</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2,0%</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3,7%</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8,0%</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4,3%</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4,8%</w:t>
            </w:r>
          </w:p>
        </w:tc>
      </w:tr>
      <w:tr>
        <w:tc>
          <w:tcPr>
            <w:tcW w:type="dxa" w:w="283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TRUST_AND_ORGANIZATION</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0,1%</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0,2%</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0,2%</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0,8%</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0,5%</w:t>
            </w:r>
          </w:p>
        </w:tc>
        <w:tc>
          <w:tcPr>
            <w:tcW w:type="dxa" w:w="1247"/>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2,2%</w:t>
            </w:r>
          </w:p>
        </w:tc>
      </w:tr>
      <w:tr>
        <w:tc>
          <w:tcPr>
            <w:tcW w:type="dxa" w:w="283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ATTRITION_SIGNAL</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0,1%</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0,2%</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0,6%</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0,1%</w:t>
            </w:r>
          </w:p>
        </w:tc>
        <w:tc>
          <w:tcPr>
            <w:tcW w:type="dxa" w:w="1247"/>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0,4%</w:t>
            </w:r>
          </w:p>
        </w:tc>
      </w:tr>
    </w:tbl>
    <w:p/>
    <w:p>
      <w:pPr>
        <w:spacing w:before="0" w:after="50"/>
      </w:pPr>
      <w:r>
        <w:rPr>
          <w:rFonts w:ascii="Arial" w:hAnsi="Arial"/>
          <w:b w:val="0"/>
          <w:i w:val="0"/>
          <w:sz w:val="20"/>
          <w:u w:val="none"/>
        </w:rPr>
        <w:t>Đọc theo cột để thấy bức tranh nội tâm từng nhóm: 1A/1B lo nhất về Môi trường &amp; Thu nhập (income penalty là 2% của 1A); 2A lo nhất về Môi trường vật lý và Hỗ trợ quản lý; 2B vừa lo Thu nhập (20,1%) vừa lo Quy trình (8,9%) vừa kiệt sức (9,8%); 3A tập trung vào Quản lý (16,4%) và Phát triển (10,1%); 3B nổi bật nhất về Thu nhập (27,8%) và Phát triển nghề nghiệp (23,3%).</w:t>
      </w:r>
    </w:p>
    <w:p>
      <w:r>
        <w:br w:type="page"/>
      </w:r>
    </w:p>
    <w:p>
      <w:pPr>
        <w:jc w:val="left"/>
        <w:spacing w:before="240" w:after="80"/>
        <w:pBdr>
          <w:bottom w:val="single" w:sz="16" w:space="1" w:color="1F4E79"/>
        </w:pBdr>
      </w:pPr>
      <w:r>
        <w:rPr>
          <w:rFonts w:ascii="Arial" w:hAnsi="Arial"/>
          <w:b/>
          <w:i w:val="0"/>
          <w:color w:val="1F4E79"/>
          <w:sz w:val="28"/>
          <w:u w:val="none"/>
        </w:rPr>
        <w:t>PHẦN 3 · Phân tích Chuyên sâu — Từng Nhãn Quan trọng</w:t>
      </w:r>
    </w:p>
    <w:p>
      <w:pPr>
        <w:spacing w:before="160" w:after="60"/>
      </w:pPr>
      <w:r>
        <w:rPr>
          <w:rFonts w:ascii="Arial" w:hAnsi="Arial"/>
          <w:b/>
          <w:i w:val="0"/>
          <w:color w:val="2E75B6"/>
          <w:sz w:val="24"/>
          <w:u w:val="none"/>
        </w:rPr>
        <w:t>3.1 · INCOME_Penalty — Phạt &amp; Truy thu: 462 phản hồi (1,7%)</w:t>
      </w:r>
    </w:p>
    <w:p>
      <w:pPr>
        <w:spacing w:before="0" w:after="50"/>
      </w:pPr>
      <w:r>
        <w:rPr>
          <w:rFonts w:ascii="Arial" w:hAnsi="Arial"/>
          <w:b w:val="0"/>
          <w:i w:val="0"/>
          <w:sz w:val="20"/>
          <w:u w:val="none"/>
        </w:rPr>
        <w:t>Đây là nhãn bị phân loại SAI trong phiên bản trước — bị xếp vào 'Unclassified_Negative'. Sau khi tách ra thành sub-label riêng, INCOME_Penalty xuất hiện 462 lần và là vấn đề tiêu cực rõ ràng nhất của Nhóm 1A: 305 phản hồi (66% tổng INCOME_Penalty đến từ Shipper).</w:t>
      </w:r>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Nhóm</w:t>
            </w:r>
          </w:p>
        </w:tc>
        <w:tc>
          <w:tcPr>
            <w:tcW w:type="dxa" w:w="170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Số phản hồi</w:t>
            </w:r>
          </w:p>
        </w:tc>
        <w:tc>
          <w:tcPr>
            <w:tcW w:type="dxa" w:w="170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 trong nhóm</w:t>
            </w:r>
          </w:p>
        </w:tc>
        <w:tc>
          <w:tcPr>
            <w:tcW w:type="dxa" w:w="4819"/>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Cường độ cảm xúc</w:t>
            </w:r>
          </w:p>
        </w:tc>
      </w:tr>
      <w:tr>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 Shipper</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305</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2,0%</w:t>
            </w:r>
          </w:p>
        </w:tc>
        <w:tc>
          <w:tcPr>
            <w:tcW w:type="dxa" w:w="4819"/>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Tức giận — 'phạt vô lý', 'phạt oan', 'phạt tùy tiện'</w:t>
            </w:r>
          </w:p>
        </w:tc>
      </w:tr>
      <w:tr>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2A — Kho vận</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106</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w:t>
            </w:r>
          </w:p>
        </w:tc>
        <w:tc>
          <w:tcPr>
            <w:tcW w:type="dxa" w:w="4819"/>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Bức xúc — 'truy thu đơn hàng mất/hư không công bằng'</w:t>
            </w:r>
          </w:p>
        </w:tc>
      </w:tr>
      <w:tr>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2B — QL Tuyến đầu</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27</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3,0%</w:t>
            </w:r>
          </w:p>
        </w:tc>
        <w:tc>
          <w:tcPr>
            <w:tcW w:type="dxa" w:w="4819"/>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Lo ngại — ảnh hưởng đến nhân viên dưới quyền</w:t>
            </w:r>
          </w:p>
        </w:tc>
      </w:tr>
      <w:tr>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3A — Văn phòng</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0,8%</w:t>
            </w:r>
          </w:p>
        </w:tc>
        <w:tc>
          <w:tcPr>
            <w:tcW w:type="dxa" w:w="4819"/>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Trung lập — đề cập như gợi ý cải thiện chính sách</w:t>
            </w:r>
          </w:p>
        </w:tc>
      </w:tr>
      <w:tr>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3B — Lãnh đạo</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w:t>
            </w:r>
          </w:p>
        </w:tc>
        <w:tc>
          <w:tcPr>
            <w:tcW w:type="dxa" w:w="4819"/>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Chiến lược — nhìn nhận là vấn đề hệ thống</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"Phạt vô lý, tik bẩn cs lên phiếu vô lý, bị khiếu nại xàm, phạt vô lý nhưng ko cho gỡ. Trừ thu nhập thì lẹ, hoàn thu nhập thì ko thấy."</w:t>
            </w:r>
          </w:p>
          <w:p>
            <w:pPr>
              <w:spacing w:before="0" w:after="0"/>
            </w:pPr>
            <w:r>
              <w:rPr>
                <w:rFonts w:ascii="Arial" w:hAnsi="Arial"/>
                <w:b w:val="0"/>
                <w:i w:val="0"/>
                <w:color w:val="2E75B6"/>
                <w:sz w:val="18"/>
                <w:u w:val="none"/>
              </w:rPr>
              <w:t>— Nhóm 1A — Shipper [INCOME_Penalty + INCOME_Transparency — phản hồi điển hình nhất]</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"Ở chỗ: một mã đơn mà bị trừ thu nhập hai lần, cách nhau ba ngày."</w:t>
            </w:r>
          </w:p>
          <w:p>
            <w:pPr>
              <w:spacing w:before="0" w:after="0"/>
            </w:pPr>
            <w:r>
              <w:rPr>
                <w:rFonts w:ascii="Arial" w:hAnsi="Arial"/>
                <w:b w:val="0"/>
                <w:i w:val="0"/>
                <w:color w:val="2E75B6"/>
                <w:sz w:val="18"/>
                <w:u w:val="none"/>
              </w:rPr>
              <w:t>— Nhóm 1A — Shipper [Lỗi hệ thống kép — thiếu cơ chế kiểm tra trùng lặp]</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"Phạt sai klkt rất tùy tiện."</w:t>
            </w:r>
          </w:p>
          <w:p>
            <w:pPr>
              <w:spacing w:before="0" w:after="0"/>
            </w:pPr>
            <w:r>
              <w:rPr>
                <w:rFonts w:ascii="Arial" w:hAnsi="Arial"/>
                <w:b w:val="0"/>
                <w:i w:val="0"/>
                <w:color w:val="2E75B6"/>
                <w:sz w:val="18"/>
                <w:u w:val="none"/>
              </w:rPr>
              <w:t>— Nhóm 1A — Shipper [KLKT = Kiểm lỗi kỹ thuật — quy trình phạt không có bộ lọc hợp lý]</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"Được cái thu nhập thấp mà phạt nhiều."</w:t>
            </w:r>
          </w:p>
          <w:p>
            <w:pPr>
              <w:spacing w:before="0" w:after="0"/>
            </w:pPr>
            <w:r>
              <w:rPr>
                <w:rFonts w:ascii="Arial" w:hAnsi="Arial"/>
                <w:b w:val="0"/>
                <w:i w:val="0"/>
                <w:color w:val="2E75B6"/>
                <w:sz w:val="18"/>
                <w:u w:val="none"/>
              </w:rPr>
              <w:t>— Nhóm 1A — Shipper [Cảm nhận: thu nhập thấp + phạt nhiều = không còn gì để gắn bó]</w:t>
            </w:r>
          </w:p>
        </w:tc>
      </w:tr>
    </w:tbl>
    <w:p/>
    <w:p>
      <w:pPr>
        <w:spacing w:before="100" w:after="40"/>
      </w:pPr>
      <w:r>
        <w:rPr>
          <w:rFonts w:ascii="Arial" w:hAnsi="Arial"/>
          <w:b/>
          <w:i w:val="0"/>
          <w:color w:val="ED7D31"/>
          <w:sz w:val="22"/>
          <w:u w:val="none"/>
        </w:rPr>
        <w:t xml:space="preserve">▶ </w:t>
      </w:r>
      <w:r>
        <w:rPr>
          <w:rFonts w:ascii="Arial" w:hAnsi="Arial"/>
          <w:b/>
          <w:i w:val="0"/>
          <w:color w:val="404040"/>
          <w:sz w:val="22"/>
          <w:u w:val="none"/>
        </w:rPr>
        <w:t>Nguyên nhân gốc rễ của INCOME_Penalty</w:t>
      </w:r>
    </w:p>
    <w:p>
      <w:pPr>
        <w:pStyle w:val="ListBullet"/>
        <w:spacing w:before="0" w:after="28"/>
      </w:pPr>
      <w:r>
        <w:rPr>
          <w:rFonts w:ascii="Arial" w:hAnsi="Arial"/>
          <w:b w:val="0"/>
          <w:i w:val="0"/>
          <w:sz w:val="20"/>
          <w:u w:val="none"/>
        </w:rPr>
        <w:t>Hệ thống tính phạt tự động không có cơ chế phản đối hiệu quả: nhân viên bị trừ trước, khiếu nại sau — nhưng quy trình hoàn tiền chậm hoặc không xảy ra. Đây là mất cân bằng quyền lực cấu trúc.</w:t>
      </w:r>
    </w:p>
    <w:p>
      <w:pPr>
        <w:pStyle w:val="ListBullet"/>
        <w:spacing w:before="0" w:after="28"/>
      </w:pPr>
      <w:r>
        <w:rPr>
          <w:rFonts w:ascii="Arial" w:hAnsi="Arial"/>
          <w:b w:val="0"/>
          <w:i w:val="0"/>
          <w:sz w:val="20"/>
          <w:u w:val="none"/>
        </w:rPr>
        <w:t>Phạt dựa trên kết quả (outcome-based) thay vì phạt dựa trên hành vi (behavior-based): nhân viên bị phạt vì đơn hàng thất bại — dù nguyên nhân có thể là địa chỉ sai của khách, khách không nhận, hay lỗi hệ thống.</w:t>
      </w:r>
    </w:p>
    <w:p>
      <w:pPr>
        <w:pStyle w:val="ListBullet"/>
        <w:spacing w:before="0" w:after="28"/>
      </w:pPr>
      <w:r>
        <w:rPr>
          <w:rFonts w:ascii="Arial" w:hAnsi="Arial"/>
          <w:b w:val="0"/>
          <w:i w:val="0"/>
          <w:sz w:val="20"/>
          <w:u w:val="none"/>
        </w:rPr>
        <w:t>Thiếu minh bạch thời gian thực: nhân viên không biết đang bị phạt vì lý do gì cho đến khi nhận lương — gây bất ngờ tài chính hàng tháng là nguồn stress tích lũy.</w:t>
      </w:r>
    </w:p>
    <w:tbl>
      <w:tblPr>
        <w:tblW w:type="auto" w:w="0"/>
        <w:jc w:val="left"/>
        <w:tblLook w:firstColumn="1" w:firstRow="1" w:lastColumn="0" w:lastRow="0" w:noHBand="0" w:noVBand="1" w:val="04A0"/>
      </w:tblPr>
      <w:tblGrid>
        <w:gridCol w:w="9072"/>
      </w:tblGrid>
      <w:tr>
        <w:tc>
          <w:tcPr>
            <w:tcW w:type="dxa" w:w="9072"/>
            <w:shd w:val="clear" w:color="auto" w:fill="E2EFDA"/>
            <w:tcMar>
              <w:top w:w="100" w:type="dxa"/>
              <w:bottom w:w="100" w:type="dxa"/>
              <w:left w:w="150" w:type="dxa"/>
              <w:right w:w="150" w:type="dxa"/>
            </w:tcMar>
          </w:tcPr>
          <w:p>
            <w:pPr>
              <w:spacing w:before="0" w:after="0"/>
            </w:pPr>
            <w:r>
              <w:rPr>
                <w:rFonts w:ascii="Arial" w:hAnsi="Arial"/>
                <w:b w:val="0"/>
                <w:i/>
                <w:color w:val="375623"/>
                <w:sz w:val="19"/>
                <w:u w:val="none"/>
              </w:rPr>
              <w:t>🎯  HÀNH ĐỘNG: Cơ chế Khiếu nại Phạt Online (In-App Dispute) cho phép nhân viên gắn cờ phạt trong vòng 24h với lý do — hệ thống tự hold khoản khấu trừ trong khi OM/AM xem xét. Mục tiêu: 80% khiếu nại được giải quyết trong 48h.</w:t>
            </w:r>
          </w:p>
        </w:tc>
      </w:tr>
    </w:tbl>
    <w:p/>
    <w:p>
      <w:pPr>
        <w:spacing w:before="160" w:after="60"/>
      </w:pPr>
      <w:r>
        <w:rPr>
          <w:rFonts w:ascii="Arial" w:hAnsi="Arial"/>
          <w:b/>
          <w:i w:val="0"/>
          <w:color w:val="2E75B6"/>
          <w:sz w:val="24"/>
          <w:u w:val="none"/>
        </w:rPr>
        <w:t>3.2 · INCOME_Transparency — Minh bạch Thu nhập: 562 phản hồi (2,1%)</w:t>
      </w:r>
    </w:p>
    <w:p>
      <w:pPr>
        <w:spacing w:before="0" w:after="50"/>
      </w:pPr>
      <w:r>
        <w:rPr>
          <w:rFonts w:ascii="Arial" w:hAnsi="Arial"/>
          <w:b w:val="0"/>
          <w:i w:val="0"/>
          <w:sz w:val="20"/>
          <w:u w:val="none"/>
        </w:rPr>
        <w:t>Xuất hiện ở tất cả 6 nhóm — là vấn đề xuyên suốt từ Shipper đến Lãnh đạo. Điều đáng chú ý: nhãn này bao gồm cả phản hồi tích cực ('thu nhập minh bạch, rõ ràng') và tiêu cực ('không hiểu cách tính lương') — cho thấy đây vừa là điểm mạnh tại một số bưu cục, vừa là điểm đau tại nhiều nơi khác. Không đồng đều là vấn đề hệ thống.</w:t>
      </w:r>
    </w:p>
    <w:tbl>
      <w:tblPr>
        <w:tblW w:type="auto" w:w="0"/>
        <w:jc w:val="left"/>
        <w:tblLook w:firstColumn="1" w:firstRow="1" w:lastColumn="0" w:lastRow="0" w:noHBand="0" w:noVBand="1" w:val="04A0"/>
      </w:tblPr>
      <w:tblGrid>
        <w:gridCol w:w="2268"/>
        <w:gridCol w:w="2268"/>
        <w:gridCol w:w="2268"/>
        <w:gridCol w:w="2268"/>
      </w:tblGrid>
      <w:tr>
        <w:tc>
          <w:tcPr>
            <w:tcW w:type="dxa" w:w="198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Nhóm</w:t>
            </w:r>
          </w:p>
        </w:tc>
        <w:tc>
          <w:tcPr>
            <w:tcW w:type="dxa" w:w="170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Số phản hồi</w:t>
            </w:r>
          </w:p>
        </w:tc>
        <w:tc>
          <w:tcPr>
            <w:tcW w:type="dxa" w:w="198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 tiêu cực ước tính</w:t>
            </w:r>
          </w:p>
        </w:tc>
        <w:tc>
          <w:tcPr>
            <w:tcW w:type="dxa" w:w="4536"/>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Vấn đề cụ thể</w:t>
            </w:r>
          </w:p>
        </w:tc>
      </w:tr>
      <w:tr>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 Shipper</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165</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~70%</w:t>
            </w:r>
          </w:p>
        </w:tc>
        <w:tc>
          <w:tcPr>
            <w:tcW w:type="dxa" w:w="4536"/>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Không hiểu công thức tính thu nhập trên App; không biết đơn bị trừ tại sao</w:t>
            </w:r>
          </w:p>
        </w:tc>
      </w:tr>
      <w:tr>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1B — Tài xế</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30</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~60%</w:t>
            </w:r>
          </w:p>
        </w:tc>
        <w:tc>
          <w:tcPr>
            <w:tcW w:type="dxa" w:w="4536"/>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Lịch thanh toán không rõ; phụ cấp xăng tính sai</w:t>
            </w:r>
          </w:p>
        </w:tc>
      </w:tr>
      <w:tr>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2A — Kho vận</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155</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~65%</w:t>
            </w:r>
          </w:p>
        </w:tc>
        <w:tc>
          <w:tcPr>
            <w:tcW w:type="dxa" w:w="4536"/>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Công thức OT không được giải thích; thu nhập thực tế thấp hơn thông báo</w:t>
            </w:r>
          </w:p>
        </w:tc>
      </w:tr>
      <w:tr>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2B — QL Tuyến đầu</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78</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~50%</w:t>
            </w:r>
          </w:p>
        </w:tc>
        <w:tc>
          <w:tcPr>
            <w:tcW w:type="dxa" w:w="4536"/>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Tích cực lẫn tiêu cực — một số am hiểu, một số bức xúc</w:t>
            </w:r>
          </w:p>
        </w:tc>
      </w:tr>
      <w:tr>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3A — Văn phòng</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105</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~55%</w:t>
            </w:r>
          </w:p>
        </w:tc>
        <w:tc>
          <w:tcPr>
            <w:tcW w:type="dxa" w:w="4536"/>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Không hiểu tại sao mức tăng lương không đều; tiêu chí xét lương không rõ</w:t>
            </w:r>
          </w:p>
        </w:tc>
      </w:tr>
      <w:tr>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3B — Lãnh đạo</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29</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~40%</w:t>
            </w:r>
          </w:p>
        </w:tc>
        <w:tc>
          <w:tcPr>
            <w:tcW w:type="dxa" w:w="4536"/>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Lo ngại về cơ chế lương không cạnh tranh thị trường dài hạn</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"Cho tôi biết chính xác về phần trăm thu nhập của tôi."</w:t>
            </w:r>
          </w:p>
          <w:p>
            <w:pPr>
              <w:spacing w:before="0" w:after="0"/>
            </w:pPr>
            <w:r>
              <w:rPr>
                <w:rFonts w:ascii="Arial" w:hAnsi="Arial"/>
                <w:b w:val="0"/>
                <w:i w:val="0"/>
                <w:color w:val="2E75B6"/>
                <w:sz w:val="18"/>
                <w:u w:val="none"/>
              </w:rPr>
              <w:t>— Nhóm 1A — Shipper [Yêu cầu đơn giản nhất — không phải tăng lương, chỉ cần biết rõ]</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"Thu nhập phúc lợi phạt chi tiết từng ngày rõ ràng."</w:t>
            </w:r>
          </w:p>
          <w:p>
            <w:pPr>
              <w:spacing w:before="0" w:after="0"/>
            </w:pPr>
            <w:r>
              <w:rPr>
                <w:rFonts w:ascii="Arial" w:hAnsi="Arial"/>
                <w:b w:val="0"/>
                <w:i w:val="0"/>
                <w:color w:val="2E75B6"/>
                <w:sz w:val="18"/>
                <w:u w:val="none"/>
              </w:rPr>
              <w:t>— Nhóm 1A — Shipper [Q24 — họ đánh giá cao khi được minh bạch — xác nhận đây là nhu cầu thực]</w:t>
            </w:r>
          </w:p>
        </w:tc>
      </w:tr>
    </w:tbl>
    <w:p/>
    <w:p>
      <w:pPr>
        <w:spacing w:before="160" w:after="60"/>
      </w:pPr>
      <w:r>
        <w:rPr>
          <w:rFonts w:ascii="Arial" w:hAnsi="Arial"/>
          <w:b/>
          <w:i w:val="0"/>
          <w:color w:val="2E75B6"/>
          <w:sz w:val="24"/>
          <w:u w:val="none"/>
        </w:rPr>
        <w:t>3.3 · BURNOUT_Overload (505) + BURNOUT_NoRest (18) — Kiệt sức theo cấu trúc</w:t>
      </w:r>
    </w:p>
    <w:p>
      <w:pPr>
        <w:spacing w:before="0" w:after="50"/>
      </w:pPr>
      <w:r>
        <w:rPr>
          <w:rFonts w:ascii="Arial" w:hAnsi="Arial"/>
          <w:b w:val="0"/>
          <w:i w:val="0"/>
          <w:sz w:val="20"/>
          <w:u w:val="none"/>
        </w:rPr>
        <w:t>BURNOUT_Overload xuất hiện 505 lần — nặng nhất tại 2B (8,6%) và 2A (2,2%). BURNOUT_NoRest chỉ có 18 phản hồi trong dữ liệu phân loại tự động, nhưng khi đọc thủ công, ẩn trong Unclassified có ít nhất 30–50 câu mô tả rõ ràng tình trạng không có ngày nghỉ — đặc biệt câu 'làm 360 ngày không ngừng'.</w:t>
      </w:r>
    </w:p>
    <w:tbl>
      <w:tblPr>
        <w:tblW w:type="auto" w:w="0"/>
        <w:jc w:val="left"/>
        <w:tblLook w:firstColumn="1" w:firstRow="1" w:lastColumn="0" w:lastRow="0" w:noHBand="0" w:noVBand="1" w:val="04A0"/>
      </w:tblPr>
      <w:tblGrid>
        <w:gridCol w:w="1814"/>
        <w:gridCol w:w="1814"/>
        <w:gridCol w:w="1814"/>
        <w:gridCol w:w="1814"/>
        <w:gridCol w:w="1814"/>
      </w:tblGrid>
      <w:tr>
        <w:tc>
          <w:tcPr>
            <w:tcW w:type="dxa" w:w="198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Loại kiệt sức</w:t>
            </w:r>
          </w:p>
        </w:tc>
        <w:tc>
          <w:tcPr>
            <w:tcW w:type="dxa" w:w="170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Nhóm nặng nhất</w:t>
            </w:r>
          </w:p>
        </w:tc>
        <w:tc>
          <w:tcPr>
            <w:tcW w:type="dxa" w:w="113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Số phản hồi</w:t>
            </w:r>
          </w:p>
        </w:tc>
        <w:tc>
          <w:tcPr>
            <w:tcW w:type="dxa" w:w="1417"/>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Cường độ</w:t>
            </w:r>
          </w:p>
        </w:tc>
        <w:tc>
          <w:tcPr>
            <w:tcW w:type="dxa" w:w="4252"/>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Dẫn chứng</w:t>
            </w:r>
          </w:p>
        </w:tc>
      </w:tr>
      <w:tr>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BURNOUT_Overload</w:t>
              <w:br/>
              <w:t>(Quá tải vai trò)</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2B (77 phản hồi, 8,6%)</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505</w:t>
            </w:r>
          </w:p>
        </w:tc>
        <w:tc>
          <w:tcPr>
            <w:tcW w:type="dxa" w:w="1417"/>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Nghiêm trọng — cấu trúc</w:t>
            </w:r>
          </w:p>
        </w:tc>
        <w:tc>
          <w:tcPr>
            <w:tcW w:type="dxa" w:w="425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'Với vai trò quản lý khu vực, xử lý khối lượng công việc rất lớn, kiêm nhiệm nhiều phần công việc'</w:t>
            </w:r>
          </w:p>
        </w:tc>
      </w:tr>
      <w:tr>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BURNOUT_Physical</w:t>
              <w:br/>
              <w:t>(Kiệt sức thể chất)</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(46), 2A (76)</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137</w:t>
            </w:r>
          </w:p>
        </w:tc>
        <w:tc>
          <w:tcPr>
            <w:tcW w:type="dxa" w:w="1417"/>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Mạn tính</w:t>
            </w:r>
          </w:p>
        </w:tc>
        <w:tc>
          <w:tcPr>
            <w:tcW w:type="dxa" w:w="425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'Mệt mỏi thể xác'; 'vất vả nặng nhọc'; 'đau chân'</w:t>
            </w:r>
          </w:p>
        </w:tc>
      </w:tr>
      <w:tr>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BURNOUT_Motivation</w:t>
              <w:br/>
              <w:t>(Mất động lực)</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(40)</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63</w:t>
            </w:r>
          </w:p>
        </w:tc>
        <w:tc>
          <w:tcPr>
            <w:tcW w:type="dxa" w:w="1417"/>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Giai đoạn cuối</w:t>
            </w:r>
          </w:p>
        </w:tc>
        <w:tc>
          <w:tcPr>
            <w:tcW w:type="dxa" w:w="425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'Chỉ là mưu sinh'; 'không còn hứng thú'; 'qua ngày đoạn tháng'</w:t>
            </w:r>
          </w:p>
        </w:tc>
      </w:tr>
      <w:tr>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BURNOUT_Emotional</w:t>
              <w:br/>
              <w:t>(Kiệt sức tinh thần)</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2B (5), 3A (5)</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46</w:t>
            </w:r>
          </w:p>
        </w:tc>
        <w:tc>
          <w:tcPr>
            <w:tcW w:type="dxa" w:w="1417"/>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Theo dõi</w:t>
            </w:r>
          </w:p>
        </w:tc>
        <w:tc>
          <w:tcPr>
            <w:tcW w:type="dxa" w:w="425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'Stress'; 'căng thẳng'; 'chán nản'; 'lo lắng'</w:t>
            </w:r>
          </w:p>
        </w:tc>
      </w:tr>
      <w:tr>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BURNOUT_NoRest</w:t>
              <w:br/>
              <w:t>(Không có ngày nghỉ)</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(6), 2A (10)</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18 (tối thiểu)</w:t>
            </w:r>
          </w:p>
        </w:tc>
        <w:tc>
          <w:tcPr>
            <w:tcW w:type="dxa" w:w="1417"/>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Vi phạm quyền lao động</w:t>
            </w:r>
          </w:p>
        </w:tc>
        <w:tc>
          <w:tcPr>
            <w:tcW w:type="dxa" w:w="425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'Làm miết không có ngày nghỉ'; 'đăng ký nghỉ cũng không cho nghỉ'; 'một năm làm 360 ngày'</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"Công ty GHN nên cho nhân viên PTTT được nghỉ ngơi 1 tuần 1 ngày ạ, một năm mà làm 360 ngày liên tục thì sức lực đâu mà cống hiến cho GHN nữa?"</w:t>
            </w:r>
          </w:p>
          <w:p>
            <w:pPr>
              <w:spacing w:before="0" w:after="0"/>
            </w:pPr>
            <w:r>
              <w:rPr>
                <w:rFonts w:ascii="Arial" w:hAnsi="Arial"/>
                <w:b w:val="0"/>
                <w:i w:val="0"/>
                <w:color w:val="2E75B6"/>
                <w:sz w:val="18"/>
                <w:u w:val="none"/>
              </w:rPr>
              <w:t>— Nhóm 1A — Shipper [Câu quan trọng nhất về BURNOUT_NoRest — viết dài, viết đúng, viết thật]</w:t>
            </w:r>
          </w:p>
        </w:tc>
      </w:tr>
    </w:tbl>
    <w:p/>
    <w:tbl>
      <w:tblPr>
        <w:tblW w:type="auto" w:w="0"/>
        <w:jc w:val="left"/>
        <w:tblLook w:firstColumn="1" w:firstRow="1" w:lastColumn="0" w:lastRow="0" w:noHBand="0" w:noVBand="1" w:val="04A0"/>
      </w:tblPr>
      <w:tblGrid>
        <w:gridCol w:w="9072"/>
      </w:tblGrid>
      <w:tr>
        <w:tc>
          <w:tcPr>
            <w:tcW w:type="dxa" w:w="9072"/>
            <w:shd w:val="clear" w:color="auto" w:fill="FFE0E0"/>
            <w:tcMar>
              <w:top w:w="100" w:type="dxa"/>
              <w:bottom w:w="100" w:type="dxa"/>
              <w:left w:w="150" w:type="dxa"/>
              <w:right w:w="150" w:type="dxa"/>
            </w:tcMar>
          </w:tcPr>
          <w:p>
            <w:pPr>
              <w:spacing w:before="0" w:after="0"/>
            </w:pPr>
            <w:r>
              <w:rPr>
                <w:rFonts w:ascii="Arial" w:hAnsi="Arial"/>
                <w:b w:val="0"/>
                <w:i/>
                <w:color w:val="C00000"/>
                <w:sz w:val="19"/>
                <w:u w:val="none"/>
              </w:rPr>
              <w:t>⚠️  CẢNH BÁO PHÁP LÝ: 'Làm 360 ngày không nghỉ' — nếu đúng như phản hồi này mô tả, đây là vi phạm Bộ luật Lao động (Điều 111 — nhân viên có quyền ít nhất 1 ngày nghỉ/tuần). Cần audit ngay tại các bưu cục có báo cáo này trước khi trở thành rủi ro pháp lý.</w:t>
            </w:r>
          </w:p>
        </w:tc>
      </w:tr>
    </w:tbl>
    <w:p/>
    <w:p>
      <w:pPr>
        <w:spacing w:before="160" w:after="60"/>
      </w:pPr>
      <w:r>
        <w:rPr>
          <w:rFonts w:ascii="Arial" w:hAnsi="Arial"/>
          <w:b/>
          <w:i w:val="0"/>
          <w:color w:val="2E75B6"/>
          <w:sz w:val="24"/>
          <w:u w:val="none"/>
        </w:rPr>
        <w:t>3.4 · MGR_Support (1.699) và sự phân hóa Chất lượng Quản lý</w:t>
      </w:r>
    </w:p>
    <w:p>
      <w:pPr>
        <w:spacing w:before="0" w:after="50"/>
      </w:pPr>
      <w:r>
        <w:rPr>
          <w:rFonts w:ascii="Arial" w:hAnsi="Arial"/>
          <w:b w:val="0"/>
          <w:i w:val="0"/>
          <w:sz w:val="20"/>
          <w:u w:val="none"/>
        </w:rPr>
        <w:t>MGR_Support là nhãn quản lý xuất hiện nhiều nhất — 1.699 lần. Tuy nhiên, nhãn này KHÔNG đồng nhất: phần lớn tại Nhóm 1A và 2A là TÍCH CỰC ('quản lý hỗ trợ nhiệt tình', 'quản lý tốt'); còn tại 2B và 3A là YÊU CẦU hỗ trợ nhiều hơn. Đây là ví dụ điển hình tại sao phân tích keyword-only không đủ — cần đọc ngữ cảnh.</w:t>
      </w:r>
    </w:p>
    <w:tbl>
      <w:tblPr>
        <w:tblW w:type="auto" w:w="0"/>
        <w:jc w:val="left"/>
        <w:tblLook w:firstColumn="1" w:firstRow="1" w:lastColumn="0" w:lastRow="0" w:noHBand="0" w:noVBand="1" w:val="04A0"/>
      </w:tblPr>
      <w:tblGrid>
        <w:gridCol w:w="2268"/>
        <w:gridCol w:w="2268"/>
        <w:gridCol w:w="2268"/>
        <w:gridCol w:w="2268"/>
      </w:tblGrid>
      <w:tr>
        <w:tc>
          <w:tcPr>
            <w:tcW w:type="dxa" w:w="255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Nhãn quản lý</w:t>
            </w:r>
          </w:p>
        </w:tc>
        <w:tc>
          <w:tcPr>
            <w:tcW w:type="dxa" w:w="170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Số phản hồi</w:t>
            </w:r>
          </w:p>
        </w:tc>
        <w:tc>
          <w:tcPr>
            <w:tcW w:type="dxa" w:w="170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 tích cực</w:t>
              <w:br/>
              <w:t>(ước tính)</w:t>
            </w:r>
          </w:p>
        </w:tc>
        <w:tc>
          <w:tcPr>
            <w:tcW w:type="dxa" w:w="4819"/>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Đặc điểm</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MGR_Support (Hỗ trợ)</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1.699</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60% tích cực / 40% tiêu cực</w:t>
            </w:r>
          </w:p>
        </w:tc>
        <w:tc>
          <w:tcPr>
            <w:tcW w:type="dxa" w:w="4819"/>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Tích cực tại 1A/2A; tiêu cực tại 2B (cần được hỗ trợ từ trên)</w:t>
            </w:r>
          </w:p>
        </w:tc>
      </w:tr>
      <w:tr>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MGR_Recognition (Ghi nhận)</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73</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~30% tích cực</w:t>
            </w:r>
          </w:p>
        </w:tc>
        <w:tc>
          <w:tcPr>
            <w:tcW w:type="dxa" w:w="4819"/>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Chủ yếu là than thở về thiếu được ghi nhận</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MGR_Fairness (Công bằng)</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 tích cực</w:t>
            </w:r>
          </w:p>
        </w:tc>
        <w:tc>
          <w:tcPr>
            <w:tcW w:type="dxa" w:w="4819"/>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Ít nhưng rõ ràng — phân biệt đối xử rõ ràng</w:t>
            </w:r>
          </w:p>
        </w:tc>
      </w:tr>
      <w:tr>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MGR_Capability (Năng lực)</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 (keyword match)</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w:t>
            </w:r>
          </w:p>
        </w:tc>
        <w:tc>
          <w:tcPr>
            <w:tcW w:type="dxa" w:w="4819"/>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Keyword không khớp — thực tế có trong unclassified</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MGR_Behavior (Hành vi)</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 (keyword match)</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w:t>
            </w:r>
          </w:p>
        </w:tc>
        <w:tc>
          <w:tcPr>
            <w:tcW w:type="dxa" w:w="4819"/>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Câu 'chửi lộn' trong unclassified chưa được bắt</w:t>
            </w:r>
          </w:p>
        </w:tc>
      </w:tr>
    </w:tbl>
    <w:p/>
    <w:tbl>
      <w:tblPr>
        <w:tblW w:type="auto" w:w="0"/>
        <w:jc w:val="left"/>
        <w:tblLook w:firstColumn="1" w:firstRow="1" w:lastColumn="0" w:lastRow="0" w:noHBand="0" w:noVBand="1" w:val="04A0"/>
      </w:tblPr>
      <w:tblGrid>
        <w:gridCol w:w="9072"/>
      </w:tblGrid>
      <w:tr>
        <w:tc>
          <w:tcPr>
            <w:tcW w:type="dxa" w:w="9072"/>
            <w:shd w:val="clear" w:color="auto" w:fill="FFF2CC"/>
            <w:tcMar>
              <w:top w:w="100" w:type="dxa"/>
              <w:bottom w:w="100" w:type="dxa"/>
              <w:left w:w="150" w:type="dxa"/>
              <w:right w:w="150" w:type="dxa"/>
            </w:tcMar>
          </w:tcPr>
          <w:p>
            <w:pPr>
              <w:spacing w:before="0" w:after="0"/>
            </w:pPr>
            <w:r>
              <w:rPr>
                <w:rFonts w:ascii="Arial" w:hAnsi="Arial"/>
                <w:b w:val="0"/>
                <w:i/>
                <w:color w:val="7F6000"/>
                <w:sz w:val="19"/>
                <w:u w:val="none"/>
              </w:rPr>
              <w:t>💡  GHI CHÚ TAXONOMY: MGR_Capability và MGR_Behavior trả về 0 vì keyword như 'quản lý yếu' không xuất hiện — nhân viên dùng 'quản lý tệ', 'sếp dở', 'không biết gì'. Câu 'chửi lộn' (hành vi xúc phạm từ quản lý) nằm trong Unclassified. Đây là taxonomy gap cần bổ sung trong lần phân tích tiếp theo.</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"Chửi lộn."</w:t>
            </w:r>
          </w:p>
          <w:p>
            <w:pPr>
              <w:spacing w:before="0" w:after="0"/>
            </w:pPr>
            <w:r>
              <w:rPr>
                <w:rFonts w:ascii="Arial" w:hAnsi="Arial"/>
                <w:b w:val="0"/>
                <w:i w:val="0"/>
                <w:color w:val="2E75B6"/>
                <w:sz w:val="18"/>
                <w:u w:val="none"/>
              </w:rPr>
              <w:t>— Nhóm 1A — Shipper [Q33 — 2 từ mô tả hành vi quản lý xúc phạm; nằm trong Unclassified vì thiếu keyword MGR_Behavior]</w:t>
            </w:r>
          </w:p>
        </w:tc>
      </w:tr>
    </w:tbl>
    <w:p/>
    <w:p>
      <w:pPr>
        <w:spacing w:before="160" w:after="60"/>
      </w:pPr>
      <w:r>
        <w:rPr>
          <w:rFonts w:ascii="Arial" w:hAnsi="Arial"/>
          <w:b/>
          <w:i w:val="0"/>
          <w:color w:val="2E75B6"/>
          <w:sz w:val="24"/>
          <w:u w:val="none"/>
        </w:rPr>
        <w:t>3.5 · CAREER — Phát triển nghề nghiệp: Phân hóa sắc nét theo nhóm</w:t>
      </w:r>
    </w:p>
    <w:tbl>
      <w:tblPr>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255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Nhãn phát triển</w:t>
            </w:r>
          </w:p>
        </w:tc>
        <w:tc>
          <w:tcPr>
            <w:tcW w:type="dxa" w:w="68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1A</w:t>
            </w:r>
          </w:p>
        </w:tc>
        <w:tc>
          <w:tcPr>
            <w:tcW w:type="dxa" w:w="68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1B</w:t>
            </w:r>
          </w:p>
        </w:tc>
        <w:tc>
          <w:tcPr>
            <w:tcW w:type="dxa" w:w="68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2A</w:t>
            </w:r>
          </w:p>
        </w:tc>
        <w:tc>
          <w:tcPr>
            <w:tcW w:type="dxa" w:w="68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2B</w:t>
            </w:r>
          </w:p>
        </w:tc>
        <w:tc>
          <w:tcPr>
            <w:tcW w:type="dxa" w:w="68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3A</w:t>
            </w:r>
          </w:p>
        </w:tc>
        <w:tc>
          <w:tcPr>
            <w:tcW w:type="dxa" w:w="68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3B</w:t>
            </w:r>
          </w:p>
        </w:tc>
        <w:tc>
          <w:tcPr>
            <w:tcW w:type="dxa" w:w="3969"/>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Ý nghĩa</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CAREER_Learning (Đào tạo)</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85</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66</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62</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131</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50</w:t>
            </w:r>
          </w:p>
        </w:tc>
        <w:tc>
          <w:tcPr>
            <w:tcW w:type="dxa" w:w="3969"/>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3B khao khát học tập AI/tech nhất; 3A muốn đào tạo có cấu trúc</w:t>
            </w:r>
          </w:p>
        </w:tc>
      </w:tr>
      <w:tr>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CAREER_Path (Lộ trình)</w:t>
            </w:r>
          </w:p>
        </w:tc>
        <w:tc>
          <w:tcPr>
            <w:tcW w:type="dxa" w:w="68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19</w:t>
            </w:r>
          </w:p>
        </w:tc>
        <w:tc>
          <w:tcPr>
            <w:tcW w:type="dxa" w:w="68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68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34</w:t>
            </w:r>
          </w:p>
        </w:tc>
        <w:tc>
          <w:tcPr>
            <w:tcW w:type="dxa" w:w="68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16</w:t>
            </w:r>
          </w:p>
        </w:tc>
        <w:tc>
          <w:tcPr>
            <w:tcW w:type="dxa" w:w="68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46</w:t>
            </w:r>
          </w:p>
        </w:tc>
        <w:tc>
          <w:tcPr>
            <w:tcW w:type="dxa" w:w="68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11</w:t>
            </w:r>
          </w:p>
        </w:tc>
        <w:tc>
          <w:tcPr>
            <w:tcW w:type="dxa" w:w="3969"/>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3A và 2A không thấy đường lên — Career Ceiling rõ ràng</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CAREER_Mobility (Luân chuyển)</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68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w:t>
            </w:r>
          </w:p>
        </w:tc>
        <w:tc>
          <w:tcPr>
            <w:tcW w:type="dxa" w:w="3969"/>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Ít nhưng rõ nhu cầu — Job Rotation chưa được thiết kế chính thức</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"GHN đã rất giỏi trong việc tạo ra quản lý từ thực chiến. Nhưng với nhu cầu hiện tại phải vừa giỏi thực chiến vừa giỏi công nghệ mới, AI..."</w:t>
            </w:r>
          </w:p>
          <w:p>
            <w:pPr>
              <w:spacing w:before="0" w:after="0"/>
            </w:pPr>
            <w:r>
              <w:rPr>
                <w:rFonts w:ascii="Arial" w:hAnsi="Arial"/>
                <w:b w:val="0"/>
                <w:i w:val="0"/>
                <w:color w:val="2E75B6"/>
                <w:sz w:val="18"/>
                <w:u w:val="none"/>
              </w:rPr>
              <w:t>— Nhóm 3B — Lãnh đạo HO [CAREER_Learning gap — họ nhận ra GHN chưa cập nhật năng lực lãnh đạo]</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"Cần có framework đào tạo kỹ năng lãnh đạo, mentoring từ cấp senior và cơ chế feedback định kỳ 360 độ."</w:t>
            </w:r>
          </w:p>
          <w:p>
            <w:pPr>
              <w:spacing w:before="0" w:after="0"/>
            </w:pPr>
            <w:r>
              <w:rPr>
                <w:rFonts w:ascii="Arial" w:hAnsi="Arial"/>
                <w:b w:val="0"/>
                <w:i w:val="0"/>
                <w:color w:val="2E75B6"/>
                <w:sz w:val="18"/>
                <w:u w:val="none"/>
              </w:rPr>
              <w:t>— Nhóm 3B — Lãnh đạo HO [Yêu cầu cụ thể, thực tế — có thể triển khai ngay Q3/2026]</w:t>
            </w:r>
          </w:p>
        </w:tc>
      </w:tr>
    </w:tbl>
    <w:p/>
    <w:p>
      <w:pPr>
        <w:spacing w:before="160" w:after="60"/>
      </w:pPr>
      <w:r>
        <w:rPr>
          <w:rFonts w:ascii="Arial" w:hAnsi="Arial"/>
          <w:b/>
          <w:i w:val="0"/>
          <w:color w:val="2E75B6"/>
          <w:sz w:val="24"/>
          <w:u w:val="none"/>
        </w:rPr>
        <w:t>3.6 · OPS_Process — Quy trình &amp; Thủ tục: 302 phản hồi (2B: 8,6%)</w:t>
      </w:r>
    </w:p>
    <w:p>
      <w:pPr>
        <w:spacing w:before="0" w:after="50"/>
      </w:pPr>
      <w:r>
        <w:rPr>
          <w:rFonts w:ascii="Arial" w:hAnsi="Arial"/>
          <w:b w:val="0"/>
          <w:i w:val="0"/>
          <w:sz w:val="20"/>
          <w:u w:val="none"/>
        </w:rPr>
        <w:t>OPS_Process là vấn đề nổi bật nhất của Nhóm 2B (77 phản hồi, 8,6%). Nhóm 2B mô tả quy trình không phải là 'thủ tục phức tạp' thông thường — mà là 'báo cáo hành chính ăn hết thời gian quản lý thực sự'. Đây là lý do trực tiếp gây BURNOUT_Overload tại nhóm này.</w:t>
      </w:r>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"Xây dựng bộ máy do mình quản lý có thể tự vận hành một cách trơn tru, tuy nhiên quá nhiều báo cáo và chỉ tiêu ngắn hạn."</w:t>
            </w:r>
          </w:p>
          <w:p>
            <w:pPr>
              <w:spacing w:before="0" w:after="0"/>
            </w:pPr>
            <w:r>
              <w:rPr>
                <w:rFonts w:ascii="Arial" w:hAnsi="Arial"/>
                <w:b w:val="0"/>
                <w:i w:val="0"/>
                <w:color w:val="2E75B6"/>
                <w:sz w:val="18"/>
                <w:u w:val="none"/>
              </w:rPr>
              <w:t>— Nhóm 2B — Quản lý Tuyến đầu [OPS_Process + BURNOUT_Overload — hai vấn đề liên kết chặt]</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"KPI có thật sự là động lực thúc đẩy năng suất của các phòng ban văn phòng không?"</w:t>
            </w:r>
          </w:p>
          <w:p>
            <w:pPr>
              <w:spacing w:before="0" w:after="0"/>
            </w:pPr>
            <w:r>
              <w:rPr>
                <w:rFonts w:ascii="Arial" w:hAnsi="Arial"/>
                <w:b w:val="0"/>
                <w:i w:val="0"/>
                <w:color w:val="2E75B6"/>
                <w:sz w:val="18"/>
                <w:u w:val="none"/>
              </w:rPr>
              <w:t>— Nhóm 3B — Lãnh đạo HO [Câu hỏi chiến lược về thiết kế hệ thống đo lường]</w:t>
            </w:r>
          </w:p>
        </w:tc>
      </w:tr>
    </w:tbl>
    <w:p/>
    <w:p>
      <w:r>
        <w:br w:type="page"/>
      </w:r>
    </w:p>
    <w:p>
      <w:pPr>
        <w:jc w:val="left"/>
        <w:spacing w:before="240" w:after="80"/>
        <w:pBdr>
          <w:bottom w:val="single" w:sz="16" w:space="1" w:color="1F4E79"/>
        </w:pBdr>
      </w:pPr>
      <w:r>
        <w:rPr>
          <w:rFonts w:ascii="Arial" w:hAnsi="Arial"/>
          <w:b/>
          <w:i w:val="0"/>
          <w:color w:val="1F4E79"/>
          <w:sz w:val="28"/>
          <w:u w:val="none"/>
        </w:rPr>
        <w:t>PHẦN 4 · Phân tích Cảm xúc — Emotional Landscape theo Nhóm</w:t>
      </w:r>
    </w:p>
    <w:tbl>
      <w:tblPr>
        <w:tblW w:type="auto" w:w="0"/>
        <w:jc w:val="left"/>
        <w:tblLook w:firstColumn="1" w:firstRow="1" w:lastColumn="0" w:lastRow="0" w:noHBand="0" w:noVBand="1" w:val="04A0"/>
      </w:tblPr>
      <w:tblGrid>
        <w:gridCol w:w="1814"/>
        <w:gridCol w:w="1814"/>
        <w:gridCol w:w="1814"/>
        <w:gridCol w:w="1814"/>
        <w:gridCol w:w="1814"/>
      </w:tblGrid>
      <w:tr>
        <w:tc>
          <w:tcPr>
            <w:tcW w:type="dxa" w:w="198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Nhóm</w:t>
            </w:r>
          </w:p>
        </w:tc>
        <w:tc>
          <w:tcPr>
            <w:tcW w:type="dxa" w:w="198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Cảm xúc chủ đạo</w:t>
            </w:r>
          </w:p>
        </w:tc>
        <w:tc>
          <w:tcPr>
            <w:tcW w:type="dxa" w:w="255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Cảm xúc ẩn</w:t>
            </w:r>
          </w:p>
        </w:tc>
        <w:tc>
          <w:tcPr>
            <w:tcW w:type="dxa" w:w="2835"/>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Tín hiệu quan trọng nhất</w:t>
            </w:r>
          </w:p>
        </w:tc>
        <w:tc>
          <w:tcPr>
            <w:tcW w:type="dxa" w:w="198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Nguy cơ</w:t>
            </w:r>
          </w:p>
        </w:tc>
      </w:tr>
      <w:tr>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 Shipper</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Chịu đựng thụ động</w:t>
              <w:br/>
              <w:t>(Survival Mode)</w:t>
            </w:r>
          </w:p>
        </w:tc>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Tức giận ẩn về phạt oan</w:t>
              <w:br/>
              <w:t>😰 Lo tài chính mạn tính</w:t>
            </w:r>
          </w:p>
        </w:tc>
        <w:tc>
          <w:tcPr>
            <w:tcW w:type="dxa" w:w="283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INCOME_Penalty 305 phản hồi</w:t>
              <w:br/>
              <w:t>'Mưu sinh' — mất ý nghĩa</w:t>
            </w:r>
          </w:p>
        </w:tc>
        <w:tc>
          <w:tcPr>
            <w:tcW w:type="dxa" w:w="1984"/>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Silent Exit — nghỉ không báo trước</w:t>
            </w:r>
          </w:p>
        </w:tc>
      </w:tr>
      <w:tr>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1B — Tài xế</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Biết ơn vì ổn định</w:t>
              <w:br/>
              <w:t>(Grateful Survivor)</w:t>
            </w:r>
          </w:p>
        </w:tc>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Lo an toàn giao thông</w:t>
              <w:br/>
              <w:t>😓 Kiệt sức lặng lẽ</w:t>
            </w:r>
          </w:p>
        </w:tc>
        <w:tc>
          <w:tcPr>
            <w:tcW w:type="dxa" w:w="283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ENV_Safety 16 (1,7%) — rủi ro thể chất cao nhất</w:t>
              <w:br/>
              <w:t>Tỷ lệ im lặng Q25: 45,8%</w:t>
            </w:r>
          </w:p>
        </w:tc>
        <w:tc>
          <w:tcPr>
            <w:tcW w:type="dxa" w:w="1984"/>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Burnout ẩn — không nói ra vì sợ</w:t>
            </w:r>
          </w:p>
        </w:tc>
      </w:tr>
      <w:tr>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2A — Kho vận</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Yêu đồng nghiệp &amp; môi trường</w:t>
              <w:br/>
              <w:t>(Team Bonded)</w:t>
            </w:r>
          </w:p>
        </w:tc>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Bức xúc thu nhập &amp; phạt</w:t>
              <w:br/>
              <w:t>😓 Mệt mỏi thể chất</w:t>
            </w:r>
          </w:p>
        </w:tc>
        <w:tc>
          <w:tcPr>
            <w:tcW w:type="dxa" w:w="283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ENV_Team 954 (12,2%) vs</w:t>
              <w:br/>
              <w:t>INCOME_Penalty 106 (1,4%)</w:t>
              <w:br/>
              <w:t>— yêu đội nhóm nhưng ghét hệ thống</w:t>
            </w:r>
          </w:p>
        </w:tc>
        <w:tc>
          <w:tcPr>
            <w:tcW w:type="dxa" w:w="1984"/>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Fragile Loyalty — ra đi nếu có lương cao hơn 10%</w:t>
            </w:r>
          </w:p>
        </w:tc>
      </w:tr>
      <w:tr>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2B — QL Tuyến đầu</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Tự hào &amp; Cam kết</w:t>
              <w:br/>
              <w:t>(Proud Absorber)</w:t>
            </w:r>
          </w:p>
        </w:tc>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Kiệt sức cấu trúc ẩn</w:t>
              <w:br/>
              <w:t>😤 Bức xúc với quy trình</w:t>
            </w:r>
          </w:p>
        </w:tc>
        <w:tc>
          <w:tcPr>
            <w:tcW w:type="dxa" w:w="283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BURNOUT_Overload 8,6% + OPS_Process 8,6%</w:t>
              <w:br/>
              <w:t>— kiệt sức kép: người và quy trình</w:t>
            </w:r>
          </w:p>
        </w:tc>
        <w:tc>
          <w:tcPr>
            <w:tcW w:type="dxa" w:w="1984"/>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Engaged Burnout — nguy hiểm nhất vì ẩn sau điểm số đẹp</w:t>
            </w:r>
          </w:p>
        </w:tc>
      </w:tr>
      <w:tr>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3A — Văn phòng</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Yêu văn hóa &amp; đồng nghiệp</w:t>
              <w:br/>
              <w:t>(Culture Attached)</w:t>
            </w:r>
          </w:p>
        </w:tc>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Thất vọng về tương lai</w:t>
              <w:br/>
              <w:t>💭 Không thấy lộ trình</w:t>
            </w:r>
          </w:p>
        </w:tc>
        <w:tc>
          <w:tcPr>
            <w:tcW w:type="dxa" w:w="283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MGR_Support 15,2% (cả tích cực lẫn đòi hỏi)</w:t>
              <w:br/>
              <w:t>+ CAREER_Path 2,6%</w:t>
            </w:r>
          </w:p>
        </w:tc>
        <w:tc>
          <w:tcPr>
            <w:tcW w:type="dxa" w:w="1984"/>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Career Exit — rời đi vì không thấy tương lai, không vì mất văn hóa</w:t>
            </w:r>
          </w:p>
        </w:tc>
      </w:tr>
      <w:tr>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3B — Lãnh đạo</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Phân tích chiến lược</w:t>
              <w:br/>
              <w:t>(Strategic Diagnose)</w:t>
            </w:r>
          </w:p>
        </w:tc>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Lo ngại hệ thống sâu</w:t>
              <w:br/>
              <w:t>🤔 Câu hỏi về tương lai GHN</w:t>
            </w:r>
          </w:p>
        </w:tc>
        <w:tc>
          <w:tcPr>
            <w:tcW w:type="dxa" w:w="283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CAREER_Learning 18,5% (cao nhất tuyệt đối)</w:t>
              <w:br/>
              <w:t>+ INCOME_AND_REWARD 27,8%</w:t>
            </w:r>
          </w:p>
        </w:tc>
        <w:tc>
          <w:tcPr>
            <w:tcW w:type="dxa" w:w="1984"/>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Strategic Frustration — biết vấn đề nhưng không có cơ chế phản ánh an toàn</w:t>
            </w:r>
          </w:p>
        </w:tc>
      </w:tr>
    </w:tbl>
    <w:p/>
    <w:p>
      <w:r>
        <w:br w:type="page"/>
      </w:r>
    </w:p>
    <w:p>
      <w:pPr>
        <w:jc w:val="left"/>
        <w:spacing w:before="240" w:after="80"/>
        <w:pBdr>
          <w:bottom w:val="single" w:sz="16" w:space="1" w:color="1F4E79"/>
        </w:pBdr>
      </w:pPr>
      <w:r>
        <w:rPr>
          <w:rFonts w:ascii="Arial" w:hAnsi="Arial"/>
          <w:b/>
          <w:i w:val="0"/>
          <w:color w:val="1F4E79"/>
          <w:sz w:val="28"/>
          <w:u w:val="none"/>
        </w:rPr>
        <w:t>PHẦN 5 · Phân tích Tín hiệu Rủi ro — Risk Signals</w:t>
      </w:r>
    </w:p>
    <w:p>
      <w:pPr>
        <w:spacing w:before="160" w:after="60"/>
      </w:pPr>
      <w:r>
        <w:rPr>
          <w:rFonts w:ascii="Arial" w:hAnsi="Arial"/>
          <w:b/>
          <w:i w:val="0"/>
          <w:color w:val="2E75B6"/>
          <w:sz w:val="24"/>
          <w:u w:val="none"/>
        </w:rPr>
        <w:t>5.1 · Ma trận Rủi ro — 6 tín hiệu × 6 nhóm</w:t>
      </w:r>
    </w:p>
    <w:tbl>
      <w:tblPr>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255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Tín hiệu rủi ro</w:t>
            </w:r>
          </w:p>
        </w:tc>
        <w:tc>
          <w:tcPr>
            <w:tcW w:type="dxa" w:w="85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1A</w:t>
            </w:r>
          </w:p>
        </w:tc>
        <w:tc>
          <w:tcPr>
            <w:tcW w:type="dxa" w:w="85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1B</w:t>
            </w:r>
          </w:p>
        </w:tc>
        <w:tc>
          <w:tcPr>
            <w:tcW w:type="dxa" w:w="85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2A</w:t>
            </w:r>
          </w:p>
        </w:tc>
        <w:tc>
          <w:tcPr>
            <w:tcW w:type="dxa" w:w="85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2B</w:t>
            </w:r>
          </w:p>
        </w:tc>
        <w:tc>
          <w:tcPr>
            <w:tcW w:type="dxa" w:w="85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3A</w:t>
            </w:r>
          </w:p>
        </w:tc>
        <w:tc>
          <w:tcPr>
            <w:tcW w:type="dxa" w:w="85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3B</w:t>
            </w:r>
          </w:p>
        </w:tc>
        <w:tc>
          <w:tcPr>
            <w:tcW w:type="dxa" w:w="3685"/>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Hành động</w:t>
            </w:r>
          </w:p>
        </w:tc>
      </w:tr>
      <w:tr>
        <w:tc>
          <w:tcPr>
            <w:tcW w:type="dxa" w:w="2551"/>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ATTRITION_Intent</w:t>
              <w:br/>
              <w:t>(Ý định nghỉ)</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9</w:t>
              <w:br/>
              <w:t>(0,1%)</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12</w:t>
              <w:br/>
              <w:t>(0,2%)</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br/>
              <w:t>(0,6%)</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368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Phỏng vấn giữ chân ngay với 2A và 2B</w:t>
            </w:r>
          </w:p>
        </w:tc>
      </w:tr>
      <w:tr>
        <w:tc>
          <w:tcPr>
            <w:tcW w:type="dxa" w:w="2551"/>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BURNOUT_Motivation</w:t>
              <w:br/>
              <w:t>(Mất động lực)</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40</w:t>
              <w:br/>
              <w:t>(0,3%)</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19</w:t>
              <w:br/>
              <w:t>(0,2%)</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w:t>
            </w:r>
          </w:p>
        </w:tc>
        <w:tc>
          <w:tcPr>
            <w:tcW w:type="dxa" w:w="368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'Mưu sinh' — can thiệp nhận thức nghề nghiệp</w:t>
            </w:r>
          </w:p>
        </w:tc>
      </w:tr>
      <w:tr>
        <w:tc>
          <w:tcPr>
            <w:tcW w:type="dxa" w:w="2551"/>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INCOME_Penalty</w:t>
              <w:br/>
              <w:t>(Phạt oan bức xúc)</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305</w:t>
              <w:br/>
              <w:t>(2,0%)</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106</w:t>
              <w:br/>
              <w:t>(1,4%)</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27</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368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Cơ chế khiếu nại In-App trong 45 ngày</w:t>
            </w:r>
          </w:p>
        </w:tc>
      </w:tr>
      <w:tr>
        <w:tc>
          <w:tcPr>
            <w:tcW w:type="dxa" w:w="2551"/>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BURNOUT_NoRest</w:t>
              <w:br/>
              <w:t>(Không có ngày nghỉ)</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10+</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368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Audit chế độ nghỉ phép ngay — rủi ro pháp lý</w:t>
            </w:r>
          </w:p>
        </w:tc>
      </w:tr>
      <w:tr>
        <w:tc>
          <w:tcPr>
            <w:tcW w:type="dxa" w:w="2551"/>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TRUST_Survey_Cynicism</w:t>
              <w:br/>
              <w:t>(Mất tin khảo sát)</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85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w:t>
            </w:r>
          </w:p>
        </w:tc>
        <w:tc>
          <w:tcPr>
            <w:tcW w:type="dxa" w:w="368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Close the Loop trong 15 ngày — ưu tiên số 1</w:t>
            </w:r>
          </w:p>
        </w:tc>
      </w:tr>
      <w:tr>
        <w:tc>
          <w:tcPr>
            <w:tcW w:type="dxa" w:w="2551"/>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CAREER_Path</w:t>
              <w:br/>
              <w:t>(Không thấy lộ trình)</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19</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34</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16</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46</w:t>
            </w:r>
          </w:p>
        </w:tc>
        <w:tc>
          <w:tcPr>
            <w:tcW w:type="dxa" w:w="85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11</w:t>
            </w:r>
          </w:p>
        </w:tc>
        <w:tc>
          <w:tcPr>
            <w:tcW w:type="dxa" w:w="368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 Ladder cho 3A và 2A trong 60 ngày</w:t>
            </w:r>
          </w:p>
        </w:tc>
      </w:tr>
    </w:tbl>
    <w:p/>
    <w:p>
      <w:pPr>
        <w:spacing w:before="160" w:after="60"/>
      </w:pPr>
      <w:r>
        <w:rPr>
          <w:rFonts w:ascii="Arial" w:hAnsi="Arial"/>
          <w:b/>
          <w:i w:val="0"/>
          <w:color w:val="2E75B6"/>
          <w:sz w:val="24"/>
          <w:u w:val="none"/>
        </w:rPr>
        <w:t>5.2 · Trích dẫn tín hiệu rủi ro nghiêm trọng nhất — Lời nhân viên</w:t>
      </w:r>
    </w:p>
    <w:p>
      <w:pPr>
        <w:spacing w:before="100" w:after="40"/>
      </w:pPr>
      <w:r>
        <w:rPr>
          <w:rFonts w:ascii="Arial" w:hAnsi="Arial"/>
          <w:b/>
          <w:i w:val="0"/>
          <w:color w:val="ED7D31"/>
          <w:sz w:val="22"/>
          <w:u w:val="none"/>
        </w:rPr>
        <w:t xml:space="preserve">▶ </w:t>
      </w:r>
      <w:r>
        <w:rPr>
          <w:rFonts w:ascii="Arial" w:hAnsi="Arial"/>
          <w:b/>
          <w:i w:val="0"/>
          <w:color w:val="404040"/>
          <w:sz w:val="22"/>
          <w:u w:val="none"/>
        </w:rPr>
        <w:t>Tín hiệu 1: Silent Exit — Mất ý nghĩa nghề nghiệp (Nhóm 1A)</w:t>
      </w:r>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"Không điểm nào thích ở đây, chỉ là cuộc sống mưu sinh nên có thôi."</w:t>
            </w:r>
          </w:p>
          <w:p>
            <w:pPr>
              <w:spacing w:before="0" w:after="0"/>
            </w:pPr>
            <w:r>
              <w:rPr>
                <w:rFonts w:ascii="Arial" w:hAnsi="Arial"/>
                <w:b w:val="0"/>
                <w:i w:val="0"/>
                <w:color w:val="2E75B6"/>
                <w:sz w:val="18"/>
                <w:u w:val="none"/>
              </w:rPr>
              <w:t>— Nhóm 1A [BURNOUT_Motivation giai đoạn cuối — không còn kết nối cảm xúc]</w:t>
            </w:r>
          </w:p>
        </w:tc>
      </w:tr>
    </w:tbl>
    <w:p/>
    <w:p>
      <w:pPr>
        <w:spacing w:before="100" w:after="40"/>
      </w:pPr>
      <w:r>
        <w:rPr>
          <w:rFonts w:ascii="Arial" w:hAnsi="Arial"/>
          <w:b/>
          <w:i w:val="0"/>
          <w:color w:val="ED7D31"/>
          <w:sz w:val="22"/>
          <w:u w:val="none"/>
        </w:rPr>
        <w:t xml:space="preserve">▶ </w:t>
      </w:r>
      <w:r>
        <w:rPr>
          <w:rFonts w:ascii="Arial" w:hAnsi="Arial"/>
          <w:b/>
          <w:i w:val="0"/>
          <w:color w:val="404040"/>
          <w:sz w:val="22"/>
          <w:u w:val="none"/>
        </w:rPr>
        <w:t>Tín hiệu 2: Vi phạm quyền lao động (Nhóm 1A — cần audit ngay)</w:t>
      </w:r>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"Không được nghỉ phép, đăng ký nghỉ cũng không cho nghỉ."</w:t>
            </w:r>
          </w:p>
          <w:p>
            <w:pPr>
              <w:spacing w:before="0" w:after="0"/>
            </w:pPr>
            <w:r>
              <w:rPr>
                <w:rFonts w:ascii="Arial" w:hAnsi="Arial"/>
                <w:b w:val="0"/>
                <w:i w:val="0"/>
                <w:color w:val="2E75B6"/>
                <w:sz w:val="18"/>
                <w:u w:val="none"/>
              </w:rPr>
              <w:t>— Nhóm 1A [BURNOUT_NoRest — cần xác minh tại các bưu cục có phản hồi tương tự]</w:t>
            </w:r>
          </w:p>
        </w:tc>
      </w:tr>
    </w:tbl>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"GHN nên cho nhân viên PTTT được nghỉ ngơi 1 tuần 1 ngày, một năm làm 360 ngày liên tục thì sức lực đâu mà cống hiến."</w:t>
            </w:r>
          </w:p>
          <w:p>
            <w:pPr>
              <w:spacing w:before="0" w:after="0"/>
            </w:pPr>
            <w:r>
              <w:rPr>
                <w:rFonts w:ascii="Arial" w:hAnsi="Arial"/>
                <w:b w:val="0"/>
                <w:i w:val="0"/>
                <w:color w:val="2E75B6"/>
                <w:sz w:val="18"/>
                <w:u w:val="none"/>
              </w:rPr>
              <w:t>— Nhóm 1A [Lời cầu cứu — không phải phàn nàn]</w:t>
            </w:r>
          </w:p>
        </w:tc>
      </w:tr>
    </w:tbl>
    <w:p/>
    <w:p>
      <w:pPr>
        <w:spacing w:before="100" w:after="40"/>
      </w:pPr>
      <w:r>
        <w:rPr>
          <w:rFonts w:ascii="Arial" w:hAnsi="Arial"/>
          <w:b/>
          <w:i w:val="0"/>
          <w:color w:val="ED7D31"/>
          <w:sz w:val="22"/>
          <w:u w:val="none"/>
        </w:rPr>
        <w:t xml:space="preserve">▶ </w:t>
      </w:r>
      <w:r>
        <w:rPr>
          <w:rFonts w:ascii="Arial" w:hAnsi="Arial"/>
          <w:b/>
          <w:i w:val="0"/>
          <w:color w:val="404040"/>
          <w:sz w:val="22"/>
          <w:u w:val="none"/>
        </w:rPr>
        <w:t>Tín hiệu 3: Engaged Burnout — Nguy hiểm ẩn (Nhóm 2B)</w:t>
      </w:r>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"Quản lý khu vực phải xử lý khối lượng công việc rất lớn, kiêm nhiệm nhiều phần công việc, xây dựng bộ máy, chịu áp lực từ nhiều phía."</w:t>
            </w:r>
          </w:p>
          <w:p>
            <w:pPr>
              <w:spacing w:before="0" w:after="0"/>
            </w:pPr>
            <w:r>
              <w:rPr>
                <w:rFonts w:ascii="Arial" w:hAnsi="Arial"/>
                <w:b w:val="0"/>
                <w:i w:val="0"/>
                <w:color w:val="2E75B6"/>
                <w:sz w:val="18"/>
                <w:u w:val="none"/>
              </w:rPr>
              <w:t>— Nhóm 2B [BURNOUT_Overload + OPS_Process — tự mô tả kiệt sức với độ chính xác cao]</w:t>
            </w:r>
          </w:p>
        </w:tc>
      </w:tr>
    </w:tbl>
    <w:p/>
    <w:p>
      <w:pPr>
        <w:spacing w:before="100" w:after="40"/>
      </w:pPr>
      <w:r>
        <w:rPr>
          <w:rFonts w:ascii="Arial" w:hAnsi="Arial"/>
          <w:b/>
          <w:i w:val="0"/>
          <w:color w:val="ED7D31"/>
          <w:sz w:val="22"/>
          <w:u w:val="none"/>
        </w:rPr>
        <w:t xml:space="preserve">▶ </w:t>
      </w:r>
      <w:r>
        <w:rPr>
          <w:rFonts w:ascii="Arial" w:hAnsi="Arial"/>
          <w:b/>
          <w:i w:val="0"/>
          <w:color w:val="404040"/>
          <w:sz w:val="22"/>
          <w:u w:val="none"/>
        </w:rPr>
        <w:t>Tín hiệu 4: Survey Cynicism — Mất niềm tin vào khảo sát</w:t>
      </w:r>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"Câu trả lời y như bài trước bài này."</w:t>
            </w:r>
          </w:p>
          <w:p>
            <w:pPr>
              <w:spacing w:before="0" w:after="0"/>
            </w:pPr>
            <w:r>
              <w:rPr>
                <w:rFonts w:ascii="Arial" w:hAnsi="Arial"/>
                <w:b w:val="0"/>
                <w:i w:val="0"/>
                <w:color w:val="2E75B6"/>
                <w:sz w:val="18"/>
                <w:u w:val="none"/>
              </w:rPr>
              <w:t>— Nhóm 1A [TRUST_Survey_Cynicism — chỉ 4 phản hồi tự nói ra, nhưng đây là tảng băng]</w:t>
            </w:r>
          </w:p>
        </w:tc>
      </w:tr>
    </w:tbl>
    <w:p/>
    <w:p>
      <w:pPr>
        <w:spacing w:before="100" w:after="40"/>
      </w:pPr>
      <w:r>
        <w:rPr>
          <w:rFonts w:ascii="Arial" w:hAnsi="Arial"/>
          <w:b/>
          <w:i w:val="0"/>
          <w:color w:val="ED7D31"/>
          <w:sz w:val="22"/>
          <w:u w:val="none"/>
        </w:rPr>
        <w:t xml:space="preserve">▶ </w:t>
      </w:r>
      <w:r>
        <w:rPr>
          <w:rFonts w:ascii="Arial" w:hAnsi="Arial"/>
          <w:b/>
          <w:i w:val="0"/>
          <w:color w:val="404040"/>
          <w:sz w:val="22"/>
          <w:u w:val="none"/>
        </w:rPr>
        <w:t>Tín hiệu 5: Career Exit — Văn phòng (Nhóm 3A)</w:t>
      </w:r>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"Không thấy cơ hội thăng tiến rõ ràng."</w:t>
            </w:r>
          </w:p>
          <w:p>
            <w:pPr>
              <w:spacing w:before="0" w:after="0"/>
            </w:pPr>
            <w:r>
              <w:rPr>
                <w:rFonts w:ascii="Arial" w:hAnsi="Arial"/>
                <w:b w:val="0"/>
                <w:i w:val="0"/>
                <w:color w:val="2E75B6"/>
                <w:sz w:val="18"/>
                <w:u w:val="none"/>
              </w:rPr>
              <w:t>— Nhóm 3A [CAREER_Path — câu ngắn nhất nhưng nặng nhất về rủi ro nghỉ việc văn phòng]</w:t>
            </w:r>
          </w:p>
        </w:tc>
      </w:tr>
    </w:tbl>
    <w:p/>
    <w:p>
      <w:pPr>
        <w:spacing w:before="100" w:after="40"/>
      </w:pPr>
      <w:r>
        <w:rPr>
          <w:rFonts w:ascii="Arial" w:hAnsi="Arial"/>
          <w:b/>
          <w:i w:val="0"/>
          <w:color w:val="ED7D31"/>
          <w:sz w:val="22"/>
          <w:u w:val="none"/>
        </w:rPr>
        <w:t xml:space="preserve">▶ </w:t>
      </w:r>
      <w:r>
        <w:rPr>
          <w:rFonts w:ascii="Arial" w:hAnsi="Arial"/>
          <w:b/>
          <w:i w:val="0"/>
          <w:color w:val="404040"/>
          <w:sz w:val="22"/>
          <w:u w:val="none"/>
        </w:rPr>
        <w:t>Tín hiệu 6: Hành vi xúc phạm từ quản lý (ẩn trong Unclassified)</w:t>
      </w:r>
    </w:p>
    <w:tbl>
      <w:tblPr>
        <w:tblW w:type="auto" w:w="0"/>
        <w:jc w:val="left"/>
        <w:tblLook w:firstColumn="1" w:firstRow="1" w:lastColumn="0" w:lastRow="0" w:noHBand="0" w:noVBand="1" w:val="04A0"/>
      </w:tblPr>
      <w:tblGrid>
        <w:gridCol w:w="9072"/>
      </w:tblGrid>
      <w:tr>
        <w:tc>
          <w:tcPr>
            <w:tcW w:type="dxa" w:w="9072"/>
            <w:shd w:val="clear" w:color="auto" w:fill="F2F2F2"/>
            <w:tcMar>
              <w:top w:w="100" w:type="dxa"/>
              <w:bottom w:w="80" w:type="dxa"/>
              <w:left w:w="200" w:type="dxa"/>
              <w:right w:w="150" w:type="dxa"/>
            </w:tcMar>
            <w:tcBorders>
              <w:left w:val="single" w:sz="16" w:space="0" w:color="2E75B6"/>
            </w:tcBorders>
          </w:tcPr>
          <w:p>
            <w:pPr>
              <w:spacing w:before="0" w:after="0"/>
            </w:pPr>
            <w:r>
              <w:rPr>
                <w:rFonts w:ascii="Arial" w:hAnsi="Arial"/>
                <w:b w:val="0"/>
                <w:i/>
                <w:color w:val="404040"/>
                <w:sz w:val="19"/>
                <w:u w:val="none"/>
              </w:rPr>
              <w:t>"Chửi lộn."</w:t>
            </w:r>
          </w:p>
          <w:p>
            <w:pPr>
              <w:spacing w:before="0" w:after="0"/>
            </w:pPr>
            <w:r>
              <w:rPr>
                <w:rFonts w:ascii="Arial" w:hAnsi="Arial"/>
                <w:b w:val="0"/>
                <w:i w:val="0"/>
                <w:color w:val="2E75B6"/>
                <w:sz w:val="18"/>
                <w:u w:val="none"/>
              </w:rPr>
              <w:t>— Nhóm 1A [Q33 — không có keyword phù hợp nên bị Unclassified; nhưng đây là MGR_Behavior nghiêm trọng]</w:t>
            </w:r>
          </w:p>
        </w:tc>
      </w:tr>
    </w:tbl>
    <w:p/>
    <w:p>
      <w:r>
        <w:br w:type="page"/>
      </w:r>
    </w:p>
    <w:p>
      <w:pPr>
        <w:jc w:val="left"/>
        <w:spacing w:before="240" w:after="80"/>
        <w:pBdr>
          <w:bottom w:val="single" w:sz="16" w:space="1" w:color="1F4E79"/>
        </w:pBdr>
      </w:pPr>
      <w:r>
        <w:rPr>
          <w:rFonts w:ascii="Arial" w:hAnsi="Arial"/>
          <w:b/>
          <w:i w:val="0"/>
          <w:color w:val="1F4E79"/>
          <w:sz w:val="28"/>
          <w:u w:val="none"/>
        </w:rPr>
        <w:t>PHẦN 6 · Ma trận Ưu tiên Hành động</w:t>
      </w:r>
    </w:p>
    <w:tbl>
      <w:tblPr>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255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Chủ đề</w:t>
            </w:r>
          </w:p>
        </w:tc>
        <w:tc>
          <w:tcPr>
            <w:tcW w:type="dxa" w:w="198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Nhóm bị ảnh hưởng</w:t>
            </w:r>
          </w:p>
        </w:tc>
        <w:tc>
          <w:tcPr>
            <w:tcW w:type="dxa" w:w="102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Tần suất</w:t>
              <w:br/>
              <w:t>(0–5)</w:t>
            </w:r>
          </w:p>
        </w:tc>
        <w:tc>
          <w:tcPr>
            <w:tcW w:type="dxa" w:w="113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Nghiêm trọng</w:t>
              <w:br/>
              <w:t>(0–5)</w:t>
            </w:r>
          </w:p>
        </w:tc>
        <w:tc>
          <w:tcPr>
            <w:tcW w:type="dxa" w:w="113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Vận hành</w:t>
              <w:br/>
              <w:t>(0–5)</w:t>
            </w:r>
          </w:p>
        </w:tc>
        <w:tc>
          <w:tcPr>
            <w:tcW w:type="dxa" w:w="113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Nghỉ việc</w:t>
              <w:br/>
              <w:t>(0–5)</w:t>
            </w:r>
          </w:p>
        </w:tc>
        <w:tc>
          <w:tcPr>
            <w:tcW w:type="dxa" w:w="102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Điểm</w:t>
              <w:br/>
              <w:t>(/20)</w:t>
            </w:r>
          </w:p>
        </w:tc>
        <w:tc>
          <w:tcPr>
            <w:tcW w:type="dxa" w:w="1360"/>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Ưu tiên</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INCOME_Penalty</w:t>
              <w:br/>
              <w:t>Cơ chế khiếu nại phạt In-App</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(305), 2A (106)</w:t>
            </w:r>
          </w:p>
        </w:tc>
        <w:tc>
          <w:tcPr>
            <w:tcW w:type="dxa" w:w="102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02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19</w:t>
            </w:r>
          </w:p>
        </w:tc>
        <w:tc>
          <w:tcPr>
            <w:tcW w:type="dxa" w:w="1360"/>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RẤT CAO</w:t>
            </w:r>
          </w:p>
        </w:tc>
      </w:tr>
      <w:tr>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BURNOUT_NoRest</w:t>
              <w:br/>
              <w:t>Audit chế độ nghỉ phép</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2A</w:t>
            </w:r>
          </w:p>
        </w:tc>
        <w:tc>
          <w:tcPr>
            <w:tcW w:type="dxa" w:w="102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02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17</w:t>
            </w:r>
          </w:p>
        </w:tc>
        <w:tc>
          <w:tcPr>
            <w:tcW w:type="dxa" w:w="1360"/>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RẤT CAO — rủi ro pháp lý</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INCOME_Transparency</w:t>
              <w:br/>
              <w:t>Dashboard thu nhập realtime App</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Tất cả 6 nhóm — 562 phản hồi</w:t>
            </w:r>
          </w:p>
        </w:tc>
        <w:tc>
          <w:tcPr>
            <w:tcW w:type="dxa" w:w="102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02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17</w:t>
            </w:r>
          </w:p>
        </w:tc>
        <w:tc>
          <w:tcPr>
            <w:tcW w:type="dxa" w:w="1360"/>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RẤT CAO</w:t>
            </w:r>
          </w:p>
        </w:tc>
      </w:tr>
      <w:tr>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TRUST_Survey_Cynicism</w:t>
              <w:br/>
              <w:t>Close the Loop trong 15 ngày</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Tất cả nhóm</w:t>
            </w:r>
          </w:p>
        </w:tc>
        <w:tc>
          <w:tcPr>
            <w:tcW w:type="dxa" w:w="102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02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17</w:t>
            </w:r>
          </w:p>
        </w:tc>
        <w:tc>
          <w:tcPr>
            <w:tcW w:type="dxa" w:w="1360"/>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RẤT CAO — nền tảng mọi hành động</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BURNOUT_Overload — 2B</w:t>
              <w:br/>
              <w:t>Giảm tải quy trình và báo cáo</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2B (77, 8,6%)</w:t>
            </w:r>
          </w:p>
        </w:tc>
        <w:tc>
          <w:tcPr>
            <w:tcW w:type="dxa" w:w="102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02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18</w:t>
            </w:r>
          </w:p>
        </w:tc>
        <w:tc>
          <w:tcPr>
            <w:tcW w:type="dxa" w:w="1360"/>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RẤT CAO</w:t>
            </w:r>
          </w:p>
        </w:tc>
      </w:tr>
      <w:tr>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OPS_PDA</w:t>
              <w:br/>
              <w:t>Thay thế thiết bị 2A</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2A (40), 2B (1)</w:t>
            </w:r>
          </w:p>
        </w:tc>
        <w:tc>
          <w:tcPr>
            <w:tcW w:type="dxa" w:w="102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02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w:t>
            </w:r>
          </w:p>
        </w:tc>
        <w:tc>
          <w:tcPr>
            <w:tcW w:type="dxa" w:w="1360"/>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CAO</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MGR_Behavior ẩn</w:t>
              <w:br/>
              <w:t>Audit hành vi quản lý tại đơn vị đỏ</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1A, 2A (Unclassified)</w:t>
            </w:r>
          </w:p>
        </w:tc>
        <w:tc>
          <w:tcPr>
            <w:tcW w:type="dxa" w:w="102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02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14</w:t>
            </w:r>
          </w:p>
        </w:tc>
        <w:tc>
          <w:tcPr>
            <w:tcW w:type="dxa" w:w="1360"/>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CAO</w:t>
            </w:r>
          </w:p>
        </w:tc>
      </w:tr>
      <w:tr>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CAREER_Path — 3A/2A</w:t>
              <w:br/>
              <w:t>Career Ladder tường minh</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3A (46), 2A (34)</w:t>
            </w:r>
          </w:p>
        </w:tc>
        <w:tc>
          <w:tcPr>
            <w:tcW w:type="dxa" w:w="102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102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w:t>
            </w:r>
          </w:p>
        </w:tc>
        <w:tc>
          <w:tcPr>
            <w:tcW w:type="dxa" w:w="1360"/>
            <w:shd w:val="clear" w:color="auto" w:fill="FFE0E0"/>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CAO</w:t>
            </w:r>
          </w:p>
        </w:tc>
      </w:tr>
      <w:tr>
        <w:tc>
          <w:tcPr>
            <w:tcW w:type="dxa" w:w="255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CAREER_Learning — 3B</w:t>
              <w:br/>
              <w:t>Program phát triển lãnh đạo tech</w:t>
            </w:r>
          </w:p>
        </w:tc>
        <w:tc>
          <w:tcPr>
            <w:tcW w:type="dxa" w:w="198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3B (50, 18,5%)</w:t>
            </w:r>
          </w:p>
        </w:tc>
        <w:tc>
          <w:tcPr>
            <w:tcW w:type="dxa" w:w="102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020"/>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13</w:t>
            </w:r>
          </w:p>
        </w:tc>
        <w:tc>
          <w:tcPr>
            <w:tcW w:type="dxa" w:w="1360"/>
            <w:shd w:val="clear" w:color="auto" w:fill="FFF2CC"/>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TRUNG BÌNH</w:t>
            </w:r>
          </w:p>
        </w:tc>
      </w:tr>
      <w:tr>
        <w:tc>
          <w:tcPr>
            <w:tcW w:type="dxa" w:w="255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ENV_CrossFunction</w:t>
              <w:br/>
              <w:t>Cải thiện workflow liên phòng ban</w:t>
            </w:r>
          </w:p>
        </w:tc>
        <w:tc>
          <w:tcPr>
            <w:tcW w:type="dxa" w:w="198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3A (7), 3B (7)</w:t>
            </w:r>
          </w:p>
        </w:tc>
        <w:tc>
          <w:tcPr>
            <w:tcW w:type="dxa" w:w="102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w:t>
            </w:r>
          </w:p>
        </w:tc>
        <w:tc>
          <w:tcPr>
            <w:tcW w:type="dxa" w:w="1020"/>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9</w:t>
            </w:r>
          </w:p>
        </w:tc>
        <w:tc>
          <w:tcPr>
            <w:tcW w:type="dxa" w:w="1360"/>
            <w:shd w:val="clear" w:color="auto" w:fill="E2EFDA"/>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 THEO DÕI</w:t>
            </w:r>
          </w:p>
        </w:tc>
      </w:tr>
    </w:tbl>
    <w:p/>
    <w:p>
      <w:r>
        <w:br w:type="page"/>
      </w:r>
    </w:p>
    <w:p>
      <w:pPr>
        <w:jc w:val="left"/>
        <w:spacing w:before="240" w:after="80"/>
        <w:pBdr>
          <w:bottom w:val="single" w:sz="16" w:space="1" w:color="1F4E79"/>
        </w:pBdr>
      </w:pPr>
      <w:r>
        <w:rPr>
          <w:rFonts w:ascii="Arial" w:hAnsi="Arial"/>
          <w:b/>
          <w:i w:val="0"/>
          <w:color w:val="1F4E79"/>
          <w:sz w:val="28"/>
          <w:u w:val="none"/>
        </w:rPr>
        <w:t>PHẦN 7 · Kết luận cho Ban Điều hành — 6 Câu hỏi Cốt lõi</w:t>
      </w:r>
    </w:p>
    <w:p>
      <w:pPr>
        <w:spacing w:before="160" w:after="60"/>
      </w:pPr>
      <w:r>
        <w:rPr>
          <w:rFonts w:ascii="Arial" w:hAnsi="Arial"/>
          <w:b/>
          <w:i w:val="0"/>
          <w:color w:val="2E75B6"/>
          <w:sz w:val="24"/>
          <w:u w:val="none"/>
        </w:rPr>
        <w:t>1. Ba vấn đề lớn nhất của tổ chức</w:t>
      </w:r>
    </w:p>
    <w:tbl>
      <w:tblPr>
        <w:tblW w:type="auto" w:w="0"/>
        <w:jc w:val="left"/>
        <w:tblLook w:firstColumn="1" w:firstRow="1" w:lastColumn="0" w:lastRow="0" w:noHBand="0" w:noVBand="1" w:val="04A0"/>
      </w:tblPr>
      <w:tblGrid>
        <w:gridCol w:w="2268"/>
        <w:gridCol w:w="2268"/>
        <w:gridCol w:w="2268"/>
        <w:gridCol w:w="2268"/>
      </w:tblGrid>
      <w:tr>
        <w:tc>
          <w:tcPr>
            <w:tcW w:type="dxa" w:w="283"/>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w:t>
            </w:r>
          </w:p>
        </w:tc>
        <w:tc>
          <w:tcPr>
            <w:tcW w:type="dxa" w:w="3118"/>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Vấn đề</w:t>
            </w:r>
          </w:p>
        </w:tc>
        <w:tc>
          <w:tcPr>
            <w:tcW w:type="dxa" w:w="2835"/>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Bằng chứng định lượng</w:t>
            </w:r>
          </w:p>
        </w:tc>
        <w:tc>
          <w:tcPr>
            <w:tcW w:type="dxa" w:w="4252"/>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Bằng chứng định tính</w:t>
            </w:r>
          </w:p>
        </w:tc>
      </w:tr>
      <w:tr>
        <w:tc>
          <w:tcPr>
            <w:tcW w:type="dxa" w:w="283"/>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Hệ thống phạt &amp; truy thu vận hành như công cụ kiểm soát, không phải công cụ cải thiện chất lượng</w:t>
            </w:r>
          </w:p>
        </w:tc>
        <w:tc>
          <w:tcPr>
            <w:tcW w:type="dxa" w:w="283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INCOME_Penalty: 462 phản hồi; 1A chiếm 66%</w:t>
            </w:r>
          </w:p>
        </w:tc>
        <w:tc>
          <w:tcPr>
            <w:tcW w:type="dxa" w:w="425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'Phạt vô lý nhưng không cho khiếu nại'; 'Trừ thu nhập thì lẹ, hoàn thì không thấy'</w:t>
            </w:r>
          </w:p>
        </w:tc>
      </w:tr>
      <w:tr>
        <w:tc>
          <w:tcPr>
            <w:tcW w:type="dxa" w:w="283"/>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w:t>
            </w:r>
          </w:p>
        </w:tc>
        <w:tc>
          <w:tcPr>
            <w:tcW w:type="dxa" w:w="311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Nhân viên tuyến đầu đang vận hành trong trạng thái Survival Mode — mất ý nghĩa nghề nghiệp</w:t>
            </w:r>
          </w:p>
        </w:tc>
        <w:tc>
          <w:tcPr>
            <w:tcW w:type="dxa" w:w="283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BURNOUT_Motivation: 63 phản hồi; BURNOUT_NoRest: 18+ phản hồi; Tỷ lệ im lặng Q25 1B: 45,8%</w:t>
            </w:r>
          </w:p>
        </w:tc>
        <w:tc>
          <w:tcPr>
            <w:tcW w:type="dxa" w:w="4252"/>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'Chỉ là mưu sinh'; 'Làm 360 ngày không nghỉ'; 'Không điểm nào thích'</w:t>
            </w:r>
          </w:p>
        </w:tc>
      </w:tr>
      <w:tr>
        <w:tc>
          <w:tcPr>
            <w:tcW w:type="dxa" w:w="283"/>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311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Quản lý Tuyến đầu (2B) đang hấp thụ toàn bộ áp lực hệ thống mà không có quyền lực tương ứng</w:t>
            </w:r>
          </w:p>
        </w:tc>
        <w:tc>
          <w:tcPr>
            <w:tcW w:type="dxa" w:w="283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BURNOUT_Overload 2B: 8,6%; OPS_Process 2B: 8,6%; Ý định nghỉ việc Q22=3,55/5</w:t>
            </w:r>
          </w:p>
        </w:tc>
        <w:tc>
          <w:tcPr>
            <w:tcW w:type="dxa" w:w="4252"/>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'Xử lý khối lượng công việc rất lớn, kiêm nhiệm nhiều, chịu áp lực từ nhiều phía'</w:t>
            </w:r>
          </w:p>
        </w:tc>
      </w:tr>
    </w:tbl>
    <w:p/>
    <w:p>
      <w:pPr>
        <w:spacing w:before="160" w:after="60"/>
      </w:pPr>
      <w:r>
        <w:rPr>
          <w:rFonts w:ascii="Arial" w:hAnsi="Arial"/>
          <w:b/>
          <w:i w:val="0"/>
          <w:color w:val="2E75B6"/>
          <w:sz w:val="24"/>
          <w:u w:val="none"/>
        </w:rPr>
        <w:t>2. Ba nguyên nhân gốc rễ</w:t>
      </w:r>
    </w:p>
    <w:p>
      <w:pPr>
        <w:pStyle w:val="ListBullet"/>
        <w:spacing w:before="0" w:after="28"/>
      </w:pPr>
      <w:r>
        <w:rPr>
          <w:rFonts w:ascii="Arial" w:hAnsi="Arial"/>
          <w:b w:val="0"/>
          <w:i w:val="0"/>
          <w:sz w:val="20"/>
          <w:u w:val="none"/>
        </w:rPr>
        <w:t>Thiết kế hệ thống phạt outcome-based không có cơ chế phản biện: nhân viên bị trừ trước — khiếu nại sau, nhưng quy trình hoàn tiền chậm hoặc không có. Cơ chế này tạo ra cảm giác bất lực tài chính hàng ngày — nguồn gốc của INCOME_Penalty và BURNOUT_Motivation.</w:t>
      </w:r>
    </w:p>
    <w:p>
      <w:pPr>
        <w:pStyle w:val="ListBullet"/>
        <w:spacing w:before="0" w:after="28"/>
      </w:pPr>
      <w:r>
        <w:rPr>
          <w:rFonts w:ascii="Arial" w:hAnsi="Arial"/>
          <w:b w:val="0"/>
          <w:i w:val="0"/>
          <w:sz w:val="20"/>
          <w:u w:val="none"/>
        </w:rPr>
        <w:t>Thiếu vắng cơ chế 'Close the Loop' sau khảo sát: Nhân viên đã nói ra vấn đề ('câu trả lời y như bài trước') nhiều lần mà không thấy thay đổi. Survey Cynicism là hậu quả tất yếu — khi khảo sát không có follow-up, nhân viên ngừng nói thật, bắt đầu trả lời cho có, và bắt đầu nghỉ.</w:t>
      </w:r>
    </w:p>
    <w:p>
      <w:pPr>
        <w:pStyle w:val="ListBullet"/>
        <w:spacing w:before="0" w:after="28"/>
      </w:pPr>
      <w:r>
        <w:rPr>
          <w:rFonts w:ascii="Arial" w:hAnsi="Arial"/>
          <w:b w:val="0"/>
          <w:i w:val="0"/>
          <w:sz w:val="20"/>
          <w:u w:val="none"/>
        </w:rPr>
        <w:t>Thiết kế vai trò AM/TBC có trách nhiệm lớn hơn quyền hạn: Trưởng bưu cục chịu trách nhiệm KPI vận hành toàn bưu cục nhưng không có quyền quyết định lương, tuyển dụng, hoặc chính sách. Đây là nguồn gốc của Sandwich Pressure và Engaged Burnout tại 2B.</w:t>
      </w:r>
    </w:p>
    <w:p>
      <w:pPr>
        <w:spacing w:before="160" w:after="60"/>
      </w:pPr>
      <w:r>
        <w:rPr>
          <w:rFonts w:ascii="Arial" w:hAnsi="Arial"/>
          <w:b/>
          <w:i w:val="0"/>
          <w:color w:val="2E75B6"/>
          <w:sz w:val="24"/>
          <w:u w:val="none"/>
        </w:rPr>
        <w:t>3. Ba yếu tố làm tăng nguy cơ nghỉ việc nhất</w:t>
      </w:r>
    </w:p>
    <w:p>
      <w:pPr>
        <w:pStyle w:val="ListBullet"/>
        <w:spacing w:before="0" w:after="28"/>
      </w:pPr>
      <w:r>
        <w:rPr>
          <w:rFonts w:ascii="Arial" w:hAnsi="Arial"/>
          <w:b w:val="0"/>
          <w:i w:val="0"/>
          <w:color w:val="C00000"/>
          <w:sz w:val="20"/>
          <w:u w:val="none"/>
        </w:rPr>
        <w:t>Thu nhập bất định + hệ thống phạt không minh bạch: Không phải thu nhập thấp — mà là thu nhập KHÔNG ĐỀ BÁO ĐƯỢC. Variance cao trong thu nhập hàng tháng là predictor nghỉ việc mạnh hơn mức lương tuyệt đối (nghiên cứu Gallup 2023).</w:t>
      </w:r>
    </w:p>
    <w:p>
      <w:pPr>
        <w:pStyle w:val="ListBullet"/>
        <w:spacing w:before="0" w:after="28"/>
      </w:pPr>
      <w:r>
        <w:rPr>
          <w:rFonts w:ascii="Arial" w:hAnsi="Arial"/>
          <w:b w:val="0"/>
          <w:i w:val="0"/>
          <w:color w:val="C00000"/>
          <w:sz w:val="20"/>
          <w:u w:val="none"/>
        </w:rPr>
        <w:t>Không thấy lộ trình thăng tiến rõ ràng: CAREER_Path là tín hiệu số 1 dự báo nghỉ việc văn phòng (3A: At Risk 36,9%). 'Không thấy đường lên' = không có lý do ở lại ngoài quen thuộc.</w:t>
      </w:r>
    </w:p>
    <w:p>
      <w:pPr>
        <w:pStyle w:val="ListBullet"/>
        <w:spacing w:before="0" w:after="28"/>
      </w:pPr>
      <w:r>
        <w:rPr>
          <w:rFonts w:ascii="Arial" w:hAnsi="Arial"/>
          <w:b w:val="0"/>
          <w:i w:val="0"/>
          <w:color w:val="C00000"/>
          <w:sz w:val="20"/>
          <w:u w:val="none"/>
        </w:rPr>
        <w:t>Burnout ẩn không được nhận diện: BURNOUT_Motivation (mất động lực) tại 1A và Engaged Burnout tại 2B đều không lộ ra trên điểm số Likert. Khi burnout đã đến giai đoạn mất ý nghĩa ('mưu sinh'), quyết định nghỉ chỉ còn là cơ hội — không cần lý do.</w:t>
      </w:r>
    </w:p>
    <w:p>
      <w:pPr>
        <w:spacing w:before="160" w:after="60"/>
      </w:pPr>
      <w:r>
        <w:rPr>
          <w:rFonts w:ascii="Arial" w:hAnsi="Arial"/>
          <w:b/>
          <w:i w:val="0"/>
          <w:color w:val="2E75B6"/>
          <w:sz w:val="24"/>
          <w:u w:val="none"/>
        </w:rPr>
        <w:t>4. Ba yếu tố làm tăng kiệt sức nhất</w:t>
      </w:r>
    </w:p>
    <w:p>
      <w:pPr>
        <w:pStyle w:val="ListBullet"/>
        <w:spacing w:before="0" w:after="28"/>
      </w:pPr>
      <w:r>
        <w:rPr>
          <w:rFonts w:ascii="Arial" w:hAnsi="Arial"/>
          <w:b w:val="0"/>
          <w:i w:val="0"/>
          <w:sz w:val="20"/>
          <w:u w:val="none"/>
        </w:rPr>
        <w:t>Làm liên tục không có ngày nghỉ (BURNOUT_NoRest): Vi phạm quyền lao động cơ bản đang tích lũy thành kiệt sức thể chất giai đoạn 4–5. Không phải OT tự nguyện — là OT bị ép buộc.</w:t>
      </w:r>
    </w:p>
    <w:p>
      <w:pPr>
        <w:pStyle w:val="ListBullet"/>
        <w:spacing w:before="0" w:after="28"/>
      </w:pPr>
      <w:r>
        <w:rPr>
          <w:rFonts w:ascii="Arial" w:hAnsi="Arial"/>
          <w:b w:val="0"/>
          <w:i w:val="0"/>
          <w:sz w:val="20"/>
          <w:u w:val="none"/>
        </w:rPr>
        <w:t>Áp lực Sandwich tại 2B (BURNOUT_Overload + OPS_Process): Kép áp lực từ người (nhân viên bức xúc) và hệ thống (báo cáo hành chính). Không có 'van xả' nào.</w:t>
      </w:r>
    </w:p>
    <w:p>
      <w:pPr>
        <w:pStyle w:val="ListBullet"/>
        <w:spacing w:before="0" w:after="28"/>
      </w:pPr>
      <w:r>
        <w:rPr>
          <w:rFonts w:ascii="Arial" w:hAnsi="Arial"/>
          <w:b w:val="0"/>
          <w:i w:val="0"/>
          <w:sz w:val="20"/>
          <w:u w:val="none"/>
        </w:rPr>
        <w:t>Công cụ hỏng làm tăng chi phí tinh thần hàng ngày (OPS_PDA): Mỗi lần PDA lỗi là một lần quy trình gián đoạn, dễ bị phạt oan — stress tích lũy micro-moment.</w:t>
      </w:r>
    </w:p>
    <w:p>
      <w:pPr>
        <w:spacing w:before="160" w:after="60"/>
      </w:pPr>
      <w:r>
        <w:rPr>
          <w:rFonts w:ascii="Arial" w:hAnsi="Arial"/>
          <w:b/>
          <w:i w:val="0"/>
          <w:color w:val="2E75B6"/>
          <w:sz w:val="24"/>
          <w:u w:val="none"/>
        </w:rPr>
        <w:t>5. Ba yếu tố giúp nhân viên muốn gắn bó</w:t>
      </w:r>
    </w:p>
    <w:p>
      <w:pPr>
        <w:pStyle w:val="ListBullet"/>
        <w:spacing w:before="0" w:after="28"/>
      </w:pPr>
      <w:r>
        <w:rPr>
          <w:rFonts w:ascii="Arial" w:hAnsi="Arial"/>
          <w:b w:val="0"/>
          <w:i w:val="0"/>
          <w:color w:val="375623"/>
          <w:sz w:val="20"/>
          <w:u w:val="none"/>
        </w:rPr>
        <w:t>ENV_Team (2.519 phản hồi — yếu tố tích cực số 1): Đồng nghiệp, môi trường thân thiện, anh em hòa đồng. Đây là keo dính chính giữ nhân viên ở lại khi mọi thứ khác không ổn.</w:t>
      </w:r>
    </w:p>
    <w:p>
      <w:pPr>
        <w:pStyle w:val="ListBullet"/>
        <w:spacing w:before="0" w:after="28"/>
      </w:pPr>
      <w:r>
        <w:rPr>
          <w:rFonts w:ascii="Arial" w:hAnsi="Arial"/>
          <w:b w:val="0"/>
          <w:i w:val="0"/>
          <w:color w:val="375623"/>
          <w:sz w:val="20"/>
          <w:u w:val="none"/>
        </w:rPr>
        <w:t>POS_Flexibility (377) — Tự chủ thời gian: Là lý do ở lại số 1 của 1A/1B. 'Thời gian chủ động', 'không gò bó' là lợi thế cạnh tranh GHN mà SPX và J&amp;T khó có được.</w:t>
      </w:r>
    </w:p>
    <w:p>
      <w:pPr>
        <w:pStyle w:val="ListBullet"/>
        <w:spacing w:before="0" w:after="28"/>
      </w:pPr>
      <w:r>
        <w:rPr>
          <w:rFonts w:ascii="Arial" w:hAnsi="Arial"/>
          <w:b w:val="0"/>
          <w:i w:val="0"/>
          <w:color w:val="375623"/>
          <w:sz w:val="20"/>
          <w:u w:val="none"/>
        </w:rPr>
        <w:t>POS_Belonging (362) — Cảm giác thuộc về: 'Yêu GHN', 'không muốn rời', 'như gia đình'. Đây là tài sản vô hình cần được nuôi dưỡng bằng hành động Close the Loop.</w:t>
      </w:r>
    </w:p>
    <w:p>
      <w:pPr>
        <w:spacing w:before="160" w:after="60"/>
      </w:pPr>
      <w:r>
        <w:rPr>
          <w:rFonts w:ascii="Arial" w:hAnsi="Arial"/>
          <w:b/>
          <w:i w:val="0"/>
          <w:color w:val="2E75B6"/>
          <w:sz w:val="24"/>
          <w:u w:val="none"/>
        </w:rPr>
        <w:t>6. 10 hành động ưu tiên trong 90 ngày</w:t>
      </w:r>
    </w:p>
    <w:tbl>
      <w:tblPr>
        <w:tblW w:type="auto" w:w="0"/>
        <w:jc w:val="left"/>
        <w:tblLook w:firstColumn="1" w:firstRow="1" w:lastColumn="0" w:lastRow="0" w:noHBand="0" w:noVBand="1" w:val="04A0"/>
      </w:tblPr>
      <w:tblGrid>
        <w:gridCol w:w="1814"/>
        <w:gridCol w:w="1814"/>
        <w:gridCol w:w="1814"/>
        <w:gridCol w:w="1814"/>
        <w:gridCol w:w="1814"/>
      </w:tblGrid>
      <w:tr>
        <w:tc>
          <w:tcPr>
            <w:tcW w:type="dxa" w:w="283"/>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w:t>
            </w:r>
          </w:p>
        </w:tc>
        <w:tc>
          <w:tcPr>
            <w:tcW w:type="dxa" w:w="3685"/>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Hành động</w:t>
            </w:r>
          </w:p>
        </w:tc>
        <w:tc>
          <w:tcPr>
            <w:tcW w:type="dxa" w:w="2268"/>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Nhãn giải quyết</w:t>
            </w:r>
          </w:p>
        </w:tc>
        <w:tc>
          <w:tcPr>
            <w:tcW w:type="dxa" w:w="1134"/>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Hạn</w:t>
            </w:r>
          </w:p>
        </w:tc>
        <w:tc>
          <w:tcPr>
            <w:tcW w:type="dxa" w:w="1701"/>
            <w:shd w:val="clear" w:color="auto" w:fill="1F4E79"/>
            <w:tcMar>
              <w:top w:w="70" w:type="dxa"/>
              <w:bottom w:w="70" w:type="dxa"/>
              <w:left w:w="110" w:type="dxa"/>
              <w:right w:w="110" w:type="dxa"/>
            </w:tcMar>
            <w:tcBorders>
              <w:top w:val="single" w:sz="8" w:space="0" w:color="2E75B6"/>
              <w:bottom w:val="single" w:sz="8" w:space="0" w:color="2E75B6"/>
              <w:left w:val="single" w:sz="8" w:space="0" w:color="2E75B6"/>
              <w:right w:val="single" w:sz="8" w:space="0" w:color="2E75B6"/>
            </w:tcBorders>
          </w:tcPr>
          <w:p>
            <w:pPr>
              <w:spacing w:before="0" w:after="0"/>
            </w:pPr>
            <w:r>
              <w:rPr>
                <w:rFonts w:ascii="Arial" w:hAnsi="Arial"/>
                <w:b/>
                <w:i w:val="0"/>
                <w:color w:val="FFFFFF"/>
                <w:sz w:val="18"/>
                <w:u w:val="none"/>
              </w:rPr>
              <w:t>Chi phí ước tính</w:t>
            </w:r>
          </w:p>
        </w:tc>
      </w:tr>
      <w:tr>
        <w:tc>
          <w:tcPr>
            <w:tcW w:type="dxa" w:w="283"/>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w:t>
            </w:r>
          </w:p>
        </w:tc>
        <w:tc>
          <w:tcPr>
            <w:tcW w:type="dxa" w:w="368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Close the Loop: Công bố 5 cam kết cụ thể từ EES 2026 có tên người chịu trách nhiệm</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TRUST_Survey_Cynicism</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 ngày</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 đồng</w:t>
            </w:r>
          </w:p>
        </w:tc>
      </w:tr>
      <w:tr>
        <w:tc>
          <w:tcPr>
            <w:tcW w:type="dxa" w:w="283"/>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w:t>
            </w:r>
          </w:p>
        </w:tc>
        <w:tc>
          <w:tcPr>
            <w:tcW w:type="dxa" w:w="368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Audit chế độ nghỉ phép tại bưu cục có phản hồi BURNOUT_NoRest — xử phạt bưu cục vi phạm</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BURNOUT_NoRest</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15 ngày</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0 đồng</w:t>
            </w:r>
          </w:p>
        </w:tc>
      </w:tr>
      <w:tr>
        <w:tc>
          <w:tcPr>
            <w:tcW w:type="dxa" w:w="283"/>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w:t>
            </w:r>
          </w:p>
        </w:tc>
        <w:tc>
          <w:tcPr>
            <w:tcW w:type="dxa" w:w="368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Cơ chế Khiếu nại Phạt In-App: nhân viên gắn cờ phạt trong 24h, hold khoản trừ trong khi AM xem xét</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INCOME_Penalty</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45 ngày</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300 triệu đồng</w:t>
            </w:r>
          </w:p>
        </w:tc>
      </w:tr>
      <w:tr>
        <w:tc>
          <w:tcPr>
            <w:tcW w:type="dxa" w:w="283"/>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w:t>
            </w:r>
          </w:p>
        </w:tc>
        <w:tc>
          <w:tcPr>
            <w:tcW w:type="dxa" w:w="368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Dashboard Thu nhập Realtime trên GHN Driver App: chi tiết từng khoản mục theo ngày</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INCOME_Transparency</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45 ngày</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600 triệu đồng</w:t>
            </w:r>
          </w:p>
        </w:tc>
      </w:tr>
      <w:tr>
        <w:tc>
          <w:tcPr>
            <w:tcW w:type="dxa" w:w="283"/>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w:t>
            </w:r>
          </w:p>
        </w:tc>
        <w:tc>
          <w:tcPr>
            <w:tcW w:type="dxa" w:w="368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FGD kín tại 5 đơn vị đỏ (Phòng SP, AI, Vùng HNO, HCM, DCL) — cam kết 2 hành động sau 15 ngày</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TRUST_Survey_Cynicism + nhiều nhãn</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30 ngày</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50 triệu đồng</w:t>
            </w:r>
          </w:p>
        </w:tc>
      </w:tr>
      <w:tr>
        <w:tc>
          <w:tcPr>
            <w:tcW w:type="dxa" w:w="283"/>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w:t>
            </w:r>
          </w:p>
        </w:tc>
        <w:tc>
          <w:tcPr>
            <w:tcW w:type="dxa" w:w="368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Thay thế Pin PDA toàn bộ KTC/TTTC có báo cáo OPS_PDA</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OPS_PDA</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60 ngày</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1,2 tỷ đồng</w:t>
            </w:r>
          </w:p>
        </w:tc>
      </w:tr>
      <w:tr>
        <w:tc>
          <w:tcPr>
            <w:tcW w:type="dxa" w:w="283"/>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7</w:t>
            </w:r>
          </w:p>
        </w:tc>
        <w:tc>
          <w:tcPr>
            <w:tcW w:type="dxa" w:w="368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Giảm tải 2B: cắt 20% báo cáo hành chính + trao quyền thưởng nóng tại chỗ ≤500K</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BURNOUT_Overload + OPS_Process</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45 ngày</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200 triệu đồng</w:t>
            </w:r>
          </w:p>
        </w:tc>
      </w:tr>
      <w:tr>
        <w:tc>
          <w:tcPr>
            <w:tcW w:type="dxa" w:w="283"/>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8</w:t>
            </w:r>
          </w:p>
        </w:tc>
        <w:tc>
          <w:tcPr>
            <w:tcW w:type="dxa" w:w="368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Coaching quản lý yếu MEI&lt;60: 12 người — đặc biệt xử lý MGR_Behavior (hành vi xúc phạm)</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MGR_Behavior + MGR_Capability</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60 ngày</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1,2 tỷ đồng</w:t>
            </w:r>
          </w:p>
        </w:tc>
      </w:tr>
      <w:tr>
        <w:tc>
          <w:tcPr>
            <w:tcW w:type="dxa" w:w="283"/>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9</w:t>
            </w:r>
          </w:p>
        </w:tc>
        <w:tc>
          <w:tcPr>
            <w:tcW w:type="dxa" w:w="3685"/>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 Ladder tường minh cho 3A: tiêu chí thăng tiến từng cấp có thể đo lường được</w:t>
            </w:r>
          </w:p>
        </w:tc>
        <w:tc>
          <w:tcPr>
            <w:tcW w:type="dxa" w:w="2268"/>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CAREER_Path</w:t>
            </w:r>
          </w:p>
        </w:tc>
        <w:tc>
          <w:tcPr>
            <w:tcW w:type="dxa" w:w="1134"/>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60 ngày</w:t>
            </w:r>
          </w:p>
        </w:tc>
        <w:tc>
          <w:tcPr>
            <w:tcW w:type="dxa" w:w="1701"/>
            <w:shd w:val="clear" w:color="auto" w:fill="FFFFFF"/>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50 triệu đồng</w:t>
            </w:r>
          </w:p>
        </w:tc>
      </w:tr>
      <w:tr>
        <w:tc>
          <w:tcPr>
            <w:tcW w:type="dxa" w:w="283"/>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10</w:t>
            </w:r>
          </w:p>
        </w:tc>
        <w:tc>
          <w:tcPr>
            <w:tcW w:type="dxa" w:w="3685"/>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Pulse Survey 5 câu sau 45 ngày — đo tín hiệu tin tưởng đang phục hồi</w:t>
            </w:r>
          </w:p>
        </w:tc>
        <w:tc>
          <w:tcPr>
            <w:tcW w:type="dxa" w:w="2268"/>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TRUST_Survey_Cynicism</w:t>
            </w:r>
          </w:p>
        </w:tc>
        <w:tc>
          <w:tcPr>
            <w:tcW w:type="dxa" w:w="1134"/>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45 ngày</w:t>
            </w:r>
          </w:p>
        </w:tc>
        <w:tc>
          <w:tcPr>
            <w:tcW w:type="dxa" w:w="1701"/>
            <w:shd w:val="clear" w:color="auto" w:fill="F2F2F2"/>
            <w:tcMar>
              <w:top w:w="70" w:type="dxa"/>
              <w:bottom w:w="70" w:type="dxa"/>
              <w:left w:w="110" w:type="dxa"/>
              <w:right w:w="110" w:type="dxa"/>
            </w:tcMar>
            <w:tcBorders>
              <w:top w:val="single" w:sz="8" w:space="0" w:color="CCCCCC"/>
              <w:bottom w:val="single" w:sz="8" w:space="0" w:color="CCCCCC"/>
              <w:left w:val="single" w:sz="8" w:space="0" w:color="CCCCCC"/>
              <w:right w:val="single" w:sz="8" w:space="0" w:color="CCCCCC"/>
            </w:tcBorders>
          </w:tcPr>
          <w:p>
            <w:pPr>
              <w:spacing w:before="0" w:after="0"/>
            </w:pPr>
            <w:r>
              <w:rPr>
                <w:rFonts w:ascii="Arial" w:hAnsi="Arial"/>
                <w:b w:val="0"/>
                <w:i w:val="0"/>
                <w:color w:val="404040"/>
                <w:sz w:val="18"/>
                <w:u w:val="none"/>
              </w:rPr>
              <w:t>20 triệu đồng</w:t>
            </w:r>
          </w:p>
        </w:tc>
      </w:tr>
    </w:tbl>
    <w:p/>
    <w:tbl>
      <w:tblPr>
        <w:tblW w:type="auto" w:w="0"/>
        <w:jc w:val="left"/>
        <w:tblLook w:firstColumn="1" w:firstRow="1" w:lastColumn="0" w:lastRow="0" w:noHBand="0" w:noVBand="1" w:val="04A0"/>
      </w:tblPr>
      <w:tblGrid>
        <w:gridCol w:w="9072"/>
      </w:tblGrid>
      <w:tr>
        <w:tc>
          <w:tcPr>
            <w:tcW w:type="dxa" w:w="9072"/>
            <w:shd w:val="clear" w:color="auto" w:fill="BDD7EE"/>
            <w:tcMar>
              <w:top w:w="100" w:type="dxa"/>
              <w:bottom w:w="100" w:type="dxa"/>
              <w:left w:w="150" w:type="dxa"/>
              <w:right w:w="150" w:type="dxa"/>
            </w:tcMar>
          </w:tcPr>
          <w:p>
            <w:pPr>
              <w:spacing w:before="0" w:after="0"/>
            </w:pPr>
            <w:r>
              <w:rPr>
                <w:rFonts w:ascii="Arial" w:hAnsi="Arial"/>
                <w:b w:val="0"/>
                <w:i/>
                <w:color w:val="1F4E79"/>
                <w:sz w:val="19"/>
                <w:u w:val="none"/>
              </w:rPr>
              <w:t>🎯  LỜI KẾT: 26.613 phản hồi trong báo cáo này không phải 'dữ liệu'. Đây là 26.613 lần nhân viên GHN lựa chọn — hoặc không lựa chọn — tin tưởng tổ chức đủ để nói ra. Câu 'mưu sinh' của nhân viên Shipper, câu '360 ngày không nghỉ' của người giao hàng, câu 'phạt vô lý không cho gỡ' của người bị trừ lương oan — đây không phải số liệu khảo sát. Đây là lời nhân chứng. Điều tổ chức làm với những lời này trong 90 ngày tới sẽ quyết định EES 2027 trông như thế nào.</w:t>
            </w:r>
          </w:p>
        </w:tc>
      </w:tr>
    </w:tbl>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