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0" w:name="_Toc21913"/>
      <w:r>
        <w:rPr>
          <w:rFonts w:hint="eastAsia"/>
          <w:lang w:val="en-US" w:eastAsia="zh-CN"/>
        </w:rPr>
        <w:t>软件项目规模</w:t>
      </w:r>
      <w:bookmarkEnd w:id="0"/>
    </w:p>
    <w:tbl>
      <w:tblPr>
        <w:tblStyle w:val="8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1910"/>
        <w:gridCol w:w="1900"/>
        <w:gridCol w:w="40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  <w:gridSpan w:val="2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项目重要任务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工时（人天）</w:t>
            </w:r>
          </w:p>
        </w:tc>
        <w:tc>
          <w:tcPr>
            <w:tcW w:w="4048" w:type="dxa"/>
            <w:vAlign w:val="center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总计（人天）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  <w:gridSpan w:val="2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需求分析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4048" w:type="dxa"/>
            <w:vMerge w:val="restart"/>
            <w:vAlign w:val="center"/>
          </w:tcPr>
          <w:p>
            <w:pPr>
              <w:pStyle w:val="10"/>
              <w:bidi w:val="0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  <w:gridSpan w:val="2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总体设计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pStyle w:val="10"/>
              <w:bidi w:val="0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Merge w:val="restart"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详细</w:t>
            </w:r>
          </w:p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设计</w:t>
            </w:r>
          </w:p>
        </w:tc>
        <w:tc>
          <w:tcPr>
            <w:tcW w:w="1910" w:type="dxa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前端模块设计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Merge w:val="continue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910" w:type="dxa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接口设计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97" w:type="dxa"/>
            <w:vMerge w:val="continue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910" w:type="dxa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后端模块设计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4(与前端并行)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  <w:gridSpan w:val="2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代码实现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20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Merge w:val="restart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软件测试</w:t>
            </w:r>
          </w:p>
        </w:tc>
        <w:tc>
          <w:tcPr>
            <w:tcW w:w="1910" w:type="dxa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单元测试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10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Merge w:val="continue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910" w:type="dxa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集成测试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Merge w:val="continue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910" w:type="dxa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系统测试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  <w:gridSpan w:val="2"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文档审查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  <w:gridSpan w:val="2"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项目交付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jc w:val="center"/>
              <w:rPr>
                <w:rFonts w:hint="default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" w:name="_Toc22345"/>
      <w:r>
        <w:rPr>
          <w:rFonts w:hint="eastAsia"/>
          <w:lang w:val="en-US" w:eastAsia="zh-CN"/>
        </w:rPr>
        <w:t>成本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人力资源成本</w:t>
      </w:r>
    </w:p>
    <w:tbl>
      <w:tblPr>
        <w:tblW w:w="75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765"/>
        <w:gridCol w:w="1013"/>
        <w:gridCol w:w="1306"/>
        <w:gridCol w:w="1306"/>
        <w:gridCol w:w="1013"/>
        <w:gridCol w:w="10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成员姓名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角色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类型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标准费率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加班费率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成本累算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基准日历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郑乐祺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￥150.00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￥180.00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李四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业务分析员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￥130.00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￥150.00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王五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架构师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￥130.00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￥150.00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赵六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前端开发工程师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￥140.00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￥160.00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孙七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后端开发工程师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￥140.00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￥160.00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周八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数据库管理员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￥140.00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￥160.00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吴九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测试工程师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￥110.00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￥130.00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郑十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UI/UX设计师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￥110.00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￥130.00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钱十一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技术支持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￥110.00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￥130.00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刘十二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文档工程师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￥110.00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￥130.00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</w:tbl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</w:p>
    <w:bookmarkEnd w:id="1"/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软硬件成本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服务器：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规格和型号：R730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品牌：戴尔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单价：35000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数量：4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合价：140000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电脑：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规格和型号：组装机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品牌：无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单价：</w:t>
      </w:r>
      <w:r>
        <w:rPr>
          <w:rFonts w:hint="eastAsia" w:eastAsia="微软雅黑" w:cstheme="minorBidi"/>
          <w:color w:val="auto"/>
          <w:kern w:val="2"/>
          <w:sz w:val="24"/>
          <w:szCs w:val="24"/>
          <w:u w:val="none"/>
          <w:lang w:val="en-US" w:eastAsia="zh-CN" w:bidi="ar-SA"/>
        </w:rPr>
        <w:t>4</w:t>
      </w: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000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数量：</w:t>
      </w:r>
      <w:r>
        <w:rPr>
          <w:rFonts w:hint="eastAsia" w:eastAsia="微软雅黑" w:cstheme="minorBidi"/>
          <w:color w:val="auto"/>
          <w:kern w:val="2"/>
          <w:sz w:val="24"/>
          <w:szCs w:val="24"/>
          <w:u w:val="none"/>
          <w:lang w:val="en-US" w:eastAsia="zh-CN" w:bidi="ar-SA"/>
        </w:rPr>
        <w:t>10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合价：</w:t>
      </w:r>
      <w:r>
        <w:rPr>
          <w:rFonts w:hint="eastAsia" w:eastAsia="微软雅黑" w:cstheme="minorBidi"/>
          <w:color w:val="auto"/>
          <w:kern w:val="2"/>
          <w:sz w:val="24"/>
          <w:szCs w:val="24"/>
          <w:u w:val="none"/>
          <w:lang w:val="en-US" w:eastAsia="zh-CN" w:bidi="ar-SA"/>
        </w:rPr>
        <w:t>4</w:t>
      </w: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0000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电脑桌：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规格和型号：人造板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品牌：曲臣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单价：700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数量：</w:t>
      </w:r>
      <w:r>
        <w:rPr>
          <w:rFonts w:hint="eastAsia" w:eastAsia="微软雅黑" w:cstheme="minorBidi"/>
          <w:color w:val="auto"/>
          <w:kern w:val="2"/>
          <w:sz w:val="24"/>
          <w:szCs w:val="24"/>
          <w:u w:val="none"/>
          <w:lang w:val="en-US" w:eastAsia="zh-CN" w:bidi="ar-SA"/>
        </w:rPr>
        <w:t>10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合价：</w:t>
      </w:r>
      <w:r>
        <w:rPr>
          <w:rFonts w:hint="eastAsia" w:eastAsia="微软雅黑" w:cstheme="minorBidi"/>
          <w:color w:val="auto"/>
          <w:kern w:val="2"/>
          <w:sz w:val="24"/>
          <w:szCs w:val="24"/>
          <w:u w:val="none"/>
          <w:lang w:val="en-US" w:eastAsia="zh-CN" w:bidi="ar-SA"/>
        </w:rPr>
        <w:t>70</w:t>
      </w: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00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电脑凳：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规格和型号：不锈钢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品牌：骏帮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单价：200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数量：</w:t>
      </w:r>
      <w:r>
        <w:rPr>
          <w:rFonts w:hint="eastAsia" w:eastAsia="微软雅黑" w:cstheme="minorBidi"/>
          <w:color w:val="auto"/>
          <w:kern w:val="2"/>
          <w:sz w:val="24"/>
          <w:szCs w:val="24"/>
          <w:u w:val="none"/>
          <w:lang w:val="en-US" w:eastAsia="zh-CN" w:bidi="ar-SA"/>
        </w:rPr>
        <w:t>10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合价：</w:t>
      </w:r>
      <w:r>
        <w:rPr>
          <w:rFonts w:hint="eastAsia" w:eastAsia="微软雅黑" w:cstheme="minorBidi"/>
          <w:color w:val="auto"/>
          <w:kern w:val="2"/>
          <w:sz w:val="24"/>
          <w:szCs w:val="24"/>
          <w:u w:val="none"/>
          <w:lang w:val="en-US" w:eastAsia="zh-CN" w:bidi="ar-SA"/>
        </w:rPr>
        <w:t>20</w:t>
      </w: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00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插座：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规格和型号：六眼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品牌：公牛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单价：40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数量：</w:t>
      </w:r>
      <w:r>
        <w:rPr>
          <w:rFonts w:hint="eastAsia" w:eastAsia="微软雅黑" w:cstheme="minorBidi"/>
          <w:color w:val="auto"/>
          <w:kern w:val="2"/>
          <w:sz w:val="24"/>
          <w:szCs w:val="24"/>
          <w:u w:val="none"/>
          <w:lang w:val="en-US" w:eastAsia="zh-CN" w:bidi="ar-SA"/>
        </w:rPr>
        <w:t>10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合价：</w:t>
      </w:r>
      <w:r>
        <w:rPr>
          <w:rFonts w:hint="eastAsia" w:eastAsia="微软雅黑" w:cstheme="minorBidi"/>
          <w:color w:val="auto"/>
          <w:kern w:val="2"/>
          <w:sz w:val="24"/>
          <w:szCs w:val="24"/>
          <w:u w:val="none"/>
          <w:lang w:val="en-US" w:eastAsia="zh-CN" w:bidi="ar-SA"/>
        </w:rPr>
        <w:t>40</w:t>
      </w: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0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交换机：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规格和型号：10Mbps-100Mbps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品牌：H3C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单价：1000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数量：2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合价：2000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网线、电源线、副线、底线、水晶头：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品牌：安普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单价：1000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数量：3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合价：3000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装修人工费及其他费用：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合价：30000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eastAsia="微软雅黑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软硬件成本</w:t>
      </w: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总价 = </w:t>
      </w: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￥</w:t>
      </w:r>
      <w:r>
        <w:rPr>
          <w:rFonts w:hint="eastAsia" w:eastAsia="微软雅黑" w:cstheme="minorBidi"/>
          <w:color w:val="auto"/>
          <w:kern w:val="2"/>
          <w:sz w:val="24"/>
          <w:szCs w:val="24"/>
          <w:u w:val="none"/>
          <w:lang w:val="en-US" w:eastAsia="zh-CN" w:bidi="ar-SA"/>
        </w:rPr>
        <w:t>229</w:t>
      </w: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400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成本计算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人力资源成本计算</w:t>
      </w:r>
    </w:p>
    <w:p>
      <w:pPr>
        <w:ind w:left="0" w:leftChars="0" w:firstLine="0" w:firstLineChars="0"/>
        <w:rPr>
          <w:rFonts w:hint="eastAsia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首先我们需要对人力资源进行分配：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需求分析: 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业务分析员和项目经理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总体设计: 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架构师和项目经理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详细设计: 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架构师、前端开发工程师、后端开发工程师、数据库管理员和项目经理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代码实现: 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前端开发工程师、后端开发工程师、数据库管理员和项目经理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软件测试: 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测试工程师和项目经理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文档审查: 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文档工程师和项目经理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项目交付: 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技术支持、UI/UX设计师和项目经理</w:t>
      </w:r>
    </w:p>
    <w:p>
      <w:pP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eastAsia="微软雅黑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考虑到周末加班，</w:t>
      </w: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计算出总成本为：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项目经理: ￥76,800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 xml:space="preserve">业务分析员: ￥4,160 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 xml:space="preserve">架构师: ￥16,640 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 xml:space="preserve">前端开发工程师: ￥38,080 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 xml:space="preserve">后端开发工程师: ￥38,080 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 xml:space="preserve">数据库管理员: ￥38,080 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 xml:space="preserve">测试工程师: ￥17,600 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 xml:space="preserve">文档工程师: ￥1,760 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技术支持: ￥1,760 UI/UX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设计师: ￥1,760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eastAsia="微软雅黑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人力资源</w:t>
      </w: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总成本</w:t>
      </w:r>
      <w:r>
        <w:rPr>
          <w:rFonts w:hint="eastAsia" w:eastAsia="微软雅黑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 </w:t>
      </w: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= ￥234,720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总成本计算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直接成本</w:t>
      </w: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 xml:space="preserve"> = 人力资源成本 + 软硬件成本 = ￥234,720 +￥</w:t>
      </w:r>
      <w:r>
        <w:rPr>
          <w:rFonts w:hint="eastAsia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229</w:t>
      </w: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400 = ￥464,120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间接成本</w:t>
      </w: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 xml:space="preserve"> = 直接成本 * 25% = ￥467,240 * 0.25 = ￥116,030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总估算成本 = 直接成本 + 间接成本 = ￥467,240 + ￥116,810 = ￥580,150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项目利润 = 总估算成本 * </w:t>
      </w:r>
      <w:r>
        <w:rPr>
          <w:rFonts w:hint="eastAsia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25</w:t>
      </w: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% = ￥584,050 * 0.</w:t>
      </w:r>
      <w:r>
        <w:rPr>
          <w:rFonts w:hint="eastAsia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25</w:t>
      </w: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 = ￥145,037.50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项目利润包括利润、税费、风险基金：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利润 = 项目利润 * 1</w:t>
      </w:r>
      <w:r>
        <w:rPr>
          <w:rFonts w:hint="eastAsia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0</w:t>
      </w: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% = ￥145,037.50</w:t>
      </w: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 xml:space="preserve"> * 0.1 = ￥14,503.75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税费 = 项目利润 * 5% = ￥145,037.50</w:t>
      </w: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 xml:space="preserve"> * 0.05 = ￥7,251.88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>风险基金 = 项目利润 * 10% = ￥145,037.50</w:t>
      </w:r>
      <w:r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  <w:t xml:space="preserve"> * 0.1 = ￥14,503.75</w:t>
      </w: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</w:p>
    <w:p>
      <w:pPr>
        <w:ind w:left="0" w:leftChars="0" w:firstLine="0" w:firstLineChars="0"/>
        <w:rPr>
          <w:rFonts w:hint="default" w:eastAsia="微软雅黑" w:asciiTheme="minorAscii" w:hAnsiTheme="minorAscii" w:cstheme="minorBidi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项目总造价 = 总估算成本 * 1</w:t>
      </w:r>
      <w:r>
        <w:rPr>
          <w:rFonts w:hint="eastAsia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25</w:t>
      </w: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% = ￥580,150 * 1.</w:t>
      </w:r>
      <w:r>
        <w:rPr>
          <w:rFonts w:hint="eastAsia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25</w:t>
      </w:r>
      <w:r>
        <w:rPr>
          <w:rFonts w:hint="default" w:eastAsia="微软雅黑" w:asciiTheme="minorAscii" w:hAnsiTheme="minorAscii" w:cstheme="minorBidi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 = ￥725,187.50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icrosoftYaHei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C842A4"/>
    <w:multiLevelType w:val="multilevel"/>
    <w:tmpl w:val="68C842A4"/>
    <w:lvl w:ilvl="0" w:tentative="0">
      <w:start w:val="1"/>
      <w:numFmt w:val="decimal"/>
      <w:suff w:val="space"/>
      <w:lvlText w:val="%1 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 "/>
      <w:lvlJc w:val="left"/>
      <w:pPr>
        <w:tabs>
          <w:tab w:val="left" w:pos="420"/>
        </w:tabs>
        <w:ind w:left="0" w:leftChars="0" w:firstLine="22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454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">
    <w:nsid w:val="770A7D0B"/>
    <w:multiLevelType w:val="multilevel"/>
    <w:tmpl w:val="770A7D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2165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602" w:firstLineChars="20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50" w:beforeLines="50" w:beforeAutospacing="0" w:after="50" w:afterLines="50" w:afterAutospacing="0" w:line="360" w:lineRule="auto"/>
      <w:ind w:firstLine="454"/>
      <w:outlineLvl w:val="2"/>
    </w:pPr>
    <w:rPr>
      <w:rFonts w:eastAsia="黑体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ind w:firstLine="753" w:firstLineChars="250"/>
      <w:outlineLvl w:val="3"/>
    </w:pPr>
    <w:rPr>
      <w:rFonts w:ascii="Arial" w:hAnsi="Arial" w:eastAsia="黑体"/>
      <w:b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表格文字"/>
    <w:basedOn w:val="1"/>
    <w:qFormat/>
    <w:uiPriority w:val="0"/>
    <w:pPr>
      <w:widowControl/>
      <w:ind w:firstLine="0" w:firstLineChars="0"/>
      <w:jc w:val="center"/>
      <w:textAlignment w:val="center"/>
    </w:pPr>
    <w:rPr>
      <w:rFonts w:hint="eastAsia" w:ascii="宋体" w:hAnsi="宋体" w:eastAsia="宋体" w:cs="宋体"/>
      <w:color w:val="000000"/>
      <w:kern w:val="0"/>
      <w:u w:val="none"/>
      <w:lang w:bidi="ar"/>
    </w:rPr>
  </w:style>
  <w:style w:type="character" w:customStyle="1" w:styleId="11">
    <w:name w:val="font11"/>
    <w:basedOn w:val="9"/>
    <w:uiPriority w:val="0"/>
    <w:rPr>
      <w:rFonts w:ascii="Segoe UI" w:hAnsi="Segoe UI" w:eastAsia="Segoe UI" w:cs="Segoe UI"/>
      <w:color w:val="374151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2023-06-10T09:56:06Z</dcterms:created>
  <dc:creator>R730</dc:creator>
  <cp:lastModifiedBy>欹风</cp:lastModifiedBy>
  <dcterms:modified xsi:type="dcterms:W3CDTF">2023-06-10T11:20:43Z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6B58DC538164441988B27DF5A24FF22F_12</vt:lpwstr>
  </property>
</Properties>
</file>